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D95" w:rsidRPr="00612978" w:rsidRDefault="00955694" w:rsidP="00DA30CF">
      <w:pPr>
        <w:tabs>
          <w:tab w:val="right" w:pos="9360"/>
        </w:tabs>
        <w:spacing w:after="0" w:line="210" w:lineRule="exact"/>
        <w:rPr>
          <w:sz w:val="21"/>
          <w:szCs w:val="21"/>
        </w:rPr>
      </w:pPr>
      <w:r>
        <w:rPr>
          <w:noProof/>
          <w:lang w:eastAsia="en-AU"/>
        </w:rPr>
        <w:drawing>
          <wp:anchor distT="0" distB="0" distL="114300" distR="114300" simplePos="0" relativeHeight="251657728" behindDoc="0" locked="0" layoutInCell="1" allowOverlap="1">
            <wp:simplePos x="0" y="0"/>
            <wp:positionH relativeFrom="column">
              <wp:posOffset>2252345</wp:posOffset>
            </wp:positionH>
            <wp:positionV relativeFrom="paragraph">
              <wp:posOffset>142875</wp:posOffset>
            </wp:positionV>
            <wp:extent cx="1434465" cy="1403350"/>
            <wp:effectExtent l="0" t="0" r="0" b="6350"/>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p>
    <w:p w:rsidR="009D586E" w:rsidRPr="00612978" w:rsidRDefault="009D586E" w:rsidP="00184056">
      <w:pPr>
        <w:spacing w:before="240" w:after="240" w:line="360" w:lineRule="exact"/>
        <w:jc w:val="center"/>
        <w:rPr>
          <w:b/>
          <w:smallCaps/>
          <w:color w:val="000000"/>
          <w:sz w:val="36"/>
        </w:rPr>
      </w:pPr>
      <w:r w:rsidRPr="00612978">
        <w:rPr>
          <w:b/>
          <w:smallCaps/>
          <w:color w:val="000000"/>
          <w:sz w:val="36"/>
        </w:rPr>
        <w:t>THE SOUTH AUSTRALIAN</w:t>
      </w:r>
    </w:p>
    <w:p w:rsidR="009D586E" w:rsidRPr="00612978" w:rsidRDefault="009D586E" w:rsidP="009D586E">
      <w:pPr>
        <w:spacing w:after="0" w:line="240" w:lineRule="auto"/>
        <w:jc w:val="center"/>
        <w:rPr>
          <w:b/>
          <w:color w:val="000000"/>
          <w:sz w:val="60"/>
        </w:rPr>
      </w:pPr>
      <w:r w:rsidRPr="00612978">
        <w:rPr>
          <w:b/>
          <w:color w:val="000000"/>
          <w:sz w:val="60"/>
        </w:rPr>
        <w:t>GOVERN</w:t>
      </w:r>
      <w:bookmarkStart w:id="0" w:name="_GoBack"/>
      <w:bookmarkEnd w:id="0"/>
      <w:r w:rsidRPr="00612978">
        <w:rPr>
          <w:b/>
          <w:color w:val="000000"/>
          <w:sz w:val="60"/>
        </w:rPr>
        <w:t>MENT GAZETTE</w:t>
      </w:r>
    </w:p>
    <w:p w:rsidR="009D586E" w:rsidRPr="00612978" w:rsidRDefault="009D586E" w:rsidP="00E65A23">
      <w:pPr>
        <w:spacing w:before="240" w:after="360" w:line="240" w:lineRule="exact"/>
        <w:jc w:val="center"/>
        <w:rPr>
          <w:b/>
          <w:smallCaps/>
          <w:color w:val="000000"/>
          <w:sz w:val="24"/>
          <w:szCs w:val="24"/>
        </w:rPr>
      </w:pPr>
      <w:r w:rsidRPr="00612978">
        <w:rPr>
          <w:b/>
          <w:smallCaps/>
          <w:color w:val="000000"/>
          <w:sz w:val="24"/>
          <w:szCs w:val="24"/>
        </w:rPr>
        <w:t>Published by Authority</w:t>
      </w:r>
    </w:p>
    <w:p w:rsidR="008008DD" w:rsidRPr="00FE446B" w:rsidRDefault="008008DD" w:rsidP="00184056">
      <w:pPr>
        <w:pBdr>
          <w:top w:val="single" w:sz="6" w:space="0" w:color="auto"/>
        </w:pBdr>
        <w:spacing w:after="0" w:line="160" w:lineRule="exact"/>
        <w:jc w:val="center"/>
        <w:rPr>
          <w:color w:val="000000"/>
          <w:sz w:val="16"/>
        </w:rPr>
      </w:pPr>
    </w:p>
    <w:p w:rsidR="008008DD" w:rsidRPr="00612978" w:rsidRDefault="008008DD" w:rsidP="008008DD">
      <w:pPr>
        <w:spacing w:after="0" w:line="240" w:lineRule="auto"/>
        <w:jc w:val="center"/>
        <w:rPr>
          <w:smallCaps/>
          <w:color w:val="000000"/>
          <w:sz w:val="28"/>
          <w:szCs w:val="26"/>
        </w:rPr>
      </w:pPr>
      <w:r w:rsidRPr="00612978">
        <w:rPr>
          <w:smallCaps/>
          <w:color w:val="000000"/>
          <w:sz w:val="28"/>
          <w:szCs w:val="26"/>
        </w:rPr>
        <w:t xml:space="preserve">Adelaide, </w:t>
      </w:r>
      <w:r w:rsidR="00D21B2E">
        <w:rPr>
          <w:smallCaps/>
          <w:color w:val="000000"/>
          <w:sz w:val="28"/>
          <w:szCs w:val="26"/>
        </w:rPr>
        <w:t>T</w:t>
      </w:r>
      <w:r w:rsidR="004120A4">
        <w:rPr>
          <w:smallCaps/>
          <w:color w:val="000000"/>
          <w:sz w:val="28"/>
          <w:szCs w:val="26"/>
        </w:rPr>
        <w:t>hur</w:t>
      </w:r>
      <w:r w:rsidR="00D21B2E">
        <w:rPr>
          <w:smallCaps/>
          <w:color w:val="000000"/>
          <w:sz w:val="28"/>
          <w:szCs w:val="26"/>
        </w:rPr>
        <w:t xml:space="preserve">sday, </w:t>
      </w:r>
      <w:r w:rsidR="009433BF">
        <w:rPr>
          <w:smallCaps/>
          <w:color w:val="000000"/>
          <w:sz w:val="28"/>
          <w:szCs w:val="26"/>
        </w:rPr>
        <w:t>17</w:t>
      </w:r>
      <w:r w:rsidR="00A55207">
        <w:rPr>
          <w:smallCaps/>
          <w:color w:val="000000"/>
          <w:sz w:val="28"/>
          <w:szCs w:val="26"/>
        </w:rPr>
        <w:t xml:space="preserve"> </w:t>
      </w:r>
      <w:r w:rsidR="009433BF">
        <w:rPr>
          <w:smallCaps/>
          <w:color w:val="000000"/>
          <w:sz w:val="28"/>
          <w:szCs w:val="26"/>
        </w:rPr>
        <w:t>December</w:t>
      </w:r>
      <w:r w:rsidR="00544893">
        <w:rPr>
          <w:smallCaps/>
          <w:color w:val="000000"/>
          <w:sz w:val="28"/>
          <w:szCs w:val="26"/>
        </w:rPr>
        <w:t xml:space="preserve"> 20</w:t>
      </w:r>
      <w:r w:rsidR="006A510F">
        <w:rPr>
          <w:smallCaps/>
          <w:color w:val="000000"/>
          <w:sz w:val="28"/>
          <w:szCs w:val="26"/>
        </w:rPr>
        <w:t>20</w:t>
      </w:r>
    </w:p>
    <w:p w:rsidR="008008DD" w:rsidRPr="00FE446B" w:rsidRDefault="008008DD" w:rsidP="00184056">
      <w:pPr>
        <w:pBdr>
          <w:bottom w:val="single" w:sz="4" w:space="1" w:color="auto"/>
        </w:pBdr>
        <w:spacing w:after="0" w:line="160" w:lineRule="exact"/>
        <w:jc w:val="center"/>
        <w:rPr>
          <w:color w:val="000000"/>
          <w:sz w:val="16"/>
        </w:rPr>
      </w:pPr>
    </w:p>
    <w:p w:rsidR="001B7138" w:rsidRDefault="001B7138" w:rsidP="00E65A23">
      <w:pPr>
        <w:spacing w:before="240" w:after="120" w:line="200" w:lineRule="exact"/>
        <w:jc w:val="center"/>
        <w:rPr>
          <w:b/>
          <w:smallCaps/>
          <w:sz w:val="20"/>
          <w:szCs w:val="20"/>
        </w:rPr>
      </w:pPr>
      <w:r w:rsidRPr="008008DD">
        <w:rPr>
          <w:b/>
          <w:smallCaps/>
          <w:sz w:val="20"/>
          <w:szCs w:val="20"/>
        </w:rPr>
        <w:t>Contents</w:t>
      </w:r>
    </w:p>
    <w:p w:rsidR="00283443" w:rsidRPr="004A28DE" w:rsidRDefault="00283443" w:rsidP="004A28DE">
      <w:pPr>
        <w:spacing w:after="0" w:line="20" w:lineRule="exact"/>
        <w:jc w:val="center"/>
        <w:rPr>
          <w:b/>
          <w:smallCaps/>
          <w:sz w:val="2"/>
          <w:szCs w:val="2"/>
        </w:rPr>
      </w:pPr>
    </w:p>
    <w:p w:rsidR="001B7138" w:rsidRPr="008B69C7" w:rsidRDefault="001B7138" w:rsidP="008B69C7">
      <w:pPr>
        <w:spacing w:after="0" w:line="140" w:lineRule="exact"/>
        <w:jc w:val="center"/>
        <w:rPr>
          <w:b/>
          <w:smallCaps/>
          <w:sz w:val="14"/>
          <w:szCs w:val="24"/>
        </w:rPr>
        <w:sectPr w:rsidR="001B7138" w:rsidRPr="008B69C7" w:rsidSect="00D51B65">
          <w:headerReference w:type="even" r:id="rId9"/>
          <w:headerReference w:type="default" r:id="rId10"/>
          <w:footerReference w:type="default" r:id="rId11"/>
          <w:headerReference w:type="first" r:id="rId12"/>
          <w:footerReference w:type="first" r:id="rId13"/>
          <w:pgSz w:w="11906" w:h="16838" w:code="9"/>
          <w:pgMar w:top="1134" w:right="1259" w:bottom="1134" w:left="1293" w:header="964" w:footer="1202" w:gutter="0"/>
          <w:pgNumType w:start="5739"/>
          <w:cols w:space="708"/>
          <w:titlePg/>
          <w:docGrid w:linePitch="360"/>
        </w:sectPr>
      </w:pPr>
    </w:p>
    <w:sdt>
      <w:sdtPr>
        <w:rPr>
          <w:b w:val="0"/>
          <w:smallCaps w:val="0"/>
          <w:color w:val="000000"/>
          <w:szCs w:val="26"/>
          <w:lang w:eastAsia="en-AU"/>
        </w:rPr>
        <w:id w:val="2137053951"/>
        <w:docPartObj>
          <w:docPartGallery w:val="Table of Contents"/>
          <w:docPartUnique/>
        </w:docPartObj>
      </w:sdtPr>
      <w:sdtEndPr>
        <w:rPr>
          <w:bCs/>
          <w:noProof/>
        </w:rPr>
      </w:sdtEndPr>
      <w:sdtContent>
        <w:p w:rsidR="000D4E00" w:rsidRPr="002D52CC" w:rsidRDefault="0041374F" w:rsidP="00280A5D">
          <w:pPr>
            <w:pStyle w:val="Heading5"/>
            <w:rPr>
              <w:rFonts w:eastAsiaTheme="minorEastAsia"/>
              <w:noProof/>
              <w:szCs w:val="17"/>
            </w:rPr>
          </w:pPr>
          <w:r w:rsidRPr="00995ACE">
            <w:rPr>
              <w:bCs/>
              <w:noProof/>
              <w:sz w:val="16"/>
              <w:szCs w:val="16"/>
            </w:rPr>
            <w:fldChar w:fldCharType="begin"/>
          </w:r>
          <w:r w:rsidRPr="00995ACE">
            <w:rPr>
              <w:bCs/>
              <w:noProof/>
              <w:sz w:val="16"/>
              <w:szCs w:val="16"/>
            </w:rPr>
            <w:instrText xml:space="preserve"> TOC \o "1-3" \h \z \u </w:instrText>
          </w:r>
          <w:r w:rsidRPr="00995ACE">
            <w:rPr>
              <w:bCs/>
              <w:noProof/>
              <w:sz w:val="16"/>
              <w:szCs w:val="16"/>
            </w:rPr>
            <w:fldChar w:fldCharType="separate"/>
          </w:r>
          <w:hyperlink w:anchor="_Toc59098919" w:history="1">
            <w:r w:rsidR="000D4E00" w:rsidRPr="002D52CC">
              <w:rPr>
                <w:rStyle w:val="Hyperlink"/>
                <w:noProof/>
                <w:szCs w:val="17"/>
              </w:rPr>
              <w:t>Governor’s Instruments</w:t>
            </w:r>
          </w:hyperlink>
        </w:p>
        <w:p w:rsidR="000D4E00" w:rsidRPr="002D52CC" w:rsidRDefault="00607847" w:rsidP="00280A5D">
          <w:pPr>
            <w:pStyle w:val="TOC2"/>
            <w:tabs>
              <w:tab w:val="right" w:leader="dot" w:pos="4550"/>
            </w:tabs>
            <w:rPr>
              <w:rFonts w:eastAsiaTheme="minorEastAsia"/>
              <w:noProof/>
              <w:color w:val="auto"/>
              <w:szCs w:val="17"/>
            </w:rPr>
          </w:pPr>
          <w:hyperlink w:anchor="_Toc59098920" w:history="1">
            <w:r w:rsidR="000D4E00" w:rsidRPr="002D52CC">
              <w:rPr>
                <w:rStyle w:val="Hyperlink"/>
                <w:noProof/>
                <w:szCs w:val="17"/>
              </w:rPr>
              <w:t>Appointments</w:t>
            </w:r>
            <w:r w:rsidR="000D4E00" w:rsidRPr="002D52CC">
              <w:rPr>
                <w:noProof/>
                <w:webHidden/>
                <w:szCs w:val="17"/>
              </w:rPr>
              <w:tab/>
            </w:r>
            <w:r w:rsidR="000D4E00" w:rsidRPr="002D52CC">
              <w:rPr>
                <w:noProof/>
                <w:webHidden/>
                <w:szCs w:val="17"/>
              </w:rPr>
              <w:fldChar w:fldCharType="begin"/>
            </w:r>
            <w:r w:rsidR="000D4E00" w:rsidRPr="002D52CC">
              <w:rPr>
                <w:noProof/>
                <w:webHidden/>
                <w:szCs w:val="17"/>
              </w:rPr>
              <w:instrText xml:space="preserve"> PAGEREF _Toc59098920 \h </w:instrText>
            </w:r>
            <w:r w:rsidR="000D4E00" w:rsidRPr="002D52CC">
              <w:rPr>
                <w:noProof/>
                <w:webHidden/>
                <w:szCs w:val="17"/>
              </w:rPr>
            </w:r>
            <w:r w:rsidR="000D4E00" w:rsidRPr="002D52CC">
              <w:rPr>
                <w:noProof/>
                <w:webHidden/>
                <w:szCs w:val="17"/>
              </w:rPr>
              <w:fldChar w:fldCharType="separate"/>
            </w:r>
            <w:r w:rsidR="003A4FC3">
              <w:rPr>
                <w:noProof/>
                <w:webHidden/>
                <w:szCs w:val="17"/>
              </w:rPr>
              <w:t>5740</w:t>
            </w:r>
            <w:r w:rsidR="000D4E00" w:rsidRPr="002D52CC">
              <w:rPr>
                <w:noProof/>
                <w:webHidden/>
                <w:szCs w:val="17"/>
              </w:rPr>
              <w:fldChar w:fldCharType="end"/>
            </w:r>
          </w:hyperlink>
        </w:p>
        <w:p w:rsidR="000D4E00" w:rsidRPr="002D52CC" w:rsidRDefault="00607847" w:rsidP="00280A5D">
          <w:pPr>
            <w:pStyle w:val="TOC2"/>
            <w:tabs>
              <w:tab w:val="right" w:leader="dot" w:pos="4550"/>
            </w:tabs>
            <w:rPr>
              <w:rFonts w:eastAsiaTheme="minorEastAsia"/>
              <w:noProof/>
              <w:color w:val="auto"/>
              <w:szCs w:val="17"/>
            </w:rPr>
          </w:pPr>
          <w:hyperlink w:anchor="_Toc59098921" w:history="1">
            <w:r w:rsidR="000D4E00" w:rsidRPr="002D52CC">
              <w:rPr>
                <w:rStyle w:val="Hyperlink"/>
                <w:noProof/>
                <w:szCs w:val="17"/>
              </w:rPr>
              <w:t>Proclamations</w:t>
            </w:r>
            <w:r w:rsidR="00280A5D" w:rsidRPr="002D52CC">
              <w:rPr>
                <w:noProof/>
                <w:webHidden/>
                <w:szCs w:val="17"/>
              </w:rPr>
              <w:t>—</w:t>
            </w:r>
          </w:hyperlink>
        </w:p>
        <w:p w:rsidR="000D4E00" w:rsidRPr="002D52CC" w:rsidRDefault="00607847" w:rsidP="005712C9">
          <w:pPr>
            <w:pStyle w:val="TOC3"/>
            <w:tabs>
              <w:tab w:val="right" w:leader="dot" w:pos="4550"/>
            </w:tabs>
            <w:spacing w:before="0" w:after="0" w:line="170" w:lineRule="exact"/>
            <w:ind w:left="142" w:hanging="142"/>
            <w:rPr>
              <w:rFonts w:eastAsiaTheme="minorEastAsia"/>
              <w:noProof/>
              <w:color w:val="auto"/>
              <w:szCs w:val="17"/>
            </w:rPr>
          </w:pPr>
          <w:hyperlink w:anchor="_Toc59098922" w:history="1">
            <w:r w:rsidR="000D4E00" w:rsidRPr="002D52CC">
              <w:rPr>
                <w:rStyle w:val="Hyperlink"/>
                <w:noProof/>
                <w:szCs w:val="17"/>
              </w:rPr>
              <w:t xml:space="preserve">Disability Inclusion Act (Commencement) </w:t>
            </w:r>
            <w:r w:rsidR="002D52CC" w:rsidRPr="002D52CC">
              <w:rPr>
                <w:rStyle w:val="Hyperlink"/>
                <w:noProof/>
                <w:szCs w:val="17"/>
              </w:rPr>
              <w:br/>
            </w:r>
            <w:r w:rsidR="000D4E00" w:rsidRPr="002D52CC">
              <w:rPr>
                <w:rStyle w:val="Hyperlink"/>
                <w:noProof/>
                <w:szCs w:val="17"/>
              </w:rPr>
              <w:t>Proclamation 2020</w:t>
            </w:r>
            <w:r w:rsidR="000D4E00" w:rsidRPr="002D52CC">
              <w:rPr>
                <w:noProof/>
                <w:webHidden/>
                <w:szCs w:val="17"/>
              </w:rPr>
              <w:tab/>
            </w:r>
            <w:r w:rsidR="000D4E00" w:rsidRPr="002D52CC">
              <w:rPr>
                <w:noProof/>
                <w:webHidden/>
                <w:szCs w:val="17"/>
              </w:rPr>
              <w:fldChar w:fldCharType="begin"/>
            </w:r>
            <w:r w:rsidR="000D4E00" w:rsidRPr="002D52CC">
              <w:rPr>
                <w:noProof/>
                <w:webHidden/>
                <w:szCs w:val="17"/>
              </w:rPr>
              <w:instrText xml:space="preserve"> PAGEREF _Toc59098922 \h </w:instrText>
            </w:r>
            <w:r w:rsidR="000D4E00" w:rsidRPr="002D52CC">
              <w:rPr>
                <w:noProof/>
                <w:webHidden/>
                <w:szCs w:val="17"/>
              </w:rPr>
            </w:r>
            <w:r w:rsidR="000D4E00" w:rsidRPr="002D52CC">
              <w:rPr>
                <w:noProof/>
                <w:webHidden/>
                <w:szCs w:val="17"/>
              </w:rPr>
              <w:fldChar w:fldCharType="separate"/>
            </w:r>
            <w:r w:rsidR="003A4FC3">
              <w:rPr>
                <w:noProof/>
                <w:webHidden/>
                <w:szCs w:val="17"/>
              </w:rPr>
              <w:t>5743</w:t>
            </w:r>
            <w:r w:rsidR="000D4E00" w:rsidRPr="002D52CC">
              <w:rPr>
                <w:noProof/>
                <w:webHidden/>
                <w:szCs w:val="17"/>
              </w:rPr>
              <w:fldChar w:fldCharType="end"/>
            </w:r>
          </w:hyperlink>
        </w:p>
        <w:p w:rsidR="000D4E00" w:rsidRPr="002D52CC" w:rsidRDefault="00607847" w:rsidP="005712C9">
          <w:pPr>
            <w:pStyle w:val="TOC3"/>
            <w:tabs>
              <w:tab w:val="right" w:leader="dot" w:pos="4550"/>
            </w:tabs>
            <w:spacing w:before="0" w:after="0" w:line="170" w:lineRule="exact"/>
            <w:ind w:left="142" w:hanging="142"/>
            <w:rPr>
              <w:rFonts w:eastAsiaTheme="minorEastAsia"/>
              <w:noProof/>
              <w:color w:val="auto"/>
              <w:szCs w:val="17"/>
            </w:rPr>
          </w:pPr>
          <w:hyperlink w:anchor="_Toc59098923" w:history="1">
            <w:r w:rsidR="000D4E00" w:rsidRPr="002D52CC">
              <w:rPr>
                <w:rStyle w:val="Hyperlink"/>
                <w:noProof/>
                <w:szCs w:val="17"/>
              </w:rPr>
              <w:t xml:space="preserve">Health Care (Safe Access) Amendment Act </w:t>
            </w:r>
            <w:r w:rsidR="002D52CC" w:rsidRPr="002D52CC">
              <w:rPr>
                <w:rStyle w:val="Hyperlink"/>
                <w:noProof/>
                <w:szCs w:val="17"/>
              </w:rPr>
              <w:br/>
            </w:r>
            <w:r w:rsidR="000D4E00" w:rsidRPr="002D52CC">
              <w:rPr>
                <w:rStyle w:val="Hyperlink"/>
                <w:noProof/>
                <w:szCs w:val="17"/>
              </w:rPr>
              <w:t>(Commencement) Proclamation 2020</w:t>
            </w:r>
            <w:r w:rsidR="000D4E00" w:rsidRPr="002D52CC">
              <w:rPr>
                <w:noProof/>
                <w:webHidden/>
                <w:szCs w:val="17"/>
              </w:rPr>
              <w:tab/>
            </w:r>
            <w:r w:rsidR="000D4E00" w:rsidRPr="002D52CC">
              <w:rPr>
                <w:noProof/>
                <w:webHidden/>
                <w:szCs w:val="17"/>
              </w:rPr>
              <w:fldChar w:fldCharType="begin"/>
            </w:r>
            <w:r w:rsidR="000D4E00" w:rsidRPr="002D52CC">
              <w:rPr>
                <w:noProof/>
                <w:webHidden/>
                <w:szCs w:val="17"/>
              </w:rPr>
              <w:instrText xml:space="preserve"> PAGEREF _Toc59098923 \h </w:instrText>
            </w:r>
            <w:r w:rsidR="000D4E00" w:rsidRPr="002D52CC">
              <w:rPr>
                <w:noProof/>
                <w:webHidden/>
                <w:szCs w:val="17"/>
              </w:rPr>
            </w:r>
            <w:r w:rsidR="000D4E00" w:rsidRPr="002D52CC">
              <w:rPr>
                <w:noProof/>
                <w:webHidden/>
                <w:szCs w:val="17"/>
              </w:rPr>
              <w:fldChar w:fldCharType="separate"/>
            </w:r>
            <w:r w:rsidR="003A4FC3">
              <w:rPr>
                <w:noProof/>
                <w:webHidden/>
                <w:szCs w:val="17"/>
              </w:rPr>
              <w:t>5743</w:t>
            </w:r>
            <w:r w:rsidR="000D4E00" w:rsidRPr="002D52CC">
              <w:rPr>
                <w:noProof/>
                <w:webHidden/>
                <w:szCs w:val="17"/>
              </w:rPr>
              <w:fldChar w:fldCharType="end"/>
            </w:r>
          </w:hyperlink>
        </w:p>
        <w:p w:rsidR="000D4E00" w:rsidRPr="002D52CC" w:rsidRDefault="00607847" w:rsidP="005712C9">
          <w:pPr>
            <w:pStyle w:val="TOC3"/>
            <w:tabs>
              <w:tab w:val="right" w:leader="dot" w:pos="4550"/>
            </w:tabs>
            <w:spacing w:before="0" w:after="0" w:line="170" w:lineRule="exact"/>
            <w:ind w:left="142" w:hanging="142"/>
            <w:rPr>
              <w:rFonts w:eastAsiaTheme="minorEastAsia"/>
              <w:noProof/>
              <w:color w:val="auto"/>
              <w:szCs w:val="17"/>
            </w:rPr>
          </w:pPr>
          <w:hyperlink w:anchor="_Toc59098924" w:history="1">
            <w:r w:rsidR="000D4E00" w:rsidRPr="002D52CC">
              <w:rPr>
                <w:rStyle w:val="Hyperlink"/>
                <w:noProof/>
                <w:szCs w:val="17"/>
              </w:rPr>
              <w:t xml:space="preserve">Statutes Amendment (Bail Authorities) Act </w:t>
            </w:r>
            <w:r w:rsidR="002D52CC" w:rsidRPr="002D52CC">
              <w:rPr>
                <w:rStyle w:val="Hyperlink"/>
                <w:noProof/>
                <w:szCs w:val="17"/>
              </w:rPr>
              <w:br/>
            </w:r>
            <w:r w:rsidR="000D4E00" w:rsidRPr="002D52CC">
              <w:rPr>
                <w:rStyle w:val="Hyperlink"/>
                <w:noProof/>
                <w:szCs w:val="17"/>
              </w:rPr>
              <w:t>(Commencement) Proclamation 2020</w:t>
            </w:r>
            <w:r w:rsidR="000D4E00" w:rsidRPr="002D52CC">
              <w:rPr>
                <w:noProof/>
                <w:webHidden/>
                <w:szCs w:val="17"/>
              </w:rPr>
              <w:tab/>
            </w:r>
            <w:r w:rsidR="000D4E00" w:rsidRPr="002D52CC">
              <w:rPr>
                <w:noProof/>
                <w:webHidden/>
                <w:szCs w:val="17"/>
              </w:rPr>
              <w:fldChar w:fldCharType="begin"/>
            </w:r>
            <w:r w:rsidR="000D4E00" w:rsidRPr="002D52CC">
              <w:rPr>
                <w:noProof/>
                <w:webHidden/>
                <w:szCs w:val="17"/>
              </w:rPr>
              <w:instrText xml:space="preserve"> PAGEREF _Toc59098924 \h </w:instrText>
            </w:r>
            <w:r w:rsidR="000D4E00" w:rsidRPr="002D52CC">
              <w:rPr>
                <w:noProof/>
                <w:webHidden/>
                <w:szCs w:val="17"/>
              </w:rPr>
            </w:r>
            <w:r w:rsidR="000D4E00" w:rsidRPr="002D52CC">
              <w:rPr>
                <w:noProof/>
                <w:webHidden/>
                <w:szCs w:val="17"/>
              </w:rPr>
              <w:fldChar w:fldCharType="separate"/>
            </w:r>
            <w:r w:rsidR="003A4FC3">
              <w:rPr>
                <w:noProof/>
                <w:webHidden/>
                <w:szCs w:val="17"/>
              </w:rPr>
              <w:t>5744</w:t>
            </w:r>
            <w:r w:rsidR="000D4E00" w:rsidRPr="002D52CC">
              <w:rPr>
                <w:noProof/>
                <w:webHidden/>
                <w:szCs w:val="17"/>
              </w:rPr>
              <w:fldChar w:fldCharType="end"/>
            </w:r>
          </w:hyperlink>
        </w:p>
        <w:p w:rsidR="000D4E00" w:rsidRPr="002D52CC" w:rsidRDefault="00607847" w:rsidP="005712C9">
          <w:pPr>
            <w:pStyle w:val="TOC3"/>
            <w:tabs>
              <w:tab w:val="right" w:leader="dot" w:pos="4550"/>
            </w:tabs>
            <w:spacing w:before="0" w:after="0" w:line="170" w:lineRule="exact"/>
            <w:ind w:left="142" w:hanging="142"/>
            <w:rPr>
              <w:rFonts w:eastAsiaTheme="minorEastAsia"/>
              <w:noProof/>
              <w:color w:val="auto"/>
              <w:szCs w:val="17"/>
            </w:rPr>
          </w:pPr>
          <w:hyperlink w:anchor="_Toc59098925" w:history="1">
            <w:r w:rsidR="000D4E00" w:rsidRPr="002D52CC">
              <w:rPr>
                <w:rStyle w:val="Hyperlink"/>
                <w:noProof/>
                <w:szCs w:val="17"/>
              </w:rPr>
              <w:t>Statutes Amendment (Screening) Act (Commencement) Proclamation 2020</w:t>
            </w:r>
            <w:r w:rsidR="000D4E00" w:rsidRPr="002D52CC">
              <w:rPr>
                <w:noProof/>
                <w:webHidden/>
                <w:szCs w:val="17"/>
              </w:rPr>
              <w:tab/>
            </w:r>
            <w:r w:rsidR="000D4E00" w:rsidRPr="002D52CC">
              <w:rPr>
                <w:noProof/>
                <w:webHidden/>
                <w:szCs w:val="17"/>
              </w:rPr>
              <w:fldChar w:fldCharType="begin"/>
            </w:r>
            <w:r w:rsidR="000D4E00" w:rsidRPr="002D52CC">
              <w:rPr>
                <w:noProof/>
                <w:webHidden/>
                <w:szCs w:val="17"/>
              </w:rPr>
              <w:instrText xml:space="preserve"> PAGEREF _Toc59098925 \h </w:instrText>
            </w:r>
            <w:r w:rsidR="000D4E00" w:rsidRPr="002D52CC">
              <w:rPr>
                <w:noProof/>
                <w:webHidden/>
                <w:szCs w:val="17"/>
              </w:rPr>
            </w:r>
            <w:r w:rsidR="000D4E00" w:rsidRPr="002D52CC">
              <w:rPr>
                <w:noProof/>
                <w:webHidden/>
                <w:szCs w:val="17"/>
              </w:rPr>
              <w:fldChar w:fldCharType="separate"/>
            </w:r>
            <w:r w:rsidR="003A4FC3">
              <w:rPr>
                <w:noProof/>
                <w:webHidden/>
                <w:szCs w:val="17"/>
              </w:rPr>
              <w:t>5744</w:t>
            </w:r>
            <w:r w:rsidR="000D4E00" w:rsidRPr="002D52CC">
              <w:rPr>
                <w:noProof/>
                <w:webHidden/>
                <w:szCs w:val="17"/>
              </w:rPr>
              <w:fldChar w:fldCharType="end"/>
            </w:r>
          </w:hyperlink>
        </w:p>
        <w:p w:rsidR="000D4E00" w:rsidRPr="002D52CC" w:rsidRDefault="00607847" w:rsidP="005712C9">
          <w:pPr>
            <w:pStyle w:val="TOC3"/>
            <w:tabs>
              <w:tab w:val="right" w:leader="dot" w:pos="4550"/>
            </w:tabs>
            <w:spacing w:before="0" w:after="0" w:line="170" w:lineRule="exact"/>
            <w:ind w:left="142" w:hanging="142"/>
            <w:rPr>
              <w:rFonts w:eastAsiaTheme="minorEastAsia"/>
              <w:noProof/>
              <w:color w:val="auto"/>
              <w:szCs w:val="17"/>
            </w:rPr>
          </w:pPr>
          <w:hyperlink w:anchor="_Toc59098926" w:history="1">
            <w:r w:rsidR="000D4E00" w:rsidRPr="002D52CC">
              <w:rPr>
                <w:rStyle w:val="Hyperlink"/>
                <w:noProof/>
                <w:szCs w:val="17"/>
              </w:rPr>
              <w:t xml:space="preserve">Youth Court (Designation and Classification of </w:t>
            </w:r>
            <w:r w:rsidR="00384F98" w:rsidRPr="002D52CC">
              <w:rPr>
                <w:rStyle w:val="Hyperlink"/>
                <w:noProof/>
                <w:szCs w:val="17"/>
              </w:rPr>
              <w:br/>
            </w:r>
            <w:r w:rsidR="000D4E00" w:rsidRPr="002D52CC">
              <w:rPr>
                <w:rStyle w:val="Hyperlink"/>
                <w:noProof/>
                <w:szCs w:val="17"/>
              </w:rPr>
              <w:t>Cross</w:t>
            </w:r>
            <w:r w:rsidR="000D4E00" w:rsidRPr="002D52CC">
              <w:rPr>
                <w:rStyle w:val="Hyperlink"/>
                <w:noProof/>
                <w:szCs w:val="17"/>
              </w:rPr>
              <w:noBreakHyphen/>
              <w:t>border Magistrates) Proclamation 2020</w:t>
            </w:r>
            <w:r w:rsidR="000D4E00" w:rsidRPr="002D52CC">
              <w:rPr>
                <w:noProof/>
                <w:webHidden/>
                <w:szCs w:val="17"/>
              </w:rPr>
              <w:tab/>
            </w:r>
            <w:r w:rsidR="000D4E00" w:rsidRPr="002D52CC">
              <w:rPr>
                <w:noProof/>
                <w:webHidden/>
                <w:szCs w:val="17"/>
              </w:rPr>
              <w:fldChar w:fldCharType="begin"/>
            </w:r>
            <w:r w:rsidR="000D4E00" w:rsidRPr="002D52CC">
              <w:rPr>
                <w:noProof/>
                <w:webHidden/>
                <w:szCs w:val="17"/>
              </w:rPr>
              <w:instrText xml:space="preserve"> PAGEREF _Toc59098926 \h </w:instrText>
            </w:r>
            <w:r w:rsidR="000D4E00" w:rsidRPr="002D52CC">
              <w:rPr>
                <w:noProof/>
                <w:webHidden/>
                <w:szCs w:val="17"/>
              </w:rPr>
            </w:r>
            <w:r w:rsidR="000D4E00" w:rsidRPr="002D52CC">
              <w:rPr>
                <w:noProof/>
                <w:webHidden/>
                <w:szCs w:val="17"/>
              </w:rPr>
              <w:fldChar w:fldCharType="separate"/>
            </w:r>
            <w:r w:rsidR="003A4FC3">
              <w:rPr>
                <w:noProof/>
                <w:webHidden/>
                <w:szCs w:val="17"/>
              </w:rPr>
              <w:t>5745</w:t>
            </w:r>
            <w:r w:rsidR="000D4E00" w:rsidRPr="002D52CC">
              <w:rPr>
                <w:noProof/>
                <w:webHidden/>
                <w:szCs w:val="17"/>
              </w:rPr>
              <w:fldChar w:fldCharType="end"/>
            </w:r>
          </w:hyperlink>
        </w:p>
        <w:p w:rsidR="000D4E00" w:rsidRPr="002D52CC" w:rsidRDefault="00607847" w:rsidP="005712C9">
          <w:pPr>
            <w:pStyle w:val="TOC3"/>
            <w:tabs>
              <w:tab w:val="right" w:leader="dot" w:pos="4550"/>
            </w:tabs>
            <w:spacing w:before="0" w:after="0" w:line="170" w:lineRule="exact"/>
            <w:ind w:left="142" w:hanging="142"/>
            <w:rPr>
              <w:rFonts w:eastAsiaTheme="minorEastAsia"/>
              <w:noProof/>
              <w:color w:val="auto"/>
              <w:szCs w:val="17"/>
            </w:rPr>
          </w:pPr>
          <w:hyperlink w:anchor="_Toc59098927" w:history="1">
            <w:r w:rsidR="000D4E00" w:rsidRPr="002D52CC">
              <w:rPr>
                <w:rStyle w:val="Hyperlink"/>
                <w:noProof/>
                <w:szCs w:val="17"/>
              </w:rPr>
              <w:t xml:space="preserve">Youth Court (Designation and Classification of </w:t>
            </w:r>
            <w:r w:rsidR="002F080A">
              <w:rPr>
                <w:rStyle w:val="Hyperlink"/>
                <w:noProof/>
                <w:szCs w:val="17"/>
              </w:rPr>
              <w:br/>
            </w:r>
            <w:r w:rsidR="000D4E00" w:rsidRPr="002D52CC">
              <w:rPr>
                <w:rStyle w:val="Hyperlink"/>
                <w:noProof/>
                <w:szCs w:val="17"/>
              </w:rPr>
              <w:t>Magistrate) Proclamation 2020</w:t>
            </w:r>
            <w:r w:rsidR="000D4E00" w:rsidRPr="002D52CC">
              <w:rPr>
                <w:noProof/>
                <w:webHidden/>
                <w:szCs w:val="17"/>
              </w:rPr>
              <w:tab/>
            </w:r>
            <w:r w:rsidR="000D4E00" w:rsidRPr="002D52CC">
              <w:rPr>
                <w:noProof/>
                <w:webHidden/>
                <w:szCs w:val="17"/>
              </w:rPr>
              <w:fldChar w:fldCharType="begin"/>
            </w:r>
            <w:r w:rsidR="000D4E00" w:rsidRPr="002D52CC">
              <w:rPr>
                <w:noProof/>
                <w:webHidden/>
                <w:szCs w:val="17"/>
              </w:rPr>
              <w:instrText xml:space="preserve"> PAGEREF _Toc59098927 \h </w:instrText>
            </w:r>
            <w:r w:rsidR="000D4E00" w:rsidRPr="002D52CC">
              <w:rPr>
                <w:noProof/>
                <w:webHidden/>
                <w:szCs w:val="17"/>
              </w:rPr>
            </w:r>
            <w:r w:rsidR="000D4E00" w:rsidRPr="002D52CC">
              <w:rPr>
                <w:noProof/>
                <w:webHidden/>
                <w:szCs w:val="17"/>
              </w:rPr>
              <w:fldChar w:fldCharType="separate"/>
            </w:r>
            <w:r w:rsidR="003A4FC3">
              <w:rPr>
                <w:noProof/>
                <w:webHidden/>
                <w:szCs w:val="17"/>
              </w:rPr>
              <w:t>5746</w:t>
            </w:r>
            <w:r w:rsidR="000D4E00" w:rsidRPr="002D52CC">
              <w:rPr>
                <w:noProof/>
                <w:webHidden/>
                <w:szCs w:val="17"/>
              </w:rPr>
              <w:fldChar w:fldCharType="end"/>
            </w:r>
          </w:hyperlink>
        </w:p>
        <w:p w:rsidR="000D4E00" w:rsidRPr="002D52CC" w:rsidRDefault="00607847" w:rsidP="00280A5D">
          <w:pPr>
            <w:pStyle w:val="TOC2"/>
            <w:tabs>
              <w:tab w:val="right" w:leader="dot" w:pos="4550"/>
            </w:tabs>
            <w:rPr>
              <w:rFonts w:eastAsiaTheme="minorEastAsia"/>
              <w:noProof/>
              <w:color w:val="auto"/>
              <w:szCs w:val="17"/>
            </w:rPr>
          </w:pPr>
          <w:hyperlink w:anchor="_Toc59098928" w:history="1">
            <w:r w:rsidR="000D4E00" w:rsidRPr="002D52CC">
              <w:rPr>
                <w:rStyle w:val="Hyperlink"/>
                <w:noProof/>
                <w:szCs w:val="17"/>
              </w:rPr>
              <w:t>Regulations</w:t>
            </w:r>
            <w:r w:rsidR="00280A5D" w:rsidRPr="002D52CC">
              <w:rPr>
                <w:noProof/>
                <w:webHidden/>
                <w:szCs w:val="17"/>
              </w:rPr>
              <w:t>—</w:t>
            </w:r>
          </w:hyperlink>
        </w:p>
        <w:p w:rsidR="000D4E00" w:rsidRPr="002D52CC" w:rsidRDefault="00607847" w:rsidP="005712C9">
          <w:pPr>
            <w:pStyle w:val="TOC3"/>
            <w:tabs>
              <w:tab w:val="right" w:leader="dot" w:pos="4550"/>
            </w:tabs>
            <w:spacing w:before="0" w:after="0" w:line="170" w:lineRule="exact"/>
            <w:ind w:left="142" w:hanging="142"/>
            <w:rPr>
              <w:rFonts w:eastAsiaTheme="minorEastAsia"/>
              <w:noProof/>
              <w:color w:val="auto"/>
              <w:szCs w:val="17"/>
            </w:rPr>
          </w:pPr>
          <w:hyperlink w:anchor="_Toc59098929" w:history="1">
            <w:r w:rsidR="000D4E00" w:rsidRPr="002D52CC">
              <w:rPr>
                <w:rStyle w:val="Hyperlink"/>
                <w:noProof/>
                <w:szCs w:val="17"/>
              </w:rPr>
              <w:t>Environment Protection (Variation of Act, Schedule 1) Regulations 2020</w:t>
            </w:r>
            <w:r w:rsidR="00211432" w:rsidRPr="002D52CC">
              <w:rPr>
                <w:rStyle w:val="Hyperlink"/>
                <w:noProof/>
                <w:szCs w:val="17"/>
              </w:rPr>
              <w:t>—No. 311 of 2020</w:t>
            </w:r>
            <w:r w:rsidR="000D4E00" w:rsidRPr="002D52CC">
              <w:rPr>
                <w:noProof/>
                <w:webHidden/>
                <w:szCs w:val="17"/>
              </w:rPr>
              <w:tab/>
            </w:r>
            <w:r w:rsidR="000D4E00" w:rsidRPr="002D52CC">
              <w:rPr>
                <w:noProof/>
                <w:webHidden/>
                <w:szCs w:val="17"/>
              </w:rPr>
              <w:fldChar w:fldCharType="begin"/>
            </w:r>
            <w:r w:rsidR="000D4E00" w:rsidRPr="002D52CC">
              <w:rPr>
                <w:noProof/>
                <w:webHidden/>
                <w:szCs w:val="17"/>
              </w:rPr>
              <w:instrText xml:space="preserve"> PAGEREF _Toc59098929 \h </w:instrText>
            </w:r>
            <w:r w:rsidR="000D4E00" w:rsidRPr="002D52CC">
              <w:rPr>
                <w:noProof/>
                <w:webHidden/>
                <w:szCs w:val="17"/>
              </w:rPr>
            </w:r>
            <w:r w:rsidR="000D4E00" w:rsidRPr="002D52CC">
              <w:rPr>
                <w:noProof/>
                <w:webHidden/>
                <w:szCs w:val="17"/>
              </w:rPr>
              <w:fldChar w:fldCharType="separate"/>
            </w:r>
            <w:r w:rsidR="003A4FC3">
              <w:rPr>
                <w:noProof/>
                <w:webHidden/>
                <w:szCs w:val="17"/>
              </w:rPr>
              <w:t>5747</w:t>
            </w:r>
            <w:r w:rsidR="000D4E00" w:rsidRPr="002D52CC">
              <w:rPr>
                <w:noProof/>
                <w:webHidden/>
                <w:szCs w:val="17"/>
              </w:rPr>
              <w:fldChar w:fldCharType="end"/>
            </w:r>
          </w:hyperlink>
        </w:p>
        <w:p w:rsidR="000D4E00" w:rsidRPr="002D52CC" w:rsidRDefault="00607847" w:rsidP="005712C9">
          <w:pPr>
            <w:pStyle w:val="TOC3"/>
            <w:tabs>
              <w:tab w:val="right" w:leader="dot" w:pos="4550"/>
            </w:tabs>
            <w:spacing w:before="0" w:after="0" w:line="170" w:lineRule="exact"/>
            <w:ind w:left="142" w:hanging="142"/>
            <w:rPr>
              <w:rFonts w:eastAsiaTheme="minorEastAsia"/>
              <w:noProof/>
              <w:color w:val="auto"/>
              <w:szCs w:val="17"/>
            </w:rPr>
          </w:pPr>
          <w:hyperlink w:anchor="_Toc59098930" w:history="1">
            <w:r w:rsidR="000D4E00" w:rsidRPr="002D52CC">
              <w:rPr>
                <w:rStyle w:val="Hyperlink"/>
                <w:noProof/>
                <w:szCs w:val="17"/>
              </w:rPr>
              <w:t>Environment Protection (Environmental Authorisations—</w:t>
            </w:r>
            <w:r w:rsidR="00DB328E" w:rsidRPr="002D52CC">
              <w:rPr>
                <w:rStyle w:val="Hyperlink"/>
                <w:noProof/>
                <w:szCs w:val="17"/>
              </w:rPr>
              <w:br/>
            </w:r>
            <w:r w:rsidR="000D4E00" w:rsidRPr="002D52CC">
              <w:rPr>
                <w:rStyle w:val="Hyperlink"/>
                <w:noProof/>
                <w:szCs w:val="17"/>
              </w:rPr>
              <w:t>Fees) Variation Regulations 2020</w:t>
            </w:r>
            <w:r w:rsidR="00211432" w:rsidRPr="002D52CC">
              <w:rPr>
                <w:rStyle w:val="Hyperlink"/>
                <w:noProof/>
                <w:szCs w:val="17"/>
              </w:rPr>
              <w:t>—</w:t>
            </w:r>
            <w:r w:rsidR="00A578E8">
              <w:rPr>
                <w:rStyle w:val="Hyperlink"/>
                <w:noProof/>
                <w:szCs w:val="17"/>
              </w:rPr>
              <w:br/>
            </w:r>
            <w:r w:rsidR="00211432" w:rsidRPr="002D52CC">
              <w:rPr>
                <w:rStyle w:val="Hyperlink"/>
                <w:noProof/>
                <w:szCs w:val="17"/>
              </w:rPr>
              <w:t>No. 31</w:t>
            </w:r>
            <w:r w:rsidR="000D07D2" w:rsidRPr="002D52CC">
              <w:rPr>
                <w:rStyle w:val="Hyperlink"/>
                <w:noProof/>
                <w:szCs w:val="17"/>
              </w:rPr>
              <w:t>2</w:t>
            </w:r>
            <w:r w:rsidR="00211432" w:rsidRPr="002D52CC">
              <w:rPr>
                <w:rStyle w:val="Hyperlink"/>
                <w:noProof/>
                <w:szCs w:val="17"/>
              </w:rPr>
              <w:t xml:space="preserve"> of 2020</w:t>
            </w:r>
            <w:r w:rsidR="000D4E00" w:rsidRPr="002D52CC">
              <w:rPr>
                <w:noProof/>
                <w:webHidden/>
                <w:szCs w:val="17"/>
              </w:rPr>
              <w:tab/>
            </w:r>
            <w:r w:rsidR="000D4E00" w:rsidRPr="002D52CC">
              <w:rPr>
                <w:noProof/>
                <w:webHidden/>
                <w:szCs w:val="17"/>
              </w:rPr>
              <w:fldChar w:fldCharType="begin"/>
            </w:r>
            <w:r w:rsidR="000D4E00" w:rsidRPr="002D52CC">
              <w:rPr>
                <w:noProof/>
                <w:webHidden/>
                <w:szCs w:val="17"/>
              </w:rPr>
              <w:instrText xml:space="preserve"> PAGEREF _Toc59098930 \h </w:instrText>
            </w:r>
            <w:r w:rsidR="000D4E00" w:rsidRPr="002D52CC">
              <w:rPr>
                <w:noProof/>
                <w:webHidden/>
                <w:szCs w:val="17"/>
              </w:rPr>
            </w:r>
            <w:r w:rsidR="000D4E00" w:rsidRPr="002D52CC">
              <w:rPr>
                <w:noProof/>
                <w:webHidden/>
                <w:szCs w:val="17"/>
              </w:rPr>
              <w:fldChar w:fldCharType="separate"/>
            </w:r>
            <w:r w:rsidR="003A4FC3">
              <w:rPr>
                <w:noProof/>
                <w:webHidden/>
                <w:szCs w:val="17"/>
              </w:rPr>
              <w:t>5750</w:t>
            </w:r>
            <w:r w:rsidR="000D4E00" w:rsidRPr="002D52CC">
              <w:rPr>
                <w:noProof/>
                <w:webHidden/>
                <w:szCs w:val="17"/>
              </w:rPr>
              <w:fldChar w:fldCharType="end"/>
            </w:r>
          </w:hyperlink>
        </w:p>
        <w:p w:rsidR="000D4E00" w:rsidRPr="002D52CC" w:rsidRDefault="00607847" w:rsidP="005712C9">
          <w:pPr>
            <w:pStyle w:val="TOC3"/>
            <w:tabs>
              <w:tab w:val="right" w:leader="dot" w:pos="4550"/>
            </w:tabs>
            <w:spacing w:before="0" w:after="0" w:line="170" w:lineRule="exact"/>
            <w:ind w:left="142" w:hanging="142"/>
            <w:rPr>
              <w:rFonts w:eastAsiaTheme="minorEastAsia"/>
              <w:noProof/>
              <w:color w:val="auto"/>
              <w:szCs w:val="17"/>
            </w:rPr>
          </w:pPr>
          <w:hyperlink w:anchor="_Toc59098931" w:history="1">
            <w:r w:rsidR="000D4E00" w:rsidRPr="002D52CC">
              <w:rPr>
                <w:rStyle w:val="Hyperlink"/>
                <w:noProof/>
                <w:szCs w:val="17"/>
              </w:rPr>
              <w:t xml:space="preserve">Criminal Law Consolidation (Criminal Organisations) </w:t>
            </w:r>
            <w:r w:rsidR="00DB328E" w:rsidRPr="002D52CC">
              <w:rPr>
                <w:rStyle w:val="Hyperlink"/>
                <w:noProof/>
                <w:szCs w:val="17"/>
              </w:rPr>
              <w:br/>
            </w:r>
            <w:r w:rsidR="000D4E00" w:rsidRPr="002D52CC">
              <w:rPr>
                <w:rStyle w:val="Hyperlink"/>
                <w:noProof/>
                <w:szCs w:val="17"/>
              </w:rPr>
              <w:t xml:space="preserve">(Prescribed Place—Cowirra) Variation </w:t>
            </w:r>
            <w:r w:rsidR="002F080A">
              <w:rPr>
                <w:rStyle w:val="Hyperlink"/>
                <w:noProof/>
                <w:szCs w:val="17"/>
              </w:rPr>
              <w:br/>
            </w:r>
            <w:r w:rsidR="000D4E00" w:rsidRPr="002D52CC">
              <w:rPr>
                <w:rStyle w:val="Hyperlink"/>
                <w:noProof/>
                <w:szCs w:val="17"/>
              </w:rPr>
              <w:t>Regulations 2020</w:t>
            </w:r>
            <w:r w:rsidR="00211432" w:rsidRPr="002D52CC">
              <w:rPr>
                <w:rStyle w:val="Hyperlink"/>
                <w:noProof/>
                <w:szCs w:val="17"/>
              </w:rPr>
              <w:t>—No. 31</w:t>
            </w:r>
            <w:r w:rsidR="000D07D2" w:rsidRPr="002D52CC">
              <w:rPr>
                <w:rStyle w:val="Hyperlink"/>
                <w:noProof/>
                <w:szCs w:val="17"/>
              </w:rPr>
              <w:t>3</w:t>
            </w:r>
            <w:r w:rsidR="00211432" w:rsidRPr="002D52CC">
              <w:rPr>
                <w:rStyle w:val="Hyperlink"/>
                <w:noProof/>
                <w:szCs w:val="17"/>
              </w:rPr>
              <w:t xml:space="preserve"> of 2020</w:t>
            </w:r>
            <w:r w:rsidR="000D4E00" w:rsidRPr="002D52CC">
              <w:rPr>
                <w:noProof/>
                <w:webHidden/>
                <w:szCs w:val="17"/>
              </w:rPr>
              <w:tab/>
            </w:r>
            <w:r w:rsidR="000D4E00" w:rsidRPr="002D52CC">
              <w:rPr>
                <w:noProof/>
                <w:webHidden/>
                <w:szCs w:val="17"/>
              </w:rPr>
              <w:fldChar w:fldCharType="begin"/>
            </w:r>
            <w:r w:rsidR="000D4E00" w:rsidRPr="002D52CC">
              <w:rPr>
                <w:noProof/>
                <w:webHidden/>
                <w:szCs w:val="17"/>
              </w:rPr>
              <w:instrText xml:space="preserve"> PAGEREF _Toc59098931 \h </w:instrText>
            </w:r>
            <w:r w:rsidR="000D4E00" w:rsidRPr="002D52CC">
              <w:rPr>
                <w:noProof/>
                <w:webHidden/>
                <w:szCs w:val="17"/>
              </w:rPr>
            </w:r>
            <w:r w:rsidR="000D4E00" w:rsidRPr="002D52CC">
              <w:rPr>
                <w:noProof/>
                <w:webHidden/>
                <w:szCs w:val="17"/>
              </w:rPr>
              <w:fldChar w:fldCharType="separate"/>
            </w:r>
            <w:r w:rsidR="003A4FC3">
              <w:rPr>
                <w:noProof/>
                <w:webHidden/>
                <w:szCs w:val="17"/>
              </w:rPr>
              <w:t>5755</w:t>
            </w:r>
            <w:r w:rsidR="000D4E00" w:rsidRPr="002D52CC">
              <w:rPr>
                <w:noProof/>
                <w:webHidden/>
                <w:szCs w:val="17"/>
              </w:rPr>
              <w:fldChar w:fldCharType="end"/>
            </w:r>
          </w:hyperlink>
        </w:p>
        <w:p w:rsidR="000D4E00" w:rsidRPr="002D52CC" w:rsidRDefault="00607847" w:rsidP="005712C9">
          <w:pPr>
            <w:pStyle w:val="TOC3"/>
            <w:tabs>
              <w:tab w:val="right" w:leader="dot" w:pos="4550"/>
            </w:tabs>
            <w:spacing w:before="0" w:after="0" w:line="170" w:lineRule="exact"/>
            <w:ind w:left="142" w:hanging="142"/>
            <w:rPr>
              <w:rFonts w:eastAsiaTheme="minorEastAsia"/>
              <w:noProof/>
              <w:color w:val="auto"/>
              <w:szCs w:val="17"/>
            </w:rPr>
          </w:pPr>
          <w:hyperlink w:anchor="_Toc59098932" w:history="1">
            <w:r w:rsidR="000D4E00" w:rsidRPr="002D52CC">
              <w:rPr>
                <w:rStyle w:val="Hyperlink"/>
                <w:noProof/>
                <w:szCs w:val="17"/>
              </w:rPr>
              <w:t xml:space="preserve">Criminal Law Consolidation (Criminal Organisations) </w:t>
            </w:r>
            <w:r w:rsidR="00DB328E" w:rsidRPr="002D52CC">
              <w:rPr>
                <w:rStyle w:val="Hyperlink"/>
                <w:noProof/>
                <w:szCs w:val="17"/>
              </w:rPr>
              <w:br/>
            </w:r>
            <w:r w:rsidR="000D4E00" w:rsidRPr="002D52CC">
              <w:rPr>
                <w:rStyle w:val="Hyperlink"/>
                <w:noProof/>
                <w:szCs w:val="17"/>
              </w:rPr>
              <w:t xml:space="preserve">(Prescribed Place—Cowirra) (No 2) Variation </w:t>
            </w:r>
            <w:r w:rsidR="00DB328E" w:rsidRPr="002D52CC">
              <w:rPr>
                <w:rStyle w:val="Hyperlink"/>
                <w:noProof/>
                <w:szCs w:val="17"/>
              </w:rPr>
              <w:br/>
            </w:r>
            <w:r w:rsidR="000D4E00" w:rsidRPr="002D52CC">
              <w:rPr>
                <w:rStyle w:val="Hyperlink"/>
                <w:noProof/>
                <w:szCs w:val="17"/>
              </w:rPr>
              <w:t>Regulations 2020</w:t>
            </w:r>
            <w:r w:rsidR="00211432" w:rsidRPr="002D52CC">
              <w:rPr>
                <w:rStyle w:val="Hyperlink"/>
                <w:noProof/>
                <w:szCs w:val="17"/>
              </w:rPr>
              <w:t>—No. 31</w:t>
            </w:r>
            <w:r w:rsidR="000D07D2" w:rsidRPr="002D52CC">
              <w:rPr>
                <w:rStyle w:val="Hyperlink"/>
                <w:noProof/>
                <w:szCs w:val="17"/>
              </w:rPr>
              <w:t>4</w:t>
            </w:r>
            <w:r w:rsidR="00211432" w:rsidRPr="002D52CC">
              <w:rPr>
                <w:rStyle w:val="Hyperlink"/>
                <w:noProof/>
                <w:szCs w:val="17"/>
              </w:rPr>
              <w:t xml:space="preserve"> of 2020</w:t>
            </w:r>
            <w:r w:rsidR="000D4E00" w:rsidRPr="002D52CC">
              <w:rPr>
                <w:noProof/>
                <w:webHidden/>
                <w:szCs w:val="17"/>
              </w:rPr>
              <w:tab/>
            </w:r>
            <w:r w:rsidR="000D4E00" w:rsidRPr="002D52CC">
              <w:rPr>
                <w:noProof/>
                <w:webHidden/>
                <w:szCs w:val="17"/>
              </w:rPr>
              <w:fldChar w:fldCharType="begin"/>
            </w:r>
            <w:r w:rsidR="000D4E00" w:rsidRPr="002D52CC">
              <w:rPr>
                <w:noProof/>
                <w:webHidden/>
                <w:szCs w:val="17"/>
              </w:rPr>
              <w:instrText xml:space="preserve"> PAGEREF _Toc59098932 \h </w:instrText>
            </w:r>
            <w:r w:rsidR="000D4E00" w:rsidRPr="002D52CC">
              <w:rPr>
                <w:noProof/>
                <w:webHidden/>
                <w:szCs w:val="17"/>
              </w:rPr>
            </w:r>
            <w:r w:rsidR="000D4E00" w:rsidRPr="002D52CC">
              <w:rPr>
                <w:noProof/>
                <w:webHidden/>
                <w:szCs w:val="17"/>
              </w:rPr>
              <w:fldChar w:fldCharType="separate"/>
            </w:r>
            <w:r w:rsidR="003A4FC3">
              <w:rPr>
                <w:noProof/>
                <w:webHidden/>
                <w:szCs w:val="17"/>
              </w:rPr>
              <w:t>5757</w:t>
            </w:r>
            <w:r w:rsidR="000D4E00" w:rsidRPr="002D52CC">
              <w:rPr>
                <w:noProof/>
                <w:webHidden/>
                <w:szCs w:val="17"/>
              </w:rPr>
              <w:fldChar w:fldCharType="end"/>
            </w:r>
          </w:hyperlink>
        </w:p>
        <w:p w:rsidR="000D4E00" w:rsidRPr="002D52CC" w:rsidRDefault="00607847" w:rsidP="005712C9">
          <w:pPr>
            <w:pStyle w:val="TOC3"/>
            <w:tabs>
              <w:tab w:val="right" w:leader="dot" w:pos="4550"/>
            </w:tabs>
            <w:spacing w:before="0" w:after="0" w:line="170" w:lineRule="exact"/>
            <w:ind w:left="142" w:hanging="142"/>
            <w:rPr>
              <w:rFonts w:eastAsiaTheme="minorEastAsia"/>
              <w:noProof/>
              <w:color w:val="auto"/>
              <w:szCs w:val="17"/>
            </w:rPr>
          </w:pPr>
          <w:hyperlink w:anchor="_Toc59098933" w:history="1">
            <w:r w:rsidR="000D4E00" w:rsidRPr="002D52CC">
              <w:rPr>
                <w:rStyle w:val="Hyperlink"/>
                <w:noProof/>
                <w:szCs w:val="17"/>
              </w:rPr>
              <w:t xml:space="preserve">Criminal Law Consolidation (Criminal Organisations) </w:t>
            </w:r>
            <w:r w:rsidR="002D52CC" w:rsidRPr="002D52CC">
              <w:rPr>
                <w:rStyle w:val="Hyperlink"/>
                <w:noProof/>
                <w:szCs w:val="17"/>
              </w:rPr>
              <w:br/>
            </w:r>
            <w:r w:rsidR="000D4E00" w:rsidRPr="002D52CC">
              <w:rPr>
                <w:rStyle w:val="Hyperlink"/>
                <w:noProof/>
                <w:szCs w:val="17"/>
              </w:rPr>
              <w:t>(Premises in Burton) Variation Regulations 2020</w:t>
            </w:r>
            <w:r w:rsidR="00211432" w:rsidRPr="002D52CC">
              <w:rPr>
                <w:rStyle w:val="Hyperlink"/>
                <w:noProof/>
                <w:szCs w:val="17"/>
              </w:rPr>
              <w:t>—</w:t>
            </w:r>
            <w:r w:rsidR="002D52CC" w:rsidRPr="002D52CC">
              <w:rPr>
                <w:rStyle w:val="Hyperlink"/>
                <w:noProof/>
                <w:szCs w:val="17"/>
              </w:rPr>
              <w:br/>
            </w:r>
            <w:r w:rsidR="00211432" w:rsidRPr="002D52CC">
              <w:rPr>
                <w:rStyle w:val="Hyperlink"/>
                <w:noProof/>
                <w:szCs w:val="17"/>
              </w:rPr>
              <w:t>No. 31</w:t>
            </w:r>
            <w:r w:rsidR="000D07D2" w:rsidRPr="002D52CC">
              <w:rPr>
                <w:rStyle w:val="Hyperlink"/>
                <w:noProof/>
                <w:szCs w:val="17"/>
              </w:rPr>
              <w:t>5</w:t>
            </w:r>
            <w:r w:rsidR="00211432" w:rsidRPr="002D52CC">
              <w:rPr>
                <w:rStyle w:val="Hyperlink"/>
                <w:noProof/>
                <w:szCs w:val="17"/>
              </w:rPr>
              <w:t xml:space="preserve"> of 2020</w:t>
            </w:r>
            <w:r w:rsidR="000D4E00" w:rsidRPr="002D52CC">
              <w:rPr>
                <w:noProof/>
                <w:webHidden/>
                <w:szCs w:val="17"/>
              </w:rPr>
              <w:tab/>
            </w:r>
            <w:r w:rsidR="000D4E00" w:rsidRPr="002D52CC">
              <w:rPr>
                <w:noProof/>
                <w:webHidden/>
                <w:szCs w:val="17"/>
              </w:rPr>
              <w:fldChar w:fldCharType="begin"/>
            </w:r>
            <w:r w:rsidR="000D4E00" w:rsidRPr="002D52CC">
              <w:rPr>
                <w:noProof/>
                <w:webHidden/>
                <w:szCs w:val="17"/>
              </w:rPr>
              <w:instrText xml:space="preserve"> PAGEREF _Toc59098933 \h </w:instrText>
            </w:r>
            <w:r w:rsidR="000D4E00" w:rsidRPr="002D52CC">
              <w:rPr>
                <w:noProof/>
                <w:webHidden/>
                <w:szCs w:val="17"/>
              </w:rPr>
            </w:r>
            <w:r w:rsidR="000D4E00" w:rsidRPr="002D52CC">
              <w:rPr>
                <w:noProof/>
                <w:webHidden/>
                <w:szCs w:val="17"/>
              </w:rPr>
              <w:fldChar w:fldCharType="separate"/>
            </w:r>
            <w:r w:rsidR="003A4FC3">
              <w:rPr>
                <w:noProof/>
                <w:webHidden/>
                <w:szCs w:val="17"/>
              </w:rPr>
              <w:t>5759</w:t>
            </w:r>
            <w:r w:rsidR="000D4E00" w:rsidRPr="002D52CC">
              <w:rPr>
                <w:noProof/>
                <w:webHidden/>
                <w:szCs w:val="17"/>
              </w:rPr>
              <w:fldChar w:fldCharType="end"/>
            </w:r>
          </w:hyperlink>
        </w:p>
        <w:p w:rsidR="000D4E00" w:rsidRPr="002D52CC" w:rsidRDefault="00607847" w:rsidP="005712C9">
          <w:pPr>
            <w:pStyle w:val="TOC3"/>
            <w:tabs>
              <w:tab w:val="right" w:leader="dot" w:pos="4550"/>
            </w:tabs>
            <w:spacing w:before="0" w:after="0" w:line="170" w:lineRule="exact"/>
            <w:ind w:left="142" w:hanging="142"/>
            <w:rPr>
              <w:rFonts w:eastAsiaTheme="minorEastAsia"/>
              <w:noProof/>
              <w:color w:val="auto"/>
              <w:szCs w:val="17"/>
            </w:rPr>
          </w:pPr>
          <w:hyperlink w:anchor="_Toc59098934" w:history="1">
            <w:r w:rsidR="000D4E00" w:rsidRPr="002D52CC">
              <w:rPr>
                <w:rStyle w:val="Hyperlink"/>
                <w:noProof/>
                <w:szCs w:val="17"/>
              </w:rPr>
              <w:t xml:space="preserve">Disability Inclusion (NDIS Worker Check) </w:t>
            </w:r>
            <w:r w:rsidR="00DB328E" w:rsidRPr="002D52CC">
              <w:rPr>
                <w:rStyle w:val="Hyperlink"/>
                <w:noProof/>
                <w:szCs w:val="17"/>
              </w:rPr>
              <w:br/>
            </w:r>
            <w:r w:rsidR="000D4E00" w:rsidRPr="002D52CC">
              <w:rPr>
                <w:rStyle w:val="Hyperlink"/>
                <w:noProof/>
                <w:szCs w:val="17"/>
              </w:rPr>
              <w:t>Regulations 2020</w:t>
            </w:r>
            <w:r w:rsidR="00211432" w:rsidRPr="002D52CC">
              <w:rPr>
                <w:rStyle w:val="Hyperlink"/>
                <w:noProof/>
                <w:szCs w:val="17"/>
              </w:rPr>
              <w:t>—No. 31</w:t>
            </w:r>
            <w:r w:rsidR="000D07D2" w:rsidRPr="002D52CC">
              <w:rPr>
                <w:rStyle w:val="Hyperlink"/>
                <w:noProof/>
                <w:szCs w:val="17"/>
              </w:rPr>
              <w:t>6</w:t>
            </w:r>
            <w:r w:rsidR="00211432" w:rsidRPr="002D52CC">
              <w:rPr>
                <w:rStyle w:val="Hyperlink"/>
                <w:noProof/>
                <w:szCs w:val="17"/>
              </w:rPr>
              <w:t xml:space="preserve"> of 2020</w:t>
            </w:r>
            <w:r w:rsidR="000D4E00" w:rsidRPr="002D52CC">
              <w:rPr>
                <w:noProof/>
                <w:webHidden/>
                <w:szCs w:val="17"/>
              </w:rPr>
              <w:tab/>
            </w:r>
            <w:r w:rsidR="000D4E00" w:rsidRPr="002D52CC">
              <w:rPr>
                <w:noProof/>
                <w:webHidden/>
                <w:szCs w:val="17"/>
              </w:rPr>
              <w:fldChar w:fldCharType="begin"/>
            </w:r>
            <w:r w:rsidR="000D4E00" w:rsidRPr="002D52CC">
              <w:rPr>
                <w:noProof/>
                <w:webHidden/>
                <w:szCs w:val="17"/>
              </w:rPr>
              <w:instrText xml:space="preserve"> PAGEREF _Toc59098934 \h </w:instrText>
            </w:r>
            <w:r w:rsidR="000D4E00" w:rsidRPr="002D52CC">
              <w:rPr>
                <w:noProof/>
                <w:webHidden/>
                <w:szCs w:val="17"/>
              </w:rPr>
            </w:r>
            <w:r w:rsidR="000D4E00" w:rsidRPr="002D52CC">
              <w:rPr>
                <w:noProof/>
                <w:webHidden/>
                <w:szCs w:val="17"/>
              </w:rPr>
              <w:fldChar w:fldCharType="separate"/>
            </w:r>
            <w:r w:rsidR="003A4FC3">
              <w:rPr>
                <w:noProof/>
                <w:webHidden/>
                <w:szCs w:val="17"/>
              </w:rPr>
              <w:t>5761</w:t>
            </w:r>
            <w:r w:rsidR="000D4E00" w:rsidRPr="002D52CC">
              <w:rPr>
                <w:noProof/>
                <w:webHidden/>
                <w:szCs w:val="17"/>
              </w:rPr>
              <w:fldChar w:fldCharType="end"/>
            </w:r>
          </w:hyperlink>
        </w:p>
        <w:p w:rsidR="000D4E00" w:rsidRPr="002D52CC" w:rsidRDefault="00607847" w:rsidP="005712C9">
          <w:pPr>
            <w:pStyle w:val="TOC3"/>
            <w:tabs>
              <w:tab w:val="right" w:leader="dot" w:pos="4550"/>
            </w:tabs>
            <w:spacing w:before="0" w:after="0" w:line="170" w:lineRule="exact"/>
            <w:ind w:left="142" w:hanging="142"/>
            <w:rPr>
              <w:rFonts w:eastAsiaTheme="minorEastAsia"/>
              <w:noProof/>
              <w:color w:val="auto"/>
              <w:szCs w:val="17"/>
            </w:rPr>
          </w:pPr>
          <w:hyperlink w:anchor="_Toc59098935" w:history="1">
            <w:r w:rsidR="000D4E00" w:rsidRPr="002D52CC">
              <w:rPr>
                <w:rStyle w:val="Hyperlink"/>
                <w:noProof/>
                <w:szCs w:val="17"/>
              </w:rPr>
              <w:t>Bail (Bail Authorities) Variation Regulations 2020</w:t>
            </w:r>
            <w:r w:rsidR="00457935" w:rsidRPr="002D52CC">
              <w:rPr>
                <w:rStyle w:val="Hyperlink"/>
                <w:noProof/>
                <w:szCs w:val="17"/>
              </w:rPr>
              <w:t>—</w:t>
            </w:r>
            <w:r w:rsidR="00FE446B" w:rsidRPr="002D52CC">
              <w:rPr>
                <w:rStyle w:val="Hyperlink"/>
                <w:noProof/>
                <w:szCs w:val="17"/>
              </w:rPr>
              <w:br/>
            </w:r>
            <w:r w:rsidR="00457935" w:rsidRPr="002D52CC">
              <w:rPr>
                <w:rStyle w:val="Hyperlink"/>
                <w:noProof/>
                <w:szCs w:val="17"/>
              </w:rPr>
              <w:t>No. 31</w:t>
            </w:r>
            <w:r w:rsidR="00645464" w:rsidRPr="002D52CC">
              <w:rPr>
                <w:rStyle w:val="Hyperlink"/>
                <w:noProof/>
                <w:szCs w:val="17"/>
              </w:rPr>
              <w:t>7</w:t>
            </w:r>
            <w:r w:rsidR="00457935" w:rsidRPr="002D52CC">
              <w:rPr>
                <w:rStyle w:val="Hyperlink"/>
                <w:noProof/>
                <w:szCs w:val="17"/>
              </w:rPr>
              <w:t xml:space="preserve"> of 2020</w:t>
            </w:r>
            <w:r w:rsidR="000D4E00" w:rsidRPr="002D52CC">
              <w:rPr>
                <w:noProof/>
                <w:webHidden/>
                <w:szCs w:val="17"/>
              </w:rPr>
              <w:tab/>
            </w:r>
            <w:r w:rsidR="000D4E00" w:rsidRPr="002D52CC">
              <w:rPr>
                <w:noProof/>
                <w:webHidden/>
                <w:szCs w:val="17"/>
              </w:rPr>
              <w:fldChar w:fldCharType="begin"/>
            </w:r>
            <w:r w:rsidR="000D4E00" w:rsidRPr="002D52CC">
              <w:rPr>
                <w:noProof/>
                <w:webHidden/>
                <w:szCs w:val="17"/>
              </w:rPr>
              <w:instrText xml:space="preserve"> PAGEREF _Toc59098935 \h </w:instrText>
            </w:r>
            <w:r w:rsidR="000D4E00" w:rsidRPr="002D52CC">
              <w:rPr>
                <w:noProof/>
                <w:webHidden/>
                <w:szCs w:val="17"/>
              </w:rPr>
            </w:r>
            <w:r w:rsidR="000D4E00" w:rsidRPr="002D52CC">
              <w:rPr>
                <w:noProof/>
                <w:webHidden/>
                <w:szCs w:val="17"/>
              </w:rPr>
              <w:fldChar w:fldCharType="separate"/>
            </w:r>
            <w:r w:rsidR="003A4FC3">
              <w:rPr>
                <w:noProof/>
                <w:webHidden/>
                <w:szCs w:val="17"/>
              </w:rPr>
              <w:t>5775</w:t>
            </w:r>
            <w:r w:rsidR="000D4E00" w:rsidRPr="002D52CC">
              <w:rPr>
                <w:noProof/>
                <w:webHidden/>
                <w:szCs w:val="17"/>
              </w:rPr>
              <w:fldChar w:fldCharType="end"/>
            </w:r>
          </w:hyperlink>
        </w:p>
        <w:p w:rsidR="000D4E00" w:rsidRPr="002D52CC" w:rsidRDefault="00607847" w:rsidP="005712C9">
          <w:pPr>
            <w:pStyle w:val="TOC3"/>
            <w:tabs>
              <w:tab w:val="right" w:leader="dot" w:pos="4550"/>
            </w:tabs>
            <w:spacing w:before="0" w:after="0" w:line="170" w:lineRule="exact"/>
            <w:ind w:left="142" w:hanging="142"/>
            <w:rPr>
              <w:rFonts w:eastAsiaTheme="minorEastAsia"/>
              <w:noProof/>
              <w:color w:val="auto"/>
              <w:szCs w:val="17"/>
            </w:rPr>
          </w:pPr>
          <w:hyperlink w:anchor="_Toc59098936" w:history="1">
            <w:r w:rsidR="000D4E00" w:rsidRPr="002D52CC">
              <w:rPr>
                <w:rStyle w:val="Hyperlink"/>
                <w:noProof/>
                <w:szCs w:val="17"/>
              </w:rPr>
              <w:t xml:space="preserve">Cross-border Justice (Bail Authorities) Variation </w:t>
            </w:r>
            <w:r w:rsidR="00995ACE" w:rsidRPr="002D52CC">
              <w:rPr>
                <w:rStyle w:val="Hyperlink"/>
                <w:noProof/>
                <w:szCs w:val="17"/>
              </w:rPr>
              <w:br/>
            </w:r>
            <w:r w:rsidR="000D4E00" w:rsidRPr="002D52CC">
              <w:rPr>
                <w:rStyle w:val="Hyperlink"/>
                <w:noProof/>
                <w:szCs w:val="17"/>
              </w:rPr>
              <w:t>Regulations 2020</w:t>
            </w:r>
            <w:r w:rsidR="00211432" w:rsidRPr="002D52CC">
              <w:rPr>
                <w:rStyle w:val="Hyperlink"/>
                <w:noProof/>
                <w:szCs w:val="17"/>
              </w:rPr>
              <w:t>—No. 31</w:t>
            </w:r>
            <w:r w:rsidR="000D07D2" w:rsidRPr="002D52CC">
              <w:rPr>
                <w:rStyle w:val="Hyperlink"/>
                <w:noProof/>
                <w:szCs w:val="17"/>
              </w:rPr>
              <w:t>8</w:t>
            </w:r>
            <w:r w:rsidR="00211432" w:rsidRPr="002D52CC">
              <w:rPr>
                <w:rStyle w:val="Hyperlink"/>
                <w:noProof/>
                <w:szCs w:val="17"/>
              </w:rPr>
              <w:t xml:space="preserve"> of 2020</w:t>
            </w:r>
            <w:r w:rsidR="000D4E00" w:rsidRPr="002D52CC">
              <w:rPr>
                <w:noProof/>
                <w:webHidden/>
                <w:szCs w:val="17"/>
              </w:rPr>
              <w:tab/>
            </w:r>
            <w:r w:rsidR="000D4E00" w:rsidRPr="002D52CC">
              <w:rPr>
                <w:noProof/>
                <w:webHidden/>
                <w:szCs w:val="17"/>
              </w:rPr>
              <w:fldChar w:fldCharType="begin"/>
            </w:r>
            <w:r w:rsidR="000D4E00" w:rsidRPr="002D52CC">
              <w:rPr>
                <w:noProof/>
                <w:webHidden/>
                <w:szCs w:val="17"/>
              </w:rPr>
              <w:instrText xml:space="preserve"> PAGEREF _Toc59098936 \h </w:instrText>
            </w:r>
            <w:r w:rsidR="000D4E00" w:rsidRPr="002D52CC">
              <w:rPr>
                <w:noProof/>
                <w:webHidden/>
                <w:szCs w:val="17"/>
              </w:rPr>
            </w:r>
            <w:r w:rsidR="000D4E00" w:rsidRPr="002D52CC">
              <w:rPr>
                <w:noProof/>
                <w:webHidden/>
                <w:szCs w:val="17"/>
              </w:rPr>
              <w:fldChar w:fldCharType="separate"/>
            </w:r>
            <w:r w:rsidR="003A4FC3">
              <w:rPr>
                <w:noProof/>
                <w:webHidden/>
                <w:szCs w:val="17"/>
              </w:rPr>
              <w:t>5776</w:t>
            </w:r>
            <w:r w:rsidR="000D4E00" w:rsidRPr="002D52CC">
              <w:rPr>
                <w:noProof/>
                <w:webHidden/>
                <w:szCs w:val="17"/>
              </w:rPr>
              <w:fldChar w:fldCharType="end"/>
            </w:r>
          </w:hyperlink>
        </w:p>
        <w:p w:rsidR="002F080A" w:rsidRDefault="00607847" w:rsidP="002F080A">
          <w:pPr>
            <w:pStyle w:val="TOC3"/>
            <w:tabs>
              <w:tab w:val="right" w:leader="dot" w:pos="4550"/>
            </w:tabs>
            <w:spacing w:before="0" w:after="0" w:line="170" w:lineRule="exact"/>
            <w:ind w:left="142" w:hanging="142"/>
            <w:rPr>
              <w:rFonts w:eastAsiaTheme="minorEastAsia"/>
              <w:noProof/>
              <w:color w:val="auto"/>
              <w:szCs w:val="17"/>
            </w:rPr>
          </w:pPr>
          <w:hyperlink w:anchor="_Toc59098937" w:history="1">
            <w:r w:rsidR="000D4E00" w:rsidRPr="002D52CC">
              <w:rPr>
                <w:rStyle w:val="Hyperlink"/>
                <w:noProof/>
                <w:szCs w:val="17"/>
              </w:rPr>
              <w:t xml:space="preserve">Landscape South Australia (Water Management) </w:t>
            </w:r>
            <w:r w:rsidR="00A578E8">
              <w:rPr>
                <w:rStyle w:val="Hyperlink"/>
                <w:noProof/>
                <w:szCs w:val="17"/>
              </w:rPr>
              <w:br/>
            </w:r>
            <w:r w:rsidR="000D4E00" w:rsidRPr="002D52CC">
              <w:rPr>
                <w:rStyle w:val="Hyperlink"/>
                <w:noProof/>
                <w:szCs w:val="17"/>
              </w:rPr>
              <w:t xml:space="preserve">(Forestry—Prescribed Period) Variation </w:t>
            </w:r>
            <w:r w:rsidR="00A578E8">
              <w:rPr>
                <w:rStyle w:val="Hyperlink"/>
                <w:noProof/>
                <w:szCs w:val="17"/>
              </w:rPr>
              <w:br/>
            </w:r>
            <w:r w:rsidR="000D4E00" w:rsidRPr="002D52CC">
              <w:rPr>
                <w:rStyle w:val="Hyperlink"/>
                <w:noProof/>
                <w:szCs w:val="17"/>
              </w:rPr>
              <w:t>Regulations 2020</w:t>
            </w:r>
            <w:r w:rsidR="00211432" w:rsidRPr="002D52CC">
              <w:rPr>
                <w:rStyle w:val="Hyperlink"/>
                <w:noProof/>
                <w:szCs w:val="17"/>
              </w:rPr>
              <w:t>—No. 31</w:t>
            </w:r>
            <w:r w:rsidR="000D07D2" w:rsidRPr="002D52CC">
              <w:rPr>
                <w:rStyle w:val="Hyperlink"/>
                <w:noProof/>
                <w:szCs w:val="17"/>
              </w:rPr>
              <w:t>9</w:t>
            </w:r>
            <w:r w:rsidR="00211432" w:rsidRPr="002D52CC">
              <w:rPr>
                <w:rStyle w:val="Hyperlink"/>
                <w:noProof/>
                <w:szCs w:val="17"/>
              </w:rPr>
              <w:t xml:space="preserve"> of 2020</w:t>
            </w:r>
            <w:r w:rsidR="000D4E00" w:rsidRPr="002D52CC">
              <w:rPr>
                <w:noProof/>
                <w:webHidden/>
                <w:szCs w:val="17"/>
              </w:rPr>
              <w:tab/>
            </w:r>
            <w:r w:rsidR="000D4E00" w:rsidRPr="002D52CC">
              <w:rPr>
                <w:noProof/>
                <w:webHidden/>
                <w:szCs w:val="17"/>
              </w:rPr>
              <w:fldChar w:fldCharType="begin"/>
            </w:r>
            <w:r w:rsidR="000D4E00" w:rsidRPr="002D52CC">
              <w:rPr>
                <w:noProof/>
                <w:webHidden/>
                <w:szCs w:val="17"/>
              </w:rPr>
              <w:instrText xml:space="preserve"> PAGEREF _Toc59098937 \h </w:instrText>
            </w:r>
            <w:r w:rsidR="000D4E00" w:rsidRPr="002D52CC">
              <w:rPr>
                <w:noProof/>
                <w:webHidden/>
                <w:szCs w:val="17"/>
              </w:rPr>
            </w:r>
            <w:r w:rsidR="000D4E00" w:rsidRPr="002D52CC">
              <w:rPr>
                <w:noProof/>
                <w:webHidden/>
                <w:szCs w:val="17"/>
              </w:rPr>
              <w:fldChar w:fldCharType="separate"/>
            </w:r>
            <w:r w:rsidR="003A4FC3">
              <w:rPr>
                <w:noProof/>
                <w:webHidden/>
                <w:szCs w:val="17"/>
              </w:rPr>
              <w:t>5778</w:t>
            </w:r>
            <w:r w:rsidR="000D4E00" w:rsidRPr="002D52CC">
              <w:rPr>
                <w:noProof/>
                <w:webHidden/>
                <w:szCs w:val="17"/>
              </w:rPr>
              <w:fldChar w:fldCharType="end"/>
            </w:r>
          </w:hyperlink>
        </w:p>
        <w:p w:rsidR="000D4E00" w:rsidRPr="002D52CC" w:rsidRDefault="00607847" w:rsidP="002F080A">
          <w:pPr>
            <w:pStyle w:val="TOC3"/>
            <w:tabs>
              <w:tab w:val="right" w:leader="dot" w:pos="4550"/>
            </w:tabs>
            <w:spacing w:before="0" w:after="0" w:line="170" w:lineRule="exact"/>
            <w:ind w:left="142" w:hanging="142"/>
            <w:rPr>
              <w:rFonts w:eastAsiaTheme="minorEastAsia"/>
              <w:noProof/>
              <w:color w:val="auto"/>
              <w:szCs w:val="17"/>
            </w:rPr>
          </w:pPr>
          <w:hyperlink w:anchor="_Toc59098938" w:history="1">
            <w:r w:rsidR="000D4E00" w:rsidRPr="002D52CC">
              <w:rPr>
                <w:rStyle w:val="Hyperlink"/>
                <w:noProof/>
                <w:szCs w:val="17"/>
              </w:rPr>
              <w:t xml:space="preserve">Fisheries Management (Abalone Fisheries) (Quota) </w:t>
            </w:r>
            <w:r w:rsidR="00DB328E" w:rsidRPr="002D52CC">
              <w:rPr>
                <w:rStyle w:val="Hyperlink"/>
                <w:noProof/>
                <w:szCs w:val="17"/>
              </w:rPr>
              <w:br/>
            </w:r>
            <w:r w:rsidR="000D4E00" w:rsidRPr="002D52CC">
              <w:rPr>
                <w:rStyle w:val="Hyperlink"/>
                <w:noProof/>
                <w:szCs w:val="17"/>
              </w:rPr>
              <w:t>Variation Regulations 2020</w:t>
            </w:r>
            <w:r w:rsidR="00211432" w:rsidRPr="002D52CC">
              <w:rPr>
                <w:rStyle w:val="Hyperlink"/>
                <w:noProof/>
                <w:szCs w:val="17"/>
              </w:rPr>
              <w:t>—No. 320 of 2020</w:t>
            </w:r>
            <w:r w:rsidR="000D4E00" w:rsidRPr="002D52CC">
              <w:rPr>
                <w:noProof/>
                <w:webHidden/>
                <w:szCs w:val="17"/>
              </w:rPr>
              <w:tab/>
            </w:r>
            <w:r w:rsidR="000D4E00" w:rsidRPr="002D52CC">
              <w:rPr>
                <w:noProof/>
                <w:webHidden/>
                <w:szCs w:val="17"/>
              </w:rPr>
              <w:fldChar w:fldCharType="begin"/>
            </w:r>
            <w:r w:rsidR="000D4E00" w:rsidRPr="002D52CC">
              <w:rPr>
                <w:noProof/>
                <w:webHidden/>
                <w:szCs w:val="17"/>
              </w:rPr>
              <w:instrText xml:space="preserve"> PAGEREF _Toc59098938 \h </w:instrText>
            </w:r>
            <w:r w:rsidR="000D4E00" w:rsidRPr="002D52CC">
              <w:rPr>
                <w:noProof/>
                <w:webHidden/>
                <w:szCs w:val="17"/>
              </w:rPr>
            </w:r>
            <w:r w:rsidR="000D4E00" w:rsidRPr="002D52CC">
              <w:rPr>
                <w:noProof/>
                <w:webHidden/>
                <w:szCs w:val="17"/>
              </w:rPr>
              <w:fldChar w:fldCharType="separate"/>
            </w:r>
            <w:r w:rsidR="003A4FC3">
              <w:rPr>
                <w:noProof/>
                <w:webHidden/>
                <w:szCs w:val="17"/>
              </w:rPr>
              <w:t>5780</w:t>
            </w:r>
            <w:r w:rsidR="000D4E00" w:rsidRPr="002D52CC">
              <w:rPr>
                <w:noProof/>
                <w:webHidden/>
                <w:szCs w:val="17"/>
              </w:rPr>
              <w:fldChar w:fldCharType="end"/>
            </w:r>
          </w:hyperlink>
        </w:p>
        <w:p w:rsidR="007E2740" w:rsidRPr="007129DF" w:rsidRDefault="00607847" w:rsidP="007E2740">
          <w:pPr>
            <w:pStyle w:val="TOC3"/>
            <w:tabs>
              <w:tab w:val="right" w:leader="dot" w:pos="4550"/>
            </w:tabs>
            <w:spacing w:before="0" w:after="0" w:line="170" w:lineRule="exact"/>
            <w:ind w:left="142" w:hanging="142"/>
            <w:rPr>
              <w:rStyle w:val="Hyperlink"/>
              <w:noProof/>
              <w:color w:val="auto"/>
              <w:szCs w:val="17"/>
            </w:rPr>
          </w:pPr>
          <w:hyperlink w:anchor="_Toc59098939" w:history="1">
            <w:r w:rsidR="000D4E00" w:rsidRPr="002D52CC">
              <w:rPr>
                <w:rStyle w:val="Hyperlink"/>
                <w:noProof/>
                <w:szCs w:val="17"/>
              </w:rPr>
              <w:t>Fisheries Managemen</w:t>
            </w:r>
            <w:r w:rsidR="00283443" w:rsidRPr="002D52CC">
              <w:rPr>
                <w:rStyle w:val="Hyperlink"/>
                <w:noProof/>
                <w:szCs w:val="17"/>
              </w:rPr>
              <w:t xml:space="preserve">t (Marine Scalefish Fisheries) </w:t>
            </w:r>
            <w:r w:rsidR="00092503">
              <w:rPr>
                <w:rStyle w:val="Hyperlink"/>
                <w:noProof/>
                <w:szCs w:val="17"/>
              </w:rPr>
              <w:br/>
            </w:r>
            <w:r w:rsidR="000D4E00" w:rsidRPr="002D52CC">
              <w:rPr>
                <w:rStyle w:val="Hyperlink"/>
                <w:noProof/>
                <w:szCs w:val="17"/>
              </w:rPr>
              <w:t>(Sardine Quota) Variation Regulations 2020</w:t>
            </w:r>
            <w:r w:rsidR="00211432" w:rsidRPr="002D52CC">
              <w:rPr>
                <w:rStyle w:val="Hyperlink"/>
                <w:noProof/>
                <w:szCs w:val="17"/>
              </w:rPr>
              <w:t>—</w:t>
            </w:r>
            <w:r w:rsidR="00092503">
              <w:rPr>
                <w:rStyle w:val="Hyperlink"/>
                <w:noProof/>
                <w:szCs w:val="17"/>
              </w:rPr>
              <w:br/>
            </w:r>
            <w:r w:rsidR="00211432" w:rsidRPr="002D52CC">
              <w:rPr>
                <w:rStyle w:val="Hyperlink"/>
                <w:noProof/>
                <w:szCs w:val="17"/>
              </w:rPr>
              <w:t>No. 321 of 2020</w:t>
            </w:r>
            <w:r w:rsidR="000D4E00" w:rsidRPr="002D52CC">
              <w:rPr>
                <w:noProof/>
                <w:webHidden/>
                <w:szCs w:val="17"/>
              </w:rPr>
              <w:tab/>
            </w:r>
            <w:r w:rsidR="000D4E00" w:rsidRPr="002D52CC">
              <w:rPr>
                <w:noProof/>
                <w:webHidden/>
                <w:szCs w:val="17"/>
              </w:rPr>
              <w:fldChar w:fldCharType="begin"/>
            </w:r>
            <w:r w:rsidR="000D4E00" w:rsidRPr="002D52CC">
              <w:rPr>
                <w:noProof/>
                <w:webHidden/>
                <w:szCs w:val="17"/>
              </w:rPr>
              <w:instrText xml:space="preserve"> PAGEREF _Toc59098939 \h </w:instrText>
            </w:r>
            <w:r w:rsidR="000D4E00" w:rsidRPr="002D52CC">
              <w:rPr>
                <w:noProof/>
                <w:webHidden/>
                <w:szCs w:val="17"/>
              </w:rPr>
            </w:r>
            <w:r w:rsidR="000D4E00" w:rsidRPr="002D52CC">
              <w:rPr>
                <w:noProof/>
                <w:webHidden/>
                <w:szCs w:val="17"/>
              </w:rPr>
              <w:fldChar w:fldCharType="separate"/>
            </w:r>
            <w:r w:rsidR="003A4FC3">
              <w:rPr>
                <w:noProof/>
                <w:webHidden/>
                <w:szCs w:val="17"/>
              </w:rPr>
              <w:t>5784</w:t>
            </w:r>
            <w:r w:rsidR="000D4E00" w:rsidRPr="002D52CC">
              <w:rPr>
                <w:noProof/>
                <w:webHidden/>
                <w:szCs w:val="17"/>
              </w:rPr>
              <w:fldChar w:fldCharType="end"/>
            </w:r>
          </w:hyperlink>
        </w:p>
        <w:p w:rsidR="000D4E00" w:rsidRPr="002D52CC" w:rsidRDefault="00607847" w:rsidP="002D52CC">
          <w:pPr>
            <w:pStyle w:val="TOC3"/>
            <w:tabs>
              <w:tab w:val="right" w:leader="dot" w:pos="4550"/>
            </w:tabs>
            <w:spacing w:before="0" w:after="0" w:line="170" w:lineRule="exact"/>
            <w:ind w:left="142" w:hanging="142"/>
            <w:rPr>
              <w:rFonts w:eastAsiaTheme="minorEastAsia"/>
              <w:noProof/>
              <w:color w:val="auto"/>
              <w:szCs w:val="17"/>
            </w:rPr>
          </w:pPr>
          <w:hyperlink w:anchor="_Toc59098940" w:history="1">
            <w:r w:rsidR="000D4E00" w:rsidRPr="002D52CC">
              <w:rPr>
                <w:rStyle w:val="Hyperlink"/>
                <w:noProof/>
                <w:szCs w:val="17"/>
              </w:rPr>
              <w:t xml:space="preserve">Fisheries Management (Miscellaneous Fishery) (Quota) </w:t>
            </w:r>
            <w:r w:rsidR="007E2740" w:rsidRPr="002D52CC">
              <w:rPr>
                <w:rStyle w:val="Hyperlink"/>
                <w:noProof/>
                <w:szCs w:val="17"/>
              </w:rPr>
              <w:br/>
            </w:r>
            <w:r w:rsidR="000D4E00" w:rsidRPr="002D52CC">
              <w:rPr>
                <w:rStyle w:val="Hyperlink"/>
                <w:noProof/>
                <w:szCs w:val="17"/>
              </w:rPr>
              <w:t>Variation Regulations 2020</w:t>
            </w:r>
            <w:r w:rsidR="00211432" w:rsidRPr="002D52CC">
              <w:rPr>
                <w:rStyle w:val="Hyperlink"/>
                <w:noProof/>
                <w:szCs w:val="17"/>
              </w:rPr>
              <w:t>—No. 322 of 2020</w:t>
            </w:r>
            <w:r w:rsidR="000D4E00" w:rsidRPr="002D52CC">
              <w:rPr>
                <w:noProof/>
                <w:webHidden/>
                <w:szCs w:val="17"/>
              </w:rPr>
              <w:tab/>
            </w:r>
            <w:r w:rsidR="000D4E00" w:rsidRPr="002D52CC">
              <w:rPr>
                <w:noProof/>
                <w:webHidden/>
                <w:szCs w:val="17"/>
              </w:rPr>
              <w:fldChar w:fldCharType="begin"/>
            </w:r>
            <w:r w:rsidR="000D4E00" w:rsidRPr="002D52CC">
              <w:rPr>
                <w:noProof/>
                <w:webHidden/>
                <w:szCs w:val="17"/>
              </w:rPr>
              <w:instrText xml:space="preserve"> PAGEREF _Toc59098940 \h </w:instrText>
            </w:r>
            <w:r w:rsidR="000D4E00" w:rsidRPr="002D52CC">
              <w:rPr>
                <w:noProof/>
                <w:webHidden/>
                <w:szCs w:val="17"/>
              </w:rPr>
            </w:r>
            <w:r w:rsidR="000D4E00" w:rsidRPr="002D52CC">
              <w:rPr>
                <w:noProof/>
                <w:webHidden/>
                <w:szCs w:val="17"/>
              </w:rPr>
              <w:fldChar w:fldCharType="separate"/>
            </w:r>
            <w:r w:rsidR="003A4FC3">
              <w:rPr>
                <w:noProof/>
                <w:webHidden/>
                <w:szCs w:val="17"/>
              </w:rPr>
              <w:t>5786</w:t>
            </w:r>
            <w:r w:rsidR="000D4E00" w:rsidRPr="002D52CC">
              <w:rPr>
                <w:noProof/>
                <w:webHidden/>
                <w:szCs w:val="17"/>
              </w:rPr>
              <w:fldChar w:fldCharType="end"/>
            </w:r>
          </w:hyperlink>
        </w:p>
        <w:p w:rsidR="000D4E00" w:rsidRPr="002D52CC" w:rsidRDefault="00607847" w:rsidP="005712C9">
          <w:pPr>
            <w:pStyle w:val="TOC3"/>
            <w:tabs>
              <w:tab w:val="right" w:leader="dot" w:pos="4550"/>
            </w:tabs>
            <w:spacing w:before="0" w:after="0" w:line="170" w:lineRule="exact"/>
            <w:ind w:left="142" w:hanging="142"/>
            <w:rPr>
              <w:rFonts w:eastAsiaTheme="minorEastAsia"/>
              <w:noProof/>
              <w:color w:val="auto"/>
              <w:szCs w:val="17"/>
            </w:rPr>
          </w:pPr>
          <w:hyperlink w:anchor="_Toc59098941" w:history="1">
            <w:r w:rsidR="000D4E00" w:rsidRPr="002D52CC">
              <w:rPr>
                <w:rStyle w:val="Hyperlink"/>
                <w:noProof/>
                <w:szCs w:val="17"/>
              </w:rPr>
              <w:t xml:space="preserve">Fisheries Management (Prawn Fisheries) (Fishing </w:t>
            </w:r>
            <w:r w:rsidR="00092503">
              <w:rPr>
                <w:rStyle w:val="Hyperlink"/>
                <w:noProof/>
                <w:szCs w:val="17"/>
              </w:rPr>
              <w:br/>
            </w:r>
            <w:r w:rsidR="000D4E00" w:rsidRPr="002D52CC">
              <w:rPr>
                <w:rStyle w:val="Hyperlink"/>
                <w:noProof/>
                <w:szCs w:val="17"/>
              </w:rPr>
              <w:t>Nights Entitlement) Variation Regulations 2020</w:t>
            </w:r>
            <w:r w:rsidR="00211432" w:rsidRPr="002D52CC">
              <w:rPr>
                <w:rStyle w:val="Hyperlink"/>
                <w:noProof/>
                <w:szCs w:val="17"/>
              </w:rPr>
              <w:t>—</w:t>
            </w:r>
            <w:r w:rsidR="002D52CC" w:rsidRPr="002D52CC">
              <w:rPr>
                <w:rStyle w:val="Hyperlink"/>
                <w:noProof/>
                <w:szCs w:val="17"/>
              </w:rPr>
              <w:br/>
            </w:r>
            <w:r w:rsidR="00211432" w:rsidRPr="002D52CC">
              <w:rPr>
                <w:rStyle w:val="Hyperlink"/>
                <w:noProof/>
                <w:szCs w:val="17"/>
              </w:rPr>
              <w:t>No. 323 of 2020</w:t>
            </w:r>
            <w:r w:rsidR="000D4E00" w:rsidRPr="002D52CC">
              <w:rPr>
                <w:noProof/>
                <w:webHidden/>
                <w:szCs w:val="17"/>
              </w:rPr>
              <w:tab/>
            </w:r>
            <w:r w:rsidR="000D4E00" w:rsidRPr="002D52CC">
              <w:rPr>
                <w:noProof/>
                <w:webHidden/>
                <w:szCs w:val="17"/>
              </w:rPr>
              <w:fldChar w:fldCharType="begin"/>
            </w:r>
            <w:r w:rsidR="000D4E00" w:rsidRPr="002D52CC">
              <w:rPr>
                <w:noProof/>
                <w:webHidden/>
                <w:szCs w:val="17"/>
              </w:rPr>
              <w:instrText xml:space="preserve"> PAGEREF _Toc59098941 \h </w:instrText>
            </w:r>
            <w:r w:rsidR="000D4E00" w:rsidRPr="002D52CC">
              <w:rPr>
                <w:noProof/>
                <w:webHidden/>
                <w:szCs w:val="17"/>
              </w:rPr>
            </w:r>
            <w:r w:rsidR="000D4E00" w:rsidRPr="002D52CC">
              <w:rPr>
                <w:noProof/>
                <w:webHidden/>
                <w:szCs w:val="17"/>
              </w:rPr>
              <w:fldChar w:fldCharType="separate"/>
            </w:r>
            <w:r w:rsidR="003A4FC3">
              <w:rPr>
                <w:noProof/>
                <w:webHidden/>
                <w:szCs w:val="17"/>
              </w:rPr>
              <w:t>5788</w:t>
            </w:r>
            <w:r w:rsidR="000D4E00" w:rsidRPr="002D52CC">
              <w:rPr>
                <w:noProof/>
                <w:webHidden/>
                <w:szCs w:val="17"/>
              </w:rPr>
              <w:fldChar w:fldCharType="end"/>
            </w:r>
          </w:hyperlink>
        </w:p>
        <w:p w:rsidR="000D4E00" w:rsidRPr="002D52CC" w:rsidRDefault="00607847" w:rsidP="005712C9">
          <w:pPr>
            <w:pStyle w:val="TOC3"/>
            <w:tabs>
              <w:tab w:val="right" w:leader="dot" w:pos="4550"/>
            </w:tabs>
            <w:spacing w:before="0" w:after="0" w:line="170" w:lineRule="exact"/>
            <w:ind w:left="142" w:hanging="142"/>
            <w:rPr>
              <w:rFonts w:eastAsiaTheme="minorEastAsia"/>
              <w:noProof/>
              <w:color w:val="auto"/>
              <w:szCs w:val="17"/>
            </w:rPr>
          </w:pPr>
          <w:hyperlink w:anchor="_Toc59098942" w:history="1">
            <w:r w:rsidR="000D4E00" w:rsidRPr="002D52CC">
              <w:rPr>
                <w:rStyle w:val="Hyperlink"/>
                <w:noProof/>
                <w:szCs w:val="17"/>
              </w:rPr>
              <w:t xml:space="preserve">Fisheries Management (Rock Lobster Fisheries) (Quota) </w:t>
            </w:r>
            <w:r w:rsidR="00890CCC" w:rsidRPr="002D52CC">
              <w:rPr>
                <w:rStyle w:val="Hyperlink"/>
                <w:noProof/>
                <w:szCs w:val="17"/>
              </w:rPr>
              <w:br/>
            </w:r>
            <w:r w:rsidR="000D4E00" w:rsidRPr="002D52CC">
              <w:rPr>
                <w:rStyle w:val="Hyperlink"/>
                <w:noProof/>
                <w:szCs w:val="17"/>
              </w:rPr>
              <w:t>(No 3) Variation Regulations 2020</w:t>
            </w:r>
            <w:r w:rsidR="00211432" w:rsidRPr="002D52CC">
              <w:rPr>
                <w:rStyle w:val="Hyperlink"/>
                <w:noProof/>
                <w:szCs w:val="17"/>
              </w:rPr>
              <w:t>—No. 324 of 2020</w:t>
            </w:r>
            <w:r w:rsidR="000D4E00" w:rsidRPr="002D52CC">
              <w:rPr>
                <w:noProof/>
                <w:webHidden/>
                <w:szCs w:val="17"/>
              </w:rPr>
              <w:tab/>
            </w:r>
            <w:r w:rsidR="000D4E00" w:rsidRPr="002D52CC">
              <w:rPr>
                <w:noProof/>
                <w:webHidden/>
                <w:szCs w:val="17"/>
              </w:rPr>
              <w:fldChar w:fldCharType="begin"/>
            </w:r>
            <w:r w:rsidR="000D4E00" w:rsidRPr="002D52CC">
              <w:rPr>
                <w:noProof/>
                <w:webHidden/>
                <w:szCs w:val="17"/>
              </w:rPr>
              <w:instrText xml:space="preserve"> PAGEREF _Toc59098942 \h </w:instrText>
            </w:r>
            <w:r w:rsidR="000D4E00" w:rsidRPr="002D52CC">
              <w:rPr>
                <w:noProof/>
                <w:webHidden/>
                <w:szCs w:val="17"/>
              </w:rPr>
            </w:r>
            <w:r w:rsidR="000D4E00" w:rsidRPr="002D52CC">
              <w:rPr>
                <w:noProof/>
                <w:webHidden/>
                <w:szCs w:val="17"/>
              </w:rPr>
              <w:fldChar w:fldCharType="separate"/>
            </w:r>
            <w:r w:rsidR="003A4FC3">
              <w:rPr>
                <w:noProof/>
                <w:webHidden/>
                <w:szCs w:val="17"/>
              </w:rPr>
              <w:t>5790</w:t>
            </w:r>
            <w:r w:rsidR="000D4E00" w:rsidRPr="002D52CC">
              <w:rPr>
                <w:noProof/>
                <w:webHidden/>
                <w:szCs w:val="17"/>
              </w:rPr>
              <w:fldChar w:fldCharType="end"/>
            </w:r>
          </w:hyperlink>
        </w:p>
        <w:p w:rsidR="000D4E00" w:rsidRPr="002D52CC" w:rsidRDefault="00607847" w:rsidP="003A2D8D">
          <w:pPr>
            <w:pStyle w:val="Heading5"/>
            <w:spacing w:before="40"/>
            <w:rPr>
              <w:rFonts w:eastAsiaTheme="minorEastAsia"/>
              <w:noProof/>
              <w:szCs w:val="17"/>
            </w:rPr>
          </w:pPr>
          <w:hyperlink w:anchor="_Toc59098943" w:history="1">
            <w:r w:rsidR="000D4E00" w:rsidRPr="002D52CC">
              <w:rPr>
                <w:rStyle w:val="Hyperlink"/>
                <w:noProof/>
                <w:szCs w:val="17"/>
              </w:rPr>
              <w:t>Rules of Court</w:t>
            </w:r>
          </w:hyperlink>
        </w:p>
        <w:p w:rsidR="000D4E00" w:rsidRPr="002D52CC" w:rsidRDefault="00607847" w:rsidP="00280A5D">
          <w:pPr>
            <w:pStyle w:val="TOC2"/>
            <w:tabs>
              <w:tab w:val="right" w:leader="dot" w:pos="4550"/>
            </w:tabs>
            <w:rPr>
              <w:rFonts w:eastAsiaTheme="minorEastAsia"/>
              <w:noProof/>
              <w:color w:val="auto"/>
              <w:szCs w:val="17"/>
            </w:rPr>
          </w:pPr>
          <w:hyperlink w:anchor="_Toc59098944" w:history="1">
            <w:r w:rsidR="000D4E00" w:rsidRPr="002D52CC">
              <w:rPr>
                <w:rStyle w:val="Hyperlink"/>
                <w:noProof/>
                <w:szCs w:val="17"/>
              </w:rPr>
              <w:t>Magistrates Court Rules 1992</w:t>
            </w:r>
            <w:r w:rsidR="00890CCC" w:rsidRPr="002D52CC">
              <w:rPr>
                <w:noProof/>
                <w:szCs w:val="17"/>
              </w:rPr>
              <w:t>—</w:t>
            </w:r>
            <w:r w:rsidR="00890CCC" w:rsidRPr="002D52CC">
              <w:rPr>
                <w:rStyle w:val="Hyperlink"/>
                <w:noProof/>
                <w:szCs w:val="17"/>
              </w:rPr>
              <w:t>Amendment No. 87</w:t>
            </w:r>
            <w:r w:rsidR="000D4E00" w:rsidRPr="002D52CC">
              <w:rPr>
                <w:noProof/>
                <w:webHidden/>
                <w:szCs w:val="17"/>
              </w:rPr>
              <w:tab/>
            </w:r>
            <w:r w:rsidR="000D4E00" w:rsidRPr="002D52CC">
              <w:rPr>
                <w:noProof/>
                <w:webHidden/>
                <w:szCs w:val="17"/>
              </w:rPr>
              <w:fldChar w:fldCharType="begin"/>
            </w:r>
            <w:r w:rsidR="000D4E00" w:rsidRPr="002D52CC">
              <w:rPr>
                <w:noProof/>
                <w:webHidden/>
                <w:szCs w:val="17"/>
              </w:rPr>
              <w:instrText xml:space="preserve"> PAGEREF _Toc59098944 \h </w:instrText>
            </w:r>
            <w:r w:rsidR="000D4E00" w:rsidRPr="002D52CC">
              <w:rPr>
                <w:noProof/>
                <w:webHidden/>
                <w:szCs w:val="17"/>
              </w:rPr>
            </w:r>
            <w:r w:rsidR="000D4E00" w:rsidRPr="002D52CC">
              <w:rPr>
                <w:noProof/>
                <w:webHidden/>
                <w:szCs w:val="17"/>
              </w:rPr>
              <w:fldChar w:fldCharType="separate"/>
            </w:r>
            <w:r w:rsidR="003A4FC3">
              <w:rPr>
                <w:noProof/>
                <w:webHidden/>
                <w:szCs w:val="17"/>
              </w:rPr>
              <w:t>5793</w:t>
            </w:r>
            <w:r w:rsidR="000D4E00" w:rsidRPr="002D52CC">
              <w:rPr>
                <w:noProof/>
                <w:webHidden/>
                <w:szCs w:val="17"/>
              </w:rPr>
              <w:fldChar w:fldCharType="end"/>
            </w:r>
          </w:hyperlink>
        </w:p>
        <w:p w:rsidR="000D4E00" w:rsidRPr="002D52CC" w:rsidRDefault="00607847" w:rsidP="003A2D8D">
          <w:pPr>
            <w:pStyle w:val="Heading5"/>
            <w:spacing w:before="40"/>
            <w:rPr>
              <w:rFonts w:eastAsiaTheme="minorEastAsia"/>
              <w:noProof/>
              <w:szCs w:val="17"/>
            </w:rPr>
          </w:pPr>
          <w:hyperlink w:anchor="_Toc59098945" w:history="1">
            <w:r w:rsidR="000D4E00" w:rsidRPr="002D52CC">
              <w:rPr>
                <w:rStyle w:val="Hyperlink"/>
                <w:noProof/>
                <w:szCs w:val="17"/>
              </w:rPr>
              <w:t>State Government Instruments</w:t>
            </w:r>
          </w:hyperlink>
        </w:p>
        <w:p w:rsidR="000D4E00" w:rsidRPr="002D52CC" w:rsidRDefault="00607847" w:rsidP="00280A5D">
          <w:pPr>
            <w:pStyle w:val="TOC2"/>
            <w:tabs>
              <w:tab w:val="right" w:leader="dot" w:pos="4550"/>
            </w:tabs>
            <w:rPr>
              <w:rFonts w:eastAsiaTheme="minorEastAsia"/>
              <w:noProof/>
              <w:color w:val="auto"/>
              <w:szCs w:val="17"/>
            </w:rPr>
          </w:pPr>
          <w:hyperlink w:anchor="_Toc59098946" w:history="1">
            <w:r w:rsidR="000D4E00" w:rsidRPr="002D52CC">
              <w:rPr>
                <w:rStyle w:val="Hyperlink"/>
                <w:noProof/>
                <w:szCs w:val="17"/>
              </w:rPr>
              <w:t>Associations Incorporation Act 1985</w:t>
            </w:r>
            <w:r w:rsidR="000D4E00" w:rsidRPr="002D52CC">
              <w:rPr>
                <w:noProof/>
                <w:webHidden/>
                <w:szCs w:val="17"/>
              </w:rPr>
              <w:tab/>
            </w:r>
            <w:r w:rsidR="000D4E00" w:rsidRPr="002D52CC">
              <w:rPr>
                <w:noProof/>
                <w:webHidden/>
                <w:szCs w:val="17"/>
              </w:rPr>
              <w:fldChar w:fldCharType="begin"/>
            </w:r>
            <w:r w:rsidR="000D4E00" w:rsidRPr="002D52CC">
              <w:rPr>
                <w:noProof/>
                <w:webHidden/>
                <w:szCs w:val="17"/>
              </w:rPr>
              <w:instrText xml:space="preserve"> PAGEREF _Toc59098946 \h </w:instrText>
            </w:r>
            <w:r w:rsidR="000D4E00" w:rsidRPr="002D52CC">
              <w:rPr>
                <w:noProof/>
                <w:webHidden/>
                <w:szCs w:val="17"/>
              </w:rPr>
            </w:r>
            <w:r w:rsidR="000D4E00" w:rsidRPr="002D52CC">
              <w:rPr>
                <w:noProof/>
                <w:webHidden/>
                <w:szCs w:val="17"/>
              </w:rPr>
              <w:fldChar w:fldCharType="separate"/>
            </w:r>
            <w:r w:rsidR="003A4FC3">
              <w:rPr>
                <w:noProof/>
                <w:webHidden/>
                <w:szCs w:val="17"/>
              </w:rPr>
              <w:t>5821</w:t>
            </w:r>
            <w:r w:rsidR="000D4E00" w:rsidRPr="002D52CC">
              <w:rPr>
                <w:noProof/>
                <w:webHidden/>
                <w:szCs w:val="17"/>
              </w:rPr>
              <w:fldChar w:fldCharType="end"/>
            </w:r>
          </w:hyperlink>
        </w:p>
        <w:p w:rsidR="000D4E00" w:rsidRPr="002D52CC" w:rsidRDefault="00607847" w:rsidP="00280A5D">
          <w:pPr>
            <w:pStyle w:val="TOC2"/>
            <w:tabs>
              <w:tab w:val="right" w:leader="dot" w:pos="4550"/>
            </w:tabs>
            <w:rPr>
              <w:rFonts w:eastAsiaTheme="minorEastAsia"/>
              <w:noProof/>
              <w:color w:val="auto"/>
              <w:szCs w:val="17"/>
            </w:rPr>
          </w:pPr>
          <w:hyperlink w:anchor="_Toc59098947" w:history="1">
            <w:r w:rsidR="000D4E00" w:rsidRPr="002D52CC">
              <w:rPr>
                <w:rStyle w:val="Hyperlink"/>
                <w:noProof/>
                <w:szCs w:val="17"/>
              </w:rPr>
              <w:t>Authorised Betting Operations Act 2000</w:t>
            </w:r>
            <w:r w:rsidR="000D4E00" w:rsidRPr="002D52CC">
              <w:rPr>
                <w:noProof/>
                <w:webHidden/>
                <w:szCs w:val="17"/>
              </w:rPr>
              <w:tab/>
            </w:r>
            <w:r w:rsidR="000D4E00" w:rsidRPr="002D52CC">
              <w:rPr>
                <w:noProof/>
                <w:webHidden/>
                <w:szCs w:val="17"/>
              </w:rPr>
              <w:fldChar w:fldCharType="begin"/>
            </w:r>
            <w:r w:rsidR="000D4E00" w:rsidRPr="002D52CC">
              <w:rPr>
                <w:noProof/>
                <w:webHidden/>
                <w:szCs w:val="17"/>
              </w:rPr>
              <w:instrText xml:space="preserve"> PAGEREF _Toc59098947 \h </w:instrText>
            </w:r>
            <w:r w:rsidR="000D4E00" w:rsidRPr="002D52CC">
              <w:rPr>
                <w:noProof/>
                <w:webHidden/>
                <w:szCs w:val="17"/>
              </w:rPr>
            </w:r>
            <w:r w:rsidR="000D4E00" w:rsidRPr="002D52CC">
              <w:rPr>
                <w:noProof/>
                <w:webHidden/>
                <w:szCs w:val="17"/>
              </w:rPr>
              <w:fldChar w:fldCharType="separate"/>
            </w:r>
            <w:r w:rsidR="003A4FC3">
              <w:rPr>
                <w:noProof/>
                <w:webHidden/>
                <w:szCs w:val="17"/>
              </w:rPr>
              <w:t>5822</w:t>
            </w:r>
            <w:r w:rsidR="000D4E00" w:rsidRPr="002D52CC">
              <w:rPr>
                <w:noProof/>
                <w:webHidden/>
                <w:szCs w:val="17"/>
              </w:rPr>
              <w:fldChar w:fldCharType="end"/>
            </w:r>
          </w:hyperlink>
        </w:p>
        <w:p w:rsidR="000D4E00" w:rsidRPr="002D52CC" w:rsidRDefault="00607847" w:rsidP="00280A5D">
          <w:pPr>
            <w:pStyle w:val="TOC2"/>
            <w:tabs>
              <w:tab w:val="right" w:leader="dot" w:pos="4550"/>
            </w:tabs>
            <w:rPr>
              <w:rFonts w:eastAsiaTheme="minorEastAsia"/>
              <w:noProof/>
              <w:color w:val="auto"/>
              <w:szCs w:val="17"/>
            </w:rPr>
          </w:pPr>
          <w:hyperlink w:anchor="_Toc59098948" w:history="1">
            <w:r w:rsidR="000D4E00" w:rsidRPr="002D52CC">
              <w:rPr>
                <w:rStyle w:val="Hyperlink"/>
                <w:noProof/>
                <w:szCs w:val="17"/>
              </w:rPr>
              <w:t>Development Act 1993</w:t>
            </w:r>
            <w:r w:rsidR="000D4E00" w:rsidRPr="002D52CC">
              <w:rPr>
                <w:noProof/>
                <w:webHidden/>
                <w:szCs w:val="17"/>
              </w:rPr>
              <w:tab/>
            </w:r>
            <w:r w:rsidR="000D4E00" w:rsidRPr="002D52CC">
              <w:rPr>
                <w:noProof/>
                <w:webHidden/>
                <w:szCs w:val="17"/>
              </w:rPr>
              <w:fldChar w:fldCharType="begin"/>
            </w:r>
            <w:r w:rsidR="000D4E00" w:rsidRPr="002D52CC">
              <w:rPr>
                <w:noProof/>
                <w:webHidden/>
                <w:szCs w:val="17"/>
              </w:rPr>
              <w:instrText xml:space="preserve"> PAGEREF _Toc59098948 \h </w:instrText>
            </w:r>
            <w:r w:rsidR="000D4E00" w:rsidRPr="002D52CC">
              <w:rPr>
                <w:noProof/>
                <w:webHidden/>
                <w:szCs w:val="17"/>
              </w:rPr>
            </w:r>
            <w:r w:rsidR="000D4E00" w:rsidRPr="002D52CC">
              <w:rPr>
                <w:noProof/>
                <w:webHidden/>
                <w:szCs w:val="17"/>
              </w:rPr>
              <w:fldChar w:fldCharType="separate"/>
            </w:r>
            <w:r w:rsidR="003A4FC3">
              <w:rPr>
                <w:noProof/>
                <w:webHidden/>
                <w:szCs w:val="17"/>
              </w:rPr>
              <w:t>5848</w:t>
            </w:r>
            <w:r w:rsidR="000D4E00" w:rsidRPr="002D52CC">
              <w:rPr>
                <w:noProof/>
                <w:webHidden/>
                <w:szCs w:val="17"/>
              </w:rPr>
              <w:fldChar w:fldCharType="end"/>
            </w:r>
          </w:hyperlink>
        </w:p>
        <w:p w:rsidR="000D4E00" w:rsidRPr="002D52CC" w:rsidRDefault="00607847" w:rsidP="00280A5D">
          <w:pPr>
            <w:pStyle w:val="TOC2"/>
            <w:tabs>
              <w:tab w:val="right" w:leader="dot" w:pos="4550"/>
            </w:tabs>
            <w:rPr>
              <w:rFonts w:eastAsiaTheme="minorEastAsia"/>
              <w:noProof/>
              <w:color w:val="auto"/>
              <w:szCs w:val="17"/>
            </w:rPr>
          </w:pPr>
          <w:hyperlink w:anchor="_Toc59098949" w:history="1">
            <w:r w:rsidR="000D4E00" w:rsidRPr="002D52CC">
              <w:rPr>
                <w:rStyle w:val="Hyperlink"/>
                <w:noProof/>
                <w:szCs w:val="17"/>
              </w:rPr>
              <w:t>Fisheries Management Act 2007</w:t>
            </w:r>
            <w:r w:rsidR="000D4E00" w:rsidRPr="002D52CC">
              <w:rPr>
                <w:noProof/>
                <w:webHidden/>
                <w:szCs w:val="17"/>
              </w:rPr>
              <w:tab/>
            </w:r>
            <w:r w:rsidR="000D4E00" w:rsidRPr="002D52CC">
              <w:rPr>
                <w:noProof/>
                <w:webHidden/>
                <w:szCs w:val="17"/>
              </w:rPr>
              <w:fldChar w:fldCharType="begin"/>
            </w:r>
            <w:r w:rsidR="000D4E00" w:rsidRPr="002D52CC">
              <w:rPr>
                <w:noProof/>
                <w:webHidden/>
                <w:szCs w:val="17"/>
              </w:rPr>
              <w:instrText xml:space="preserve"> PAGEREF _Toc59098949 \h </w:instrText>
            </w:r>
            <w:r w:rsidR="000D4E00" w:rsidRPr="002D52CC">
              <w:rPr>
                <w:noProof/>
                <w:webHidden/>
                <w:szCs w:val="17"/>
              </w:rPr>
            </w:r>
            <w:r w:rsidR="000D4E00" w:rsidRPr="002D52CC">
              <w:rPr>
                <w:noProof/>
                <w:webHidden/>
                <w:szCs w:val="17"/>
              </w:rPr>
              <w:fldChar w:fldCharType="separate"/>
            </w:r>
            <w:r w:rsidR="003A4FC3">
              <w:rPr>
                <w:noProof/>
                <w:webHidden/>
                <w:szCs w:val="17"/>
              </w:rPr>
              <w:t>5849</w:t>
            </w:r>
            <w:r w:rsidR="000D4E00" w:rsidRPr="002D52CC">
              <w:rPr>
                <w:noProof/>
                <w:webHidden/>
                <w:szCs w:val="17"/>
              </w:rPr>
              <w:fldChar w:fldCharType="end"/>
            </w:r>
          </w:hyperlink>
        </w:p>
        <w:p w:rsidR="000D4E00" w:rsidRPr="002D52CC" w:rsidRDefault="00607847" w:rsidP="00280A5D">
          <w:pPr>
            <w:pStyle w:val="TOC2"/>
            <w:tabs>
              <w:tab w:val="right" w:leader="dot" w:pos="4550"/>
            </w:tabs>
            <w:rPr>
              <w:rFonts w:eastAsiaTheme="minorEastAsia"/>
              <w:noProof/>
              <w:color w:val="auto"/>
              <w:szCs w:val="17"/>
            </w:rPr>
          </w:pPr>
          <w:hyperlink w:anchor="_Toc59098950" w:history="1">
            <w:r w:rsidR="000D4E00" w:rsidRPr="002D52CC">
              <w:rPr>
                <w:rStyle w:val="Hyperlink"/>
                <w:noProof/>
                <w:szCs w:val="17"/>
              </w:rPr>
              <w:t xml:space="preserve">Fisheries Management (Prawn Fisheries) </w:t>
            </w:r>
            <w:r w:rsidR="00890CCC" w:rsidRPr="002D52CC">
              <w:rPr>
                <w:rStyle w:val="Hyperlink"/>
                <w:noProof/>
                <w:szCs w:val="17"/>
              </w:rPr>
              <w:br/>
            </w:r>
            <w:r w:rsidR="000D4E00" w:rsidRPr="002D52CC">
              <w:rPr>
                <w:rStyle w:val="Hyperlink"/>
                <w:noProof/>
                <w:szCs w:val="17"/>
              </w:rPr>
              <w:t>Regulations 2017</w:t>
            </w:r>
            <w:r w:rsidR="000D4E00" w:rsidRPr="002D52CC">
              <w:rPr>
                <w:noProof/>
                <w:webHidden/>
                <w:szCs w:val="17"/>
              </w:rPr>
              <w:tab/>
            </w:r>
            <w:r w:rsidR="000D4E00" w:rsidRPr="002D52CC">
              <w:rPr>
                <w:noProof/>
                <w:webHidden/>
                <w:szCs w:val="17"/>
              </w:rPr>
              <w:fldChar w:fldCharType="begin"/>
            </w:r>
            <w:r w:rsidR="000D4E00" w:rsidRPr="002D52CC">
              <w:rPr>
                <w:noProof/>
                <w:webHidden/>
                <w:szCs w:val="17"/>
              </w:rPr>
              <w:instrText xml:space="preserve"> PAGEREF _Toc59098950 \h </w:instrText>
            </w:r>
            <w:r w:rsidR="000D4E00" w:rsidRPr="002D52CC">
              <w:rPr>
                <w:noProof/>
                <w:webHidden/>
                <w:szCs w:val="17"/>
              </w:rPr>
            </w:r>
            <w:r w:rsidR="000D4E00" w:rsidRPr="002D52CC">
              <w:rPr>
                <w:noProof/>
                <w:webHidden/>
                <w:szCs w:val="17"/>
              </w:rPr>
              <w:fldChar w:fldCharType="separate"/>
            </w:r>
            <w:r w:rsidR="003A4FC3">
              <w:rPr>
                <w:noProof/>
                <w:webHidden/>
                <w:szCs w:val="17"/>
              </w:rPr>
              <w:t>5852</w:t>
            </w:r>
            <w:r w:rsidR="000D4E00" w:rsidRPr="002D52CC">
              <w:rPr>
                <w:noProof/>
                <w:webHidden/>
                <w:szCs w:val="17"/>
              </w:rPr>
              <w:fldChar w:fldCharType="end"/>
            </w:r>
          </w:hyperlink>
        </w:p>
        <w:p w:rsidR="000D4E00" w:rsidRPr="002D52CC" w:rsidRDefault="00607847" w:rsidP="00280A5D">
          <w:pPr>
            <w:pStyle w:val="TOC2"/>
            <w:tabs>
              <w:tab w:val="right" w:leader="dot" w:pos="4550"/>
            </w:tabs>
            <w:rPr>
              <w:rFonts w:eastAsiaTheme="minorEastAsia"/>
              <w:noProof/>
              <w:color w:val="auto"/>
              <w:szCs w:val="17"/>
            </w:rPr>
          </w:pPr>
          <w:hyperlink w:anchor="_Toc59098951" w:history="1">
            <w:r w:rsidR="000D4E00" w:rsidRPr="002D52CC">
              <w:rPr>
                <w:rStyle w:val="Hyperlink"/>
                <w:noProof/>
                <w:szCs w:val="17"/>
              </w:rPr>
              <w:t>Housing Improvement Act 2016</w:t>
            </w:r>
            <w:r w:rsidR="000D4E00" w:rsidRPr="002D52CC">
              <w:rPr>
                <w:noProof/>
                <w:webHidden/>
                <w:szCs w:val="17"/>
              </w:rPr>
              <w:tab/>
            </w:r>
            <w:r w:rsidR="000D4E00" w:rsidRPr="002D52CC">
              <w:rPr>
                <w:noProof/>
                <w:webHidden/>
                <w:szCs w:val="17"/>
              </w:rPr>
              <w:fldChar w:fldCharType="begin"/>
            </w:r>
            <w:r w:rsidR="000D4E00" w:rsidRPr="002D52CC">
              <w:rPr>
                <w:noProof/>
                <w:webHidden/>
                <w:szCs w:val="17"/>
              </w:rPr>
              <w:instrText xml:space="preserve"> PAGEREF _Toc59098951 \h </w:instrText>
            </w:r>
            <w:r w:rsidR="000D4E00" w:rsidRPr="002D52CC">
              <w:rPr>
                <w:noProof/>
                <w:webHidden/>
                <w:szCs w:val="17"/>
              </w:rPr>
            </w:r>
            <w:r w:rsidR="000D4E00" w:rsidRPr="002D52CC">
              <w:rPr>
                <w:noProof/>
                <w:webHidden/>
                <w:szCs w:val="17"/>
              </w:rPr>
              <w:fldChar w:fldCharType="separate"/>
            </w:r>
            <w:r w:rsidR="003A4FC3">
              <w:rPr>
                <w:noProof/>
                <w:webHidden/>
                <w:szCs w:val="17"/>
              </w:rPr>
              <w:t>5853</w:t>
            </w:r>
            <w:r w:rsidR="000D4E00" w:rsidRPr="002D52CC">
              <w:rPr>
                <w:noProof/>
                <w:webHidden/>
                <w:szCs w:val="17"/>
              </w:rPr>
              <w:fldChar w:fldCharType="end"/>
            </w:r>
          </w:hyperlink>
        </w:p>
        <w:p w:rsidR="000D4E00" w:rsidRPr="002D52CC" w:rsidRDefault="00607847" w:rsidP="00280A5D">
          <w:pPr>
            <w:pStyle w:val="TOC2"/>
            <w:tabs>
              <w:tab w:val="right" w:leader="dot" w:pos="4550"/>
            </w:tabs>
            <w:rPr>
              <w:rFonts w:eastAsiaTheme="minorEastAsia"/>
              <w:noProof/>
              <w:color w:val="auto"/>
              <w:szCs w:val="17"/>
            </w:rPr>
          </w:pPr>
          <w:hyperlink w:anchor="_Toc59098952" w:history="1">
            <w:r w:rsidR="000D4E00" w:rsidRPr="002D52CC">
              <w:rPr>
                <w:rStyle w:val="Hyperlink"/>
                <w:noProof/>
                <w:szCs w:val="17"/>
              </w:rPr>
              <w:t>Liquor Licensing Act 1997</w:t>
            </w:r>
            <w:r w:rsidR="000D4E00" w:rsidRPr="002D52CC">
              <w:rPr>
                <w:noProof/>
                <w:webHidden/>
                <w:szCs w:val="17"/>
              </w:rPr>
              <w:tab/>
            </w:r>
            <w:r w:rsidR="000D4E00" w:rsidRPr="002D52CC">
              <w:rPr>
                <w:noProof/>
                <w:webHidden/>
                <w:szCs w:val="17"/>
              </w:rPr>
              <w:fldChar w:fldCharType="begin"/>
            </w:r>
            <w:r w:rsidR="000D4E00" w:rsidRPr="002D52CC">
              <w:rPr>
                <w:noProof/>
                <w:webHidden/>
                <w:szCs w:val="17"/>
              </w:rPr>
              <w:instrText xml:space="preserve"> PAGEREF _Toc59098952 \h </w:instrText>
            </w:r>
            <w:r w:rsidR="000D4E00" w:rsidRPr="002D52CC">
              <w:rPr>
                <w:noProof/>
                <w:webHidden/>
                <w:szCs w:val="17"/>
              </w:rPr>
            </w:r>
            <w:r w:rsidR="000D4E00" w:rsidRPr="002D52CC">
              <w:rPr>
                <w:noProof/>
                <w:webHidden/>
                <w:szCs w:val="17"/>
              </w:rPr>
              <w:fldChar w:fldCharType="separate"/>
            </w:r>
            <w:r w:rsidR="003A4FC3">
              <w:rPr>
                <w:noProof/>
                <w:webHidden/>
                <w:szCs w:val="17"/>
              </w:rPr>
              <w:t>5853</w:t>
            </w:r>
            <w:r w:rsidR="000D4E00" w:rsidRPr="002D52CC">
              <w:rPr>
                <w:noProof/>
                <w:webHidden/>
                <w:szCs w:val="17"/>
              </w:rPr>
              <w:fldChar w:fldCharType="end"/>
            </w:r>
          </w:hyperlink>
        </w:p>
        <w:p w:rsidR="000D4E00" w:rsidRPr="002D52CC" w:rsidRDefault="00607847" w:rsidP="00280A5D">
          <w:pPr>
            <w:pStyle w:val="TOC2"/>
            <w:tabs>
              <w:tab w:val="right" w:leader="dot" w:pos="4550"/>
            </w:tabs>
            <w:rPr>
              <w:rFonts w:eastAsiaTheme="minorEastAsia"/>
              <w:noProof/>
              <w:color w:val="auto"/>
              <w:szCs w:val="17"/>
            </w:rPr>
          </w:pPr>
          <w:hyperlink w:anchor="_Toc59098953" w:history="1">
            <w:r w:rsidR="000D4E00" w:rsidRPr="002D52CC">
              <w:rPr>
                <w:rStyle w:val="Hyperlink"/>
                <w:noProof/>
                <w:szCs w:val="17"/>
              </w:rPr>
              <w:t>Mental Health Act 2009</w:t>
            </w:r>
            <w:r w:rsidR="000D4E00" w:rsidRPr="002D52CC">
              <w:rPr>
                <w:noProof/>
                <w:webHidden/>
                <w:szCs w:val="17"/>
              </w:rPr>
              <w:tab/>
            </w:r>
            <w:r w:rsidR="000D4E00" w:rsidRPr="002D52CC">
              <w:rPr>
                <w:noProof/>
                <w:webHidden/>
                <w:szCs w:val="17"/>
              </w:rPr>
              <w:fldChar w:fldCharType="begin"/>
            </w:r>
            <w:r w:rsidR="000D4E00" w:rsidRPr="002D52CC">
              <w:rPr>
                <w:noProof/>
                <w:webHidden/>
                <w:szCs w:val="17"/>
              </w:rPr>
              <w:instrText xml:space="preserve"> PAGEREF _Toc59098953 \h </w:instrText>
            </w:r>
            <w:r w:rsidR="000D4E00" w:rsidRPr="002D52CC">
              <w:rPr>
                <w:noProof/>
                <w:webHidden/>
                <w:szCs w:val="17"/>
              </w:rPr>
            </w:r>
            <w:r w:rsidR="000D4E00" w:rsidRPr="002D52CC">
              <w:rPr>
                <w:noProof/>
                <w:webHidden/>
                <w:szCs w:val="17"/>
              </w:rPr>
              <w:fldChar w:fldCharType="separate"/>
            </w:r>
            <w:r w:rsidR="003A4FC3">
              <w:rPr>
                <w:noProof/>
                <w:webHidden/>
                <w:szCs w:val="17"/>
              </w:rPr>
              <w:t>5870</w:t>
            </w:r>
            <w:r w:rsidR="000D4E00" w:rsidRPr="002D52CC">
              <w:rPr>
                <w:noProof/>
                <w:webHidden/>
                <w:szCs w:val="17"/>
              </w:rPr>
              <w:fldChar w:fldCharType="end"/>
            </w:r>
          </w:hyperlink>
        </w:p>
        <w:p w:rsidR="000D4E00" w:rsidRPr="002D52CC" w:rsidRDefault="00607847" w:rsidP="00280A5D">
          <w:pPr>
            <w:pStyle w:val="TOC2"/>
            <w:tabs>
              <w:tab w:val="right" w:leader="dot" w:pos="4550"/>
            </w:tabs>
            <w:rPr>
              <w:rFonts w:eastAsiaTheme="minorEastAsia"/>
              <w:noProof/>
              <w:color w:val="auto"/>
              <w:szCs w:val="17"/>
            </w:rPr>
          </w:pPr>
          <w:hyperlink w:anchor="_Toc59098954" w:history="1">
            <w:r w:rsidR="000D4E00" w:rsidRPr="002D52CC">
              <w:rPr>
                <w:rStyle w:val="Hyperlink"/>
                <w:noProof/>
                <w:szCs w:val="17"/>
              </w:rPr>
              <w:t>Mining Act 1971</w:t>
            </w:r>
            <w:r w:rsidR="000D4E00" w:rsidRPr="002D52CC">
              <w:rPr>
                <w:noProof/>
                <w:webHidden/>
                <w:szCs w:val="17"/>
              </w:rPr>
              <w:tab/>
            </w:r>
            <w:r w:rsidR="000D4E00" w:rsidRPr="002D52CC">
              <w:rPr>
                <w:noProof/>
                <w:webHidden/>
                <w:szCs w:val="17"/>
              </w:rPr>
              <w:fldChar w:fldCharType="begin"/>
            </w:r>
            <w:r w:rsidR="000D4E00" w:rsidRPr="002D52CC">
              <w:rPr>
                <w:noProof/>
                <w:webHidden/>
                <w:szCs w:val="17"/>
              </w:rPr>
              <w:instrText xml:space="preserve"> PAGEREF _Toc59098954 \h </w:instrText>
            </w:r>
            <w:r w:rsidR="000D4E00" w:rsidRPr="002D52CC">
              <w:rPr>
                <w:noProof/>
                <w:webHidden/>
                <w:szCs w:val="17"/>
              </w:rPr>
            </w:r>
            <w:r w:rsidR="000D4E00" w:rsidRPr="002D52CC">
              <w:rPr>
                <w:noProof/>
                <w:webHidden/>
                <w:szCs w:val="17"/>
              </w:rPr>
              <w:fldChar w:fldCharType="separate"/>
            </w:r>
            <w:r w:rsidR="003A4FC3">
              <w:rPr>
                <w:noProof/>
                <w:webHidden/>
                <w:szCs w:val="17"/>
              </w:rPr>
              <w:t>5871</w:t>
            </w:r>
            <w:r w:rsidR="000D4E00" w:rsidRPr="002D52CC">
              <w:rPr>
                <w:noProof/>
                <w:webHidden/>
                <w:szCs w:val="17"/>
              </w:rPr>
              <w:fldChar w:fldCharType="end"/>
            </w:r>
          </w:hyperlink>
        </w:p>
        <w:p w:rsidR="000D4E00" w:rsidRPr="002D52CC" w:rsidRDefault="00607847" w:rsidP="00280A5D">
          <w:pPr>
            <w:pStyle w:val="TOC2"/>
            <w:tabs>
              <w:tab w:val="right" w:leader="dot" w:pos="4550"/>
            </w:tabs>
            <w:rPr>
              <w:rFonts w:eastAsiaTheme="minorEastAsia"/>
              <w:noProof/>
              <w:color w:val="auto"/>
              <w:szCs w:val="17"/>
            </w:rPr>
          </w:pPr>
          <w:hyperlink w:anchor="_Toc59098957" w:history="1">
            <w:r w:rsidR="000D4E00" w:rsidRPr="002D52CC">
              <w:rPr>
                <w:rStyle w:val="Hyperlink"/>
                <w:noProof/>
                <w:szCs w:val="17"/>
              </w:rPr>
              <w:t>Mining Regulations 2020</w:t>
            </w:r>
            <w:r w:rsidR="000D4E00" w:rsidRPr="002D52CC">
              <w:rPr>
                <w:noProof/>
                <w:webHidden/>
                <w:szCs w:val="17"/>
              </w:rPr>
              <w:tab/>
            </w:r>
            <w:r w:rsidR="000D4E00" w:rsidRPr="002D52CC">
              <w:rPr>
                <w:noProof/>
                <w:webHidden/>
                <w:szCs w:val="17"/>
              </w:rPr>
              <w:fldChar w:fldCharType="begin"/>
            </w:r>
            <w:r w:rsidR="000D4E00" w:rsidRPr="002D52CC">
              <w:rPr>
                <w:noProof/>
                <w:webHidden/>
                <w:szCs w:val="17"/>
              </w:rPr>
              <w:instrText xml:space="preserve"> PAGEREF _Toc59098957 \h </w:instrText>
            </w:r>
            <w:r w:rsidR="000D4E00" w:rsidRPr="002D52CC">
              <w:rPr>
                <w:noProof/>
                <w:webHidden/>
                <w:szCs w:val="17"/>
              </w:rPr>
            </w:r>
            <w:r w:rsidR="000D4E00" w:rsidRPr="002D52CC">
              <w:rPr>
                <w:noProof/>
                <w:webHidden/>
                <w:szCs w:val="17"/>
              </w:rPr>
              <w:fldChar w:fldCharType="separate"/>
            </w:r>
            <w:r w:rsidR="003A4FC3">
              <w:rPr>
                <w:noProof/>
                <w:webHidden/>
                <w:szCs w:val="17"/>
              </w:rPr>
              <w:t>5984</w:t>
            </w:r>
            <w:r w:rsidR="000D4E00" w:rsidRPr="002D52CC">
              <w:rPr>
                <w:noProof/>
                <w:webHidden/>
                <w:szCs w:val="17"/>
              </w:rPr>
              <w:fldChar w:fldCharType="end"/>
            </w:r>
          </w:hyperlink>
        </w:p>
        <w:p w:rsidR="000D4E00" w:rsidRPr="002D52CC" w:rsidRDefault="00607847" w:rsidP="00280A5D">
          <w:pPr>
            <w:pStyle w:val="TOC2"/>
            <w:tabs>
              <w:tab w:val="right" w:leader="dot" w:pos="4550"/>
            </w:tabs>
            <w:rPr>
              <w:rFonts w:eastAsiaTheme="minorEastAsia"/>
              <w:noProof/>
              <w:color w:val="auto"/>
              <w:szCs w:val="17"/>
            </w:rPr>
          </w:pPr>
          <w:hyperlink w:anchor="_Toc59098961" w:history="1">
            <w:r w:rsidR="000D4E00" w:rsidRPr="002D52CC">
              <w:rPr>
                <w:rStyle w:val="Hyperlink"/>
                <w:noProof/>
                <w:szCs w:val="17"/>
              </w:rPr>
              <w:t>Opal Mining Regulations 2012</w:t>
            </w:r>
            <w:r w:rsidR="000D4E00" w:rsidRPr="002D52CC">
              <w:rPr>
                <w:noProof/>
                <w:webHidden/>
                <w:szCs w:val="17"/>
              </w:rPr>
              <w:tab/>
            </w:r>
            <w:r w:rsidR="000D4E00" w:rsidRPr="002D52CC">
              <w:rPr>
                <w:noProof/>
                <w:webHidden/>
                <w:szCs w:val="17"/>
              </w:rPr>
              <w:fldChar w:fldCharType="begin"/>
            </w:r>
            <w:r w:rsidR="000D4E00" w:rsidRPr="002D52CC">
              <w:rPr>
                <w:noProof/>
                <w:webHidden/>
                <w:szCs w:val="17"/>
              </w:rPr>
              <w:instrText xml:space="preserve"> PAGEREF _Toc59098961 \h </w:instrText>
            </w:r>
            <w:r w:rsidR="000D4E00" w:rsidRPr="002D52CC">
              <w:rPr>
                <w:noProof/>
                <w:webHidden/>
                <w:szCs w:val="17"/>
              </w:rPr>
            </w:r>
            <w:r w:rsidR="000D4E00" w:rsidRPr="002D52CC">
              <w:rPr>
                <w:noProof/>
                <w:webHidden/>
                <w:szCs w:val="17"/>
              </w:rPr>
              <w:fldChar w:fldCharType="separate"/>
            </w:r>
            <w:r w:rsidR="003A4FC3">
              <w:rPr>
                <w:noProof/>
                <w:webHidden/>
                <w:szCs w:val="17"/>
              </w:rPr>
              <w:t>6011</w:t>
            </w:r>
            <w:r w:rsidR="000D4E00" w:rsidRPr="002D52CC">
              <w:rPr>
                <w:noProof/>
                <w:webHidden/>
                <w:szCs w:val="17"/>
              </w:rPr>
              <w:fldChar w:fldCharType="end"/>
            </w:r>
          </w:hyperlink>
        </w:p>
        <w:p w:rsidR="000D4E00" w:rsidRPr="002D52CC" w:rsidRDefault="00607847" w:rsidP="00280A5D">
          <w:pPr>
            <w:pStyle w:val="TOC2"/>
            <w:tabs>
              <w:tab w:val="right" w:leader="dot" w:pos="4550"/>
            </w:tabs>
            <w:rPr>
              <w:rFonts w:eastAsiaTheme="minorEastAsia"/>
              <w:noProof/>
              <w:color w:val="auto"/>
              <w:szCs w:val="17"/>
            </w:rPr>
          </w:pPr>
          <w:hyperlink w:anchor="_Toc59098962" w:history="1">
            <w:r w:rsidR="000D4E00" w:rsidRPr="002D52CC">
              <w:rPr>
                <w:rStyle w:val="Hyperlink"/>
                <w:noProof/>
                <w:szCs w:val="17"/>
              </w:rPr>
              <w:t>Road Traffic Act 1961</w:t>
            </w:r>
            <w:r w:rsidR="000D4E00" w:rsidRPr="002D52CC">
              <w:rPr>
                <w:noProof/>
                <w:webHidden/>
                <w:szCs w:val="17"/>
              </w:rPr>
              <w:tab/>
            </w:r>
            <w:r w:rsidR="000D4E00" w:rsidRPr="002D52CC">
              <w:rPr>
                <w:noProof/>
                <w:webHidden/>
                <w:szCs w:val="17"/>
              </w:rPr>
              <w:fldChar w:fldCharType="begin"/>
            </w:r>
            <w:r w:rsidR="000D4E00" w:rsidRPr="002D52CC">
              <w:rPr>
                <w:noProof/>
                <w:webHidden/>
                <w:szCs w:val="17"/>
              </w:rPr>
              <w:instrText xml:space="preserve"> PAGEREF _Toc59098962 \h </w:instrText>
            </w:r>
            <w:r w:rsidR="000D4E00" w:rsidRPr="002D52CC">
              <w:rPr>
                <w:noProof/>
                <w:webHidden/>
                <w:szCs w:val="17"/>
              </w:rPr>
            </w:r>
            <w:r w:rsidR="000D4E00" w:rsidRPr="002D52CC">
              <w:rPr>
                <w:noProof/>
                <w:webHidden/>
                <w:szCs w:val="17"/>
              </w:rPr>
              <w:fldChar w:fldCharType="separate"/>
            </w:r>
            <w:r w:rsidR="003A4FC3">
              <w:rPr>
                <w:noProof/>
                <w:webHidden/>
                <w:szCs w:val="17"/>
              </w:rPr>
              <w:t>6011</w:t>
            </w:r>
            <w:r w:rsidR="000D4E00" w:rsidRPr="002D52CC">
              <w:rPr>
                <w:noProof/>
                <w:webHidden/>
                <w:szCs w:val="17"/>
              </w:rPr>
              <w:fldChar w:fldCharType="end"/>
            </w:r>
          </w:hyperlink>
        </w:p>
        <w:p w:rsidR="000D4E00" w:rsidRPr="002D52CC" w:rsidRDefault="00607847" w:rsidP="00280A5D">
          <w:pPr>
            <w:pStyle w:val="TOC2"/>
            <w:tabs>
              <w:tab w:val="right" w:leader="dot" w:pos="4550"/>
            </w:tabs>
            <w:rPr>
              <w:rFonts w:eastAsiaTheme="minorEastAsia"/>
              <w:noProof/>
              <w:color w:val="auto"/>
              <w:szCs w:val="17"/>
            </w:rPr>
          </w:pPr>
          <w:hyperlink w:anchor="_Toc59098963" w:history="1">
            <w:r w:rsidR="000D4E00" w:rsidRPr="002D52CC">
              <w:rPr>
                <w:rStyle w:val="Hyperlink"/>
                <w:noProof/>
                <w:szCs w:val="17"/>
              </w:rPr>
              <w:t>Training and Skills Development Act 2008</w:t>
            </w:r>
            <w:r w:rsidR="000D4E00" w:rsidRPr="002D52CC">
              <w:rPr>
                <w:noProof/>
                <w:webHidden/>
                <w:szCs w:val="17"/>
              </w:rPr>
              <w:tab/>
            </w:r>
            <w:r w:rsidR="000D4E00" w:rsidRPr="002D52CC">
              <w:rPr>
                <w:noProof/>
                <w:webHidden/>
                <w:szCs w:val="17"/>
              </w:rPr>
              <w:fldChar w:fldCharType="begin"/>
            </w:r>
            <w:r w:rsidR="000D4E00" w:rsidRPr="002D52CC">
              <w:rPr>
                <w:noProof/>
                <w:webHidden/>
                <w:szCs w:val="17"/>
              </w:rPr>
              <w:instrText xml:space="preserve"> PAGEREF _Toc59098963 \h </w:instrText>
            </w:r>
            <w:r w:rsidR="000D4E00" w:rsidRPr="002D52CC">
              <w:rPr>
                <w:noProof/>
                <w:webHidden/>
                <w:szCs w:val="17"/>
              </w:rPr>
            </w:r>
            <w:r w:rsidR="000D4E00" w:rsidRPr="002D52CC">
              <w:rPr>
                <w:noProof/>
                <w:webHidden/>
                <w:szCs w:val="17"/>
              </w:rPr>
              <w:fldChar w:fldCharType="separate"/>
            </w:r>
            <w:r w:rsidR="003A4FC3">
              <w:rPr>
                <w:noProof/>
                <w:webHidden/>
                <w:szCs w:val="17"/>
              </w:rPr>
              <w:t>6012</w:t>
            </w:r>
            <w:r w:rsidR="000D4E00" w:rsidRPr="002D52CC">
              <w:rPr>
                <w:noProof/>
                <w:webHidden/>
                <w:szCs w:val="17"/>
              </w:rPr>
              <w:fldChar w:fldCharType="end"/>
            </w:r>
          </w:hyperlink>
        </w:p>
        <w:p w:rsidR="000D4E00" w:rsidRPr="002D52CC" w:rsidRDefault="00607847" w:rsidP="003A2D8D">
          <w:pPr>
            <w:pStyle w:val="Heading5"/>
            <w:spacing w:before="40"/>
            <w:rPr>
              <w:rFonts w:eastAsiaTheme="minorEastAsia"/>
              <w:noProof/>
              <w:szCs w:val="17"/>
            </w:rPr>
          </w:pPr>
          <w:hyperlink w:anchor="_Toc59098964" w:history="1">
            <w:r w:rsidR="000D4E00" w:rsidRPr="002D52CC">
              <w:rPr>
                <w:rStyle w:val="Hyperlink"/>
                <w:noProof/>
                <w:szCs w:val="17"/>
              </w:rPr>
              <w:t>Local Government Instruments</w:t>
            </w:r>
          </w:hyperlink>
        </w:p>
        <w:p w:rsidR="000D4E00" w:rsidRPr="002D52CC" w:rsidRDefault="00607847" w:rsidP="00280A5D">
          <w:pPr>
            <w:pStyle w:val="TOC2"/>
            <w:tabs>
              <w:tab w:val="right" w:leader="dot" w:pos="4550"/>
            </w:tabs>
            <w:rPr>
              <w:rFonts w:eastAsiaTheme="minorEastAsia"/>
              <w:noProof/>
              <w:color w:val="auto"/>
              <w:szCs w:val="17"/>
            </w:rPr>
          </w:pPr>
          <w:hyperlink w:anchor="_Toc59098965" w:history="1">
            <w:r w:rsidR="000D4E00" w:rsidRPr="002D52CC">
              <w:rPr>
                <w:rStyle w:val="Hyperlink"/>
                <w:noProof/>
                <w:szCs w:val="17"/>
              </w:rPr>
              <w:t>City of Holdfast Bay</w:t>
            </w:r>
            <w:r w:rsidR="000D4E00" w:rsidRPr="002D52CC">
              <w:rPr>
                <w:noProof/>
                <w:webHidden/>
                <w:szCs w:val="17"/>
              </w:rPr>
              <w:tab/>
            </w:r>
            <w:r w:rsidR="000D4E00" w:rsidRPr="002D52CC">
              <w:rPr>
                <w:noProof/>
                <w:webHidden/>
                <w:szCs w:val="17"/>
              </w:rPr>
              <w:fldChar w:fldCharType="begin"/>
            </w:r>
            <w:r w:rsidR="000D4E00" w:rsidRPr="002D52CC">
              <w:rPr>
                <w:noProof/>
                <w:webHidden/>
                <w:szCs w:val="17"/>
              </w:rPr>
              <w:instrText xml:space="preserve"> PAGEREF _Toc59098965 \h </w:instrText>
            </w:r>
            <w:r w:rsidR="000D4E00" w:rsidRPr="002D52CC">
              <w:rPr>
                <w:noProof/>
                <w:webHidden/>
                <w:szCs w:val="17"/>
              </w:rPr>
            </w:r>
            <w:r w:rsidR="000D4E00" w:rsidRPr="002D52CC">
              <w:rPr>
                <w:noProof/>
                <w:webHidden/>
                <w:szCs w:val="17"/>
              </w:rPr>
              <w:fldChar w:fldCharType="separate"/>
            </w:r>
            <w:r w:rsidR="003A4FC3">
              <w:rPr>
                <w:noProof/>
                <w:webHidden/>
                <w:szCs w:val="17"/>
              </w:rPr>
              <w:t>6014</w:t>
            </w:r>
            <w:r w:rsidR="000D4E00" w:rsidRPr="002D52CC">
              <w:rPr>
                <w:noProof/>
                <w:webHidden/>
                <w:szCs w:val="17"/>
              </w:rPr>
              <w:fldChar w:fldCharType="end"/>
            </w:r>
          </w:hyperlink>
        </w:p>
        <w:p w:rsidR="000D4E00" w:rsidRPr="002D52CC" w:rsidRDefault="00607847" w:rsidP="00280A5D">
          <w:pPr>
            <w:pStyle w:val="TOC2"/>
            <w:tabs>
              <w:tab w:val="right" w:leader="dot" w:pos="4550"/>
            </w:tabs>
            <w:rPr>
              <w:rFonts w:eastAsiaTheme="minorEastAsia"/>
              <w:noProof/>
              <w:color w:val="auto"/>
              <w:szCs w:val="17"/>
            </w:rPr>
          </w:pPr>
          <w:hyperlink w:anchor="_Toc59098966" w:history="1">
            <w:r w:rsidR="000D4E00" w:rsidRPr="002D52CC">
              <w:rPr>
                <w:rStyle w:val="Hyperlink"/>
                <w:noProof/>
                <w:szCs w:val="17"/>
              </w:rPr>
              <w:t>City of Port Adelaide Enfield</w:t>
            </w:r>
            <w:r w:rsidR="000D4E00" w:rsidRPr="002D52CC">
              <w:rPr>
                <w:noProof/>
                <w:webHidden/>
                <w:szCs w:val="17"/>
              </w:rPr>
              <w:tab/>
            </w:r>
            <w:r w:rsidR="000D4E00" w:rsidRPr="002D52CC">
              <w:rPr>
                <w:noProof/>
                <w:webHidden/>
                <w:szCs w:val="17"/>
              </w:rPr>
              <w:fldChar w:fldCharType="begin"/>
            </w:r>
            <w:r w:rsidR="000D4E00" w:rsidRPr="002D52CC">
              <w:rPr>
                <w:noProof/>
                <w:webHidden/>
                <w:szCs w:val="17"/>
              </w:rPr>
              <w:instrText xml:space="preserve"> PAGEREF _Toc59098966 \h </w:instrText>
            </w:r>
            <w:r w:rsidR="000D4E00" w:rsidRPr="002D52CC">
              <w:rPr>
                <w:noProof/>
                <w:webHidden/>
                <w:szCs w:val="17"/>
              </w:rPr>
            </w:r>
            <w:r w:rsidR="000D4E00" w:rsidRPr="002D52CC">
              <w:rPr>
                <w:noProof/>
                <w:webHidden/>
                <w:szCs w:val="17"/>
              </w:rPr>
              <w:fldChar w:fldCharType="separate"/>
            </w:r>
            <w:r w:rsidR="003A4FC3">
              <w:rPr>
                <w:noProof/>
                <w:webHidden/>
                <w:szCs w:val="17"/>
              </w:rPr>
              <w:t>6017</w:t>
            </w:r>
            <w:r w:rsidR="000D4E00" w:rsidRPr="002D52CC">
              <w:rPr>
                <w:noProof/>
                <w:webHidden/>
                <w:szCs w:val="17"/>
              </w:rPr>
              <w:fldChar w:fldCharType="end"/>
            </w:r>
          </w:hyperlink>
        </w:p>
        <w:p w:rsidR="000D4E00" w:rsidRPr="002D52CC" w:rsidRDefault="00607847" w:rsidP="00280A5D">
          <w:pPr>
            <w:pStyle w:val="TOC2"/>
            <w:tabs>
              <w:tab w:val="right" w:leader="dot" w:pos="4550"/>
            </w:tabs>
            <w:rPr>
              <w:rFonts w:eastAsiaTheme="minorEastAsia"/>
              <w:noProof/>
              <w:color w:val="auto"/>
              <w:szCs w:val="17"/>
            </w:rPr>
          </w:pPr>
          <w:hyperlink w:anchor="_Toc59098967" w:history="1">
            <w:r w:rsidR="000D4E00" w:rsidRPr="002D52CC">
              <w:rPr>
                <w:rStyle w:val="Hyperlink"/>
                <w:noProof/>
                <w:szCs w:val="17"/>
              </w:rPr>
              <w:t>City of West Torrens</w:t>
            </w:r>
            <w:r w:rsidR="000D4E00" w:rsidRPr="002D52CC">
              <w:rPr>
                <w:noProof/>
                <w:webHidden/>
                <w:szCs w:val="17"/>
              </w:rPr>
              <w:tab/>
            </w:r>
            <w:r w:rsidR="000D4E00" w:rsidRPr="002D52CC">
              <w:rPr>
                <w:noProof/>
                <w:webHidden/>
                <w:szCs w:val="17"/>
              </w:rPr>
              <w:fldChar w:fldCharType="begin"/>
            </w:r>
            <w:r w:rsidR="000D4E00" w:rsidRPr="002D52CC">
              <w:rPr>
                <w:noProof/>
                <w:webHidden/>
                <w:szCs w:val="17"/>
              </w:rPr>
              <w:instrText xml:space="preserve"> PAGEREF _Toc59098967 \h </w:instrText>
            </w:r>
            <w:r w:rsidR="000D4E00" w:rsidRPr="002D52CC">
              <w:rPr>
                <w:noProof/>
                <w:webHidden/>
                <w:szCs w:val="17"/>
              </w:rPr>
            </w:r>
            <w:r w:rsidR="000D4E00" w:rsidRPr="002D52CC">
              <w:rPr>
                <w:noProof/>
                <w:webHidden/>
                <w:szCs w:val="17"/>
              </w:rPr>
              <w:fldChar w:fldCharType="separate"/>
            </w:r>
            <w:r w:rsidR="003A4FC3">
              <w:rPr>
                <w:noProof/>
                <w:webHidden/>
                <w:szCs w:val="17"/>
              </w:rPr>
              <w:t>6017</w:t>
            </w:r>
            <w:r w:rsidR="000D4E00" w:rsidRPr="002D52CC">
              <w:rPr>
                <w:noProof/>
                <w:webHidden/>
                <w:szCs w:val="17"/>
              </w:rPr>
              <w:fldChar w:fldCharType="end"/>
            </w:r>
          </w:hyperlink>
        </w:p>
        <w:p w:rsidR="000D4E00" w:rsidRPr="002D52CC" w:rsidRDefault="00607847" w:rsidP="00280A5D">
          <w:pPr>
            <w:pStyle w:val="TOC2"/>
            <w:tabs>
              <w:tab w:val="right" w:leader="dot" w:pos="4550"/>
            </w:tabs>
            <w:rPr>
              <w:rFonts w:eastAsiaTheme="minorEastAsia"/>
              <w:noProof/>
              <w:color w:val="auto"/>
              <w:szCs w:val="17"/>
            </w:rPr>
          </w:pPr>
          <w:hyperlink w:anchor="_Toc59098968" w:history="1">
            <w:r w:rsidR="000D4E00" w:rsidRPr="002D52CC">
              <w:rPr>
                <w:rStyle w:val="Hyperlink"/>
                <w:noProof/>
                <w:szCs w:val="17"/>
              </w:rPr>
              <w:t>District Council of Franklin Harbour</w:t>
            </w:r>
            <w:r w:rsidR="000D4E00" w:rsidRPr="002D52CC">
              <w:rPr>
                <w:noProof/>
                <w:webHidden/>
                <w:szCs w:val="17"/>
              </w:rPr>
              <w:tab/>
            </w:r>
            <w:r w:rsidR="000D4E00" w:rsidRPr="002D52CC">
              <w:rPr>
                <w:noProof/>
                <w:webHidden/>
                <w:szCs w:val="17"/>
              </w:rPr>
              <w:fldChar w:fldCharType="begin"/>
            </w:r>
            <w:r w:rsidR="000D4E00" w:rsidRPr="002D52CC">
              <w:rPr>
                <w:noProof/>
                <w:webHidden/>
                <w:szCs w:val="17"/>
              </w:rPr>
              <w:instrText xml:space="preserve"> PAGEREF _Toc59098968 \h </w:instrText>
            </w:r>
            <w:r w:rsidR="000D4E00" w:rsidRPr="002D52CC">
              <w:rPr>
                <w:noProof/>
                <w:webHidden/>
                <w:szCs w:val="17"/>
              </w:rPr>
            </w:r>
            <w:r w:rsidR="000D4E00" w:rsidRPr="002D52CC">
              <w:rPr>
                <w:noProof/>
                <w:webHidden/>
                <w:szCs w:val="17"/>
              </w:rPr>
              <w:fldChar w:fldCharType="separate"/>
            </w:r>
            <w:r w:rsidR="003A4FC3">
              <w:rPr>
                <w:noProof/>
                <w:webHidden/>
                <w:szCs w:val="17"/>
              </w:rPr>
              <w:t>6017</w:t>
            </w:r>
            <w:r w:rsidR="000D4E00" w:rsidRPr="002D52CC">
              <w:rPr>
                <w:noProof/>
                <w:webHidden/>
                <w:szCs w:val="17"/>
              </w:rPr>
              <w:fldChar w:fldCharType="end"/>
            </w:r>
          </w:hyperlink>
        </w:p>
        <w:p w:rsidR="000D4E00" w:rsidRPr="002D52CC" w:rsidRDefault="00607847" w:rsidP="00280A5D">
          <w:pPr>
            <w:pStyle w:val="TOC2"/>
            <w:tabs>
              <w:tab w:val="right" w:leader="dot" w:pos="4550"/>
            </w:tabs>
            <w:rPr>
              <w:rFonts w:eastAsiaTheme="minorEastAsia"/>
              <w:noProof/>
              <w:color w:val="auto"/>
              <w:szCs w:val="17"/>
            </w:rPr>
          </w:pPr>
          <w:hyperlink w:anchor="_Toc59098969" w:history="1">
            <w:r w:rsidR="000D4E00" w:rsidRPr="002D52CC">
              <w:rPr>
                <w:rStyle w:val="Hyperlink"/>
                <w:noProof/>
                <w:szCs w:val="17"/>
              </w:rPr>
              <w:t>Kangaroo Island Council</w:t>
            </w:r>
            <w:r w:rsidR="000D4E00" w:rsidRPr="002D52CC">
              <w:rPr>
                <w:noProof/>
                <w:webHidden/>
                <w:szCs w:val="17"/>
              </w:rPr>
              <w:tab/>
            </w:r>
            <w:r w:rsidR="000D4E00" w:rsidRPr="002D52CC">
              <w:rPr>
                <w:noProof/>
                <w:webHidden/>
                <w:szCs w:val="17"/>
              </w:rPr>
              <w:fldChar w:fldCharType="begin"/>
            </w:r>
            <w:r w:rsidR="000D4E00" w:rsidRPr="002D52CC">
              <w:rPr>
                <w:noProof/>
                <w:webHidden/>
                <w:szCs w:val="17"/>
              </w:rPr>
              <w:instrText xml:space="preserve"> PAGEREF _Toc59098969 \h </w:instrText>
            </w:r>
            <w:r w:rsidR="000D4E00" w:rsidRPr="002D52CC">
              <w:rPr>
                <w:noProof/>
                <w:webHidden/>
                <w:szCs w:val="17"/>
              </w:rPr>
            </w:r>
            <w:r w:rsidR="000D4E00" w:rsidRPr="002D52CC">
              <w:rPr>
                <w:noProof/>
                <w:webHidden/>
                <w:szCs w:val="17"/>
              </w:rPr>
              <w:fldChar w:fldCharType="separate"/>
            </w:r>
            <w:r w:rsidR="003A4FC3">
              <w:rPr>
                <w:noProof/>
                <w:webHidden/>
                <w:szCs w:val="17"/>
              </w:rPr>
              <w:t>6017</w:t>
            </w:r>
            <w:r w:rsidR="000D4E00" w:rsidRPr="002D52CC">
              <w:rPr>
                <w:noProof/>
                <w:webHidden/>
                <w:szCs w:val="17"/>
              </w:rPr>
              <w:fldChar w:fldCharType="end"/>
            </w:r>
          </w:hyperlink>
        </w:p>
        <w:p w:rsidR="000D4E00" w:rsidRPr="002D52CC" w:rsidRDefault="00607847" w:rsidP="00280A5D">
          <w:pPr>
            <w:pStyle w:val="TOC2"/>
            <w:tabs>
              <w:tab w:val="right" w:leader="dot" w:pos="4550"/>
            </w:tabs>
            <w:rPr>
              <w:rFonts w:eastAsiaTheme="minorEastAsia"/>
              <w:noProof/>
              <w:color w:val="auto"/>
              <w:szCs w:val="17"/>
            </w:rPr>
          </w:pPr>
          <w:hyperlink w:anchor="_Toc59098970" w:history="1">
            <w:r w:rsidR="000D4E00" w:rsidRPr="002D52CC">
              <w:rPr>
                <w:rStyle w:val="Hyperlink"/>
                <w:noProof/>
                <w:szCs w:val="17"/>
              </w:rPr>
              <w:t>Port Pirie Regional Council</w:t>
            </w:r>
            <w:r w:rsidR="000D4E00" w:rsidRPr="002D52CC">
              <w:rPr>
                <w:noProof/>
                <w:webHidden/>
                <w:szCs w:val="17"/>
              </w:rPr>
              <w:tab/>
            </w:r>
            <w:r w:rsidR="000D4E00" w:rsidRPr="002D52CC">
              <w:rPr>
                <w:noProof/>
                <w:webHidden/>
                <w:szCs w:val="17"/>
              </w:rPr>
              <w:fldChar w:fldCharType="begin"/>
            </w:r>
            <w:r w:rsidR="000D4E00" w:rsidRPr="002D52CC">
              <w:rPr>
                <w:noProof/>
                <w:webHidden/>
                <w:szCs w:val="17"/>
              </w:rPr>
              <w:instrText xml:space="preserve"> PAGEREF _Toc59098970 \h </w:instrText>
            </w:r>
            <w:r w:rsidR="000D4E00" w:rsidRPr="002D52CC">
              <w:rPr>
                <w:noProof/>
                <w:webHidden/>
                <w:szCs w:val="17"/>
              </w:rPr>
            </w:r>
            <w:r w:rsidR="000D4E00" w:rsidRPr="002D52CC">
              <w:rPr>
                <w:noProof/>
                <w:webHidden/>
                <w:szCs w:val="17"/>
              </w:rPr>
              <w:fldChar w:fldCharType="separate"/>
            </w:r>
            <w:r w:rsidR="003A4FC3">
              <w:rPr>
                <w:noProof/>
                <w:webHidden/>
                <w:szCs w:val="17"/>
              </w:rPr>
              <w:t>6018</w:t>
            </w:r>
            <w:r w:rsidR="000D4E00" w:rsidRPr="002D52CC">
              <w:rPr>
                <w:noProof/>
                <w:webHidden/>
                <w:szCs w:val="17"/>
              </w:rPr>
              <w:fldChar w:fldCharType="end"/>
            </w:r>
          </w:hyperlink>
        </w:p>
        <w:p w:rsidR="000D4E00" w:rsidRPr="002D52CC" w:rsidRDefault="00607847" w:rsidP="00280A5D">
          <w:pPr>
            <w:pStyle w:val="TOC2"/>
            <w:tabs>
              <w:tab w:val="right" w:leader="dot" w:pos="4550"/>
            </w:tabs>
            <w:rPr>
              <w:rFonts w:eastAsiaTheme="minorEastAsia"/>
              <w:noProof/>
              <w:color w:val="auto"/>
              <w:szCs w:val="17"/>
            </w:rPr>
          </w:pPr>
          <w:hyperlink w:anchor="_Toc59098971" w:history="1">
            <w:r w:rsidR="000D4E00" w:rsidRPr="002D52CC">
              <w:rPr>
                <w:rStyle w:val="Hyperlink"/>
                <w:noProof/>
                <w:szCs w:val="17"/>
              </w:rPr>
              <w:t>Yorke Peninsula Council</w:t>
            </w:r>
            <w:r w:rsidR="000D4E00" w:rsidRPr="002D52CC">
              <w:rPr>
                <w:noProof/>
                <w:webHidden/>
                <w:szCs w:val="17"/>
              </w:rPr>
              <w:tab/>
            </w:r>
            <w:r w:rsidR="000D4E00" w:rsidRPr="002D52CC">
              <w:rPr>
                <w:noProof/>
                <w:webHidden/>
                <w:szCs w:val="17"/>
              </w:rPr>
              <w:fldChar w:fldCharType="begin"/>
            </w:r>
            <w:r w:rsidR="000D4E00" w:rsidRPr="002D52CC">
              <w:rPr>
                <w:noProof/>
                <w:webHidden/>
                <w:szCs w:val="17"/>
              </w:rPr>
              <w:instrText xml:space="preserve"> PAGEREF _Toc59098971 \h </w:instrText>
            </w:r>
            <w:r w:rsidR="000D4E00" w:rsidRPr="002D52CC">
              <w:rPr>
                <w:noProof/>
                <w:webHidden/>
                <w:szCs w:val="17"/>
              </w:rPr>
            </w:r>
            <w:r w:rsidR="000D4E00" w:rsidRPr="002D52CC">
              <w:rPr>
                <w:noProof/>
                <w:webHidden/>
                <w:szCs w:val="17"/>
              </w:rPr>
              <w:fldChar w:fldCharType="separate"/>
            </w:r>
            <w:r w:rsidR="003A4FC3">
              <w:rPr>
                <w:noProof/>
                <w:webHidden/>
                <w:szCs w:val="17"/>
              </w:rPr>
              <w:t>6018</w:t>
            </w:r>
            <w:r w:rsidR="000D4E00" w:rsidRPr="002D52CC">
              <w:rPr>
                <w:noProof/>
                <w:webHidden/>
                <w:szCs w:val="17"/>
              </w:rPr>
              <w:fldChar w:fldCharType="end"/>
            </w:r>
          </w:hyperlink>
        </w:p>
        <w:p w:rsidR="000D4E00" w:rsidRPr="002D52CC" w:rsidRDefault="00607847" w:rsidP="00184056">
          <w:pPr>
            <w:pStyle w:val="Heading5"/>
            <w:spacing w:before="40"/>
            <w:rPr>
              <w:rFonts w:eastAsiaTheme="minorEastAsia"/>
              <w:noProof/>
              <w:szCs w:val="17"/>
            </w:rPr>
          </w:pPr>
          <w:hyperlink w:anchor="_Toc59098972" w:history="1">
            <w:r w:rsidR="000D4E00" w:rsidRPr="002D52CC">
              <w:rPr>
                <w:rStyle w:val="Hyperlink"/>
                <w:noProof/>
                <w:szCs w:val="17"/>
              </w:rPr>
              <w:t>Public Notices</w:t>
            </w:r>
          </w:hyperlink>
        </w:p>
        <w:p w:rsidR="000D4E00" w:rsidRPr="002D52CC" w:rsidRDefault="00607847" w:rsidP="00280A5D">
          <w:pPr>
            <w:pStyle w:val="TOC2"/>
            <w:tabs>
              <w:tab w:val="right" w:leader="dot" w:pos="4550"/>
            </w:tabs>
            <w:rPr>
              <w:rFonts w:eastAsiaTheme="minorEastAsia"/>
              <w:noProof/>
              <w:color w:val="auto"/>
              <w:szCs w:val="17"/>
            </w:rPr>
          </w:pPr>
          <w:hyperlink w:anchor="_Toc59098973" w:history="1">
            <w:r w:rsidR="000D4E00" w:rsidRPr="002D52CC">
              <w:rPr>
                <w:rStyle w:val="Hyperlink"/>
                <w:noProof/>
                <w:szCs w:val="17"/>
              </w:rPr>
              <w:t>Trustee Act 1936</w:t>
            </w:r>
            <w:r w:rsidR="000D4E00" w:rsidRPr="002D52CC">
              <w:rPr>
                <w:noProof/>
                <w:webHidden/>
                <w:szCs w:val="17"/>
              </w:rPr>
              <w:tab/>
            </w:r>
            <w:r w:rsidR="000D4E00" w:rsidRPr="002D52CC">
              <w:rPr>
                <w:noProof/>
                <w:webHidden/>
                <w:szCs w:val="17"/>
              </w:rPr>
              <w:fldChar w:fldCharType="begin"/>
            </w:r>
            <w:r w:rsidR="000D4E00" w:rsidRPr="002D52CC">
              <w:rPr>
                <w:noProof/>
                <w:webHidden/>
                <w:szCs w:val="17"/>
              </w:rPr>
              <w:instrText xml:space="preserve"> PAGEREF _Toc59098973 \h </w:instrText>
            </w:r>
            <w:r w:rsidR="000D4E00" w:rsidRPr="002D52CC">
              <w:rPr>
                <w:noProof/>
                <w:webHidden/>
                <w:szCs w:val="17"/>
              </w:rPr>
            </w:r>
            <w:r w:rsidR="000D4E00" w:rsidRPr="002D52CC">
              <w:rPr>
                <w:noProof/>
                <w:webHidden/>
                <w:szCs w:val="17"/>
              </w:rPr>
              <w:fldChar w:fldCharType="separate"/>
            </w:r>
            <w:r w:rsidR="003A4FC3">
              <w:rPr>
                <w:noProof/>
                <w:webHidden/>
                <w:szCs w:val="17"/>
              </w:rPr>
              <w:t>6019</w:t>
            </w:r>
            <w:r w:rsidR="000D4E00" w:rsidRPr="002D52CC">
              <w:rPr>
                <w:noProof/>
                <w:webHidden/>
                <w:szCs w:val="17"/>
              </w:rPr>
              <w:fldChar w:fldCharType="end"/>
            </w:r>
          </w:hyperlink>
        </w:p>
        <w:p w:rsidR="000D4E00" w:rsidRPr="002D52CC" w:rsidRDefault="00607847" w:rsidP="00280A5D">
          <w:pPr>
            <w:pStyle w:val="TOC2"/>
            <w:tabs>
              <w:tab w:val="right" w:leader="dot" w:pos="4550"/>
            </w:tabs>
            <w:rPr>
              <w:rFonts w:eastAsiaTheme="minorEastAsia"/>
              <w:noProof/>
              <w:color w:val="auto"/>
              <w:szCs w:val="17"/>
            </w:rPr>
          </w:pPr>
          <w:hyperlink w:anchor="_Toc59098974" w:history="1">
            <w:r w:rsidR="000D4E00" w:rsidRPr="002D52CC">
              <w:rPr>
                <w:rStyle w:val="Hyperlink"/>
                <w:noProof/>
                <w:szCs w:val="17"/>
              </w:rPr>
              <w:t>National Electricity Law</w:t>
            </w:r>
            <w:r w:rsidR="000D4E00" w:rsidRPr="002D52CC">
              <w:rPr>
                <w:noProof/>
                <w:webHidden/>
                <w:szCs w:val="17"/>
              </w:rPr>
              <w:tab/>
            </w:r>
            <w:r w:rsidR="000D4E00" w:rsidRPr="002D52CC">
              <w:rPr>
                <w:noProof/>
                <w:webHidden/>
                <w:szCs w:val="17"/>
              </w:rPr>
              <w:fldChar w:fldCharType="begin"/>
            </w:r>
            <w:r w:rsidR="000D4E00" w:rsidRPr="002D52CC">
              <w:rPr>
                <w:noProof/>
                <w:webHidden/>
                <w:szCs w:val="17"/>
              </w:rPr>
              <w:instrText xml:space="preserve"> PAGEREF _Toc59098974 \h </w:instrText>
            </w:r>
            <w:r w:rsidR="000D4E00" w:rsidRPr="002D52CC">
              <w:rPr>
                <w:noProof/>
                <w:webHidden/>
                <w:szCs w:val="17"/>
              </w:rPr>
            </w:r>
            <w:r w:rsidR="000D4E00" w:rsidRPr="002D52CC">
              <w:rPr>
                <w:noProof/>
                <w:webHidden/>
                <w:szCs w:val="17"/>
              </w:rPr>
              <w:fldChar w:fldCharType="separate"/>
            </w:r>
            <w:r w:rsidR="003A4FC3">
              <w:rPr>
                <w:noProof/>
                <w:webHidden/>
                <w:szCs w:val="17"/>
              </w:rPr>
              <w:t>6019</w:t>
            </w:r>
            <w:r w:rsidR="000D4E00" w:rsidRPr="002D52CC">
              <w:rPr>
                <w:noProof/>
                <w:webHidden/>
                <w:szCs w:val="17"/>
              </w:rPr>
              <w:fldChar w:fldCharType="end"/>
            </w:r>
          </w:hyperlink>
        </w:p>
        <w:p w:rsidR="000D4E00" w:rsidRPr="002D52CC" w:rsidRDefault="00607847" w:rsidP="00280A5D">
          <w:pPr>
            <w:pStyle w:val="TOC2"/>
            <w:tabs>
              <w:tab w:val="right" w:leader="dot" w:pos="4550"/>
            </w:tabs>
            <w:rPr>
              <w:rFonts w:eastAsiaTheme="minorEastAsia"/>
              <w:noProof/>
              <w:color w:val="auto"/>
              <w:szCs w:val="17"/>
            </w:rPr>
          </w:pPr>
          <w:hyperlink w:anchor="_Toc59098975" w:history="1">
            <w:r w:rsidR="000D4E00" w:rsidRPr="002D52CC">
              <w:rPr>
                <w:rStyle w:val="Hyperlink"/>
                <w:noProof/>
                <w:szCs w:val="17"/>
              </w:rPr>
              <w:t>National Energy Retail Law</w:t>
            </w:r>
            <w:r w:rsidR="000D4E00" w:rsidRPr="002D52CC">
              <w:rPr>
                <w:noProof/>
                <w:webHidden/>
                <w:szCs w:val="17"/>
              </w:rPr>
              <w:tab/>
            </w:r>
            <w:r w:rsidR="000D4E00" w:rsidRPr="002D52CC">
              <w:rPr>
                <w:noProof/>
                <w:webHidden/>
                <w:szCs w:val="17"/>
              </w:rPr>
              <w:fldChar w:fldCharType="begin"/>
            </w:r>
            <w:r w:rsidR="000D4E00" w:rsidRPr="002D52CC">
              <w:rPr>
                <w:noProof/>
                <w:webHidden/>
                <w:szCs w:val="17"/>
              </w:rPr>
              <w:instrText xml:space="preserve"> PAGEREF _Toc59098975 \h </w:instrText>
            </w:r>
            <w:r w:rsidR="000D4E00" w:rsidRPr="002D52CC">
              <w:rPr>
                <w:noProof/>
                <w:webHidden/>
                <w:szCs w:val="17"/>
              </w:rPr>
            </w:r>
            <w:r w:rsidR="000D4E00" w:rsidRPr="002D52CC">
              <w:rPr>
                <w:noProof/>
                <w:webHidden/>
                <w:szCs w:val="17"/>
              </w:rPr>
              <w:fldChar w:fldCharType="separate"/>
            </w:r>
            <w:r w:rsidR="003A4FC3">
              <w:rPr>
                <w:noProof/>
                <w:webHidden/>
                <w:szCs w:val="17"/>
              </w:rPr>
              <w:t>6020</w:t>
            </w:r>
            <w:r w:rsidR="000D4E00" w:rsidRPr="002D52CC">
              <w:rPr>
                <w:noProof/>
                <w:webHidden/>
                <w:szCs w:val="17"/>
              </w:rPr>
              <w:fldChar w:fldCharType="end"/>
            </w:r>
          </w:hyperlink>
        </w:p>
        <w:p w:rsidR="0041374F" w:rsidRDefault="00607847" w:rsidP="007A59F6">
          <w:pPr>
            <w:pStyle w:val="TOC2"/>
            <w:tabs>
              <w:tab w:val="right" w:leader="dot" w:pos="4550"/>
            </w:tabs>
          </w:pPr>
          <w:hyperlink w:anchor="_Toc59098976" w:history="1">
            <w:r w:rsidR="000D4E00" w:rsidRPr="002D52CC">
              <w:rPr>
                <w:rStyle w:val="Hyperlink"/>
                <w:noProof/>
                <w:szCs w:val="17"/>
              </w:rPr>
              <w:t>National Gas Law</w:t>
            </w:r>
            <w:r w:rsidR="000D4E00" w:rsidRPr="002D52CC">
              <w:rPr>
                <w:noProof/>
                <w:webHidden/>
                <w:szCs w:val="17"/>
              </w:rPr>
              <w:tab/>
            </w:r>
            <w:r w:rsidR="000D4E00" w:rsidRPr="002D52CC">
              <w:rPr>
                <w:noProof/>
                <w:webHidden/>
                <w:szCs w:val="17"/>
              </w:rPr>
              <w:fldChar w:fldCharType="begin"/>
            </w:r>
            <w:r w:rsidR="000D4E00" w:rsidRPr="002D52CC">
              <w:rPr>
                <w:noProof/>
                <w:webHidden/>
                <w:szCs w:val="17"/>
              </w:rPr>
              <w:instrText xml:space="preserve"> PAGEREF _Toc59098976 \h </w:instrText>
            </w:r>
            <w:r w:rsidR="000D4E00" w:rsidRPr="002D52CC">
              <w:rPr>
                <w:noProof/>
                <w:webHidden/>
                <w:szCs w:val="17"/>
              </w:rPr>
            </w:r>
            <w:r w:rsidR="000D4E00" w:rsidRPr="002D52CC">
              <w:rPr>
                <w:noProof/>
                <w:webHidden/>
                <w:szCs w:val="17"/>
              </w:rPr>
              <w:fldChar w:fldCharType="separate"/>
            </w:r>
            <w:r w:rsidR="003A4FC3">
              <w:rPr>
                <w:noProof/>
                <w:webHidden/>
                <w:szCs w:val="17"/>
              </w:rPr>
              <w:t>6020</w:t>
            </w:r>
            <w:r w:rsidR="000D4E00" w:rsidRPr="002D52CC">
              <w:rPr>
                <w:noProof/>
                <w:webHidden/>
                <w:szCs w:val="17"/>
              </w:rPr>
              <w:fldChar w:fldCharType="end"/>
            </w:r>
          </w:hyperlink>
          <w:r w:rsidR="0041374F" w:rsidRPr="00995ACE">
            <w:rPr>
              <w:b/>
              <w:bCs/>
              <w:noProof/>
              <w:sz w:val="16"/>
              <w:szCs w:val="16"/>
            </w:rPr>
            <w:fldChar w:fldCharType="end"/>
          </w:r>
        </w:p>
      </w:sdtContent>
    </w:sdt>
    <w:p w:rsidR="001B7138" w:rsidRPr="005D3353" w:rsidRDefault="001B7138" w:rsidP="005D3353">
      <w:pPr>
        <w:spacing w:after="0" w:line="20" w:lineRule="exact"/>
        <w:rPr>
          <w:smallCaps/>
          <w:sz w:val="2"/>
          <w:szCs w:val="2"/>
        </w:rPr>
      </w:pPr>
    </w:p>
    <w:p w:rsidR="00DA30CF" w:rsidRPr="005D3353" w:rsidRDefault="00DA30CF" w:rsidP="005D3353">
      <w:pPr>
        <w:spacing w:after="0" w:line="20" w:lineRule="exact"/>
        <w:rPr>
          <w:smallCaps/>
          <w:sz w:val="2"/>
          <w:szCs w:val="2"/>
        </w:rPr>
        <w:sectPr w:rsidR="00DA30CF" w:rsidRPr="005D3353" w:rsidSect="00F12687">
          <w:headerReference w:type="even" r:id="rId14"/>
          <w:headerReference w:type="default" r:id="rId15"/>
          <w:footerReference w:type="default" r:id="rId16"/>
          <w:footerReference w:type="first" r:id="rId17"/>
          <w:type w:val="continuous"/>
          <w:pgSz w:w="11906" w:h="16838"/>
          <w:pgMar w:top="1134" w:right="1256" w:bottom="1134" w:left="1290" w:header="708" w:footer="708" w:gutter="0"/>
          <w:cols w:num="2" w:space="240"/>
          <w:docGrid w:linePitch="360"/>
        </w:sectPr>
      </w:pPr>
    </w:p>
    <w:p w:rsidR="009D1E2E" w:rsidRPr="00C32E4F" w:rsidRDefault="009D1E2E" w:rsidP="00A0284B">
      <w:pPr>
        <w:pStyle w:val="Heading1"/>
        <w:spacing w:before="0"/>
      </w:pPr>
      <w:bookmarkStart w:id="1" w:name="_Toc33707977"/>
      <w:bookmarkStart w:id="2" w:name="_Toc33708148"/>
      <w:bookmarkStart w:id="3" w:name="_Toc59098919"/>
      <w:r w:rsidRPr="009D1E2E">
        <w:lastRenderedPageBreak/>
        <w:t>Governor’s Instruments</w:t>
      </w:r>
      <w:bookmarkEnd w:id="1"/>
      <w:bookmarkEnd w:id="2"/>
      <w:bookmarkEnd w:id="3"/>
    </w:p>
    <w:p w:rsidR="00064C75" w:rsidRDefault="009562D8" w:rsidP="009562D8">
      <w:pPr>
        <w:pStyle w:val="Heading2"/>
      </w:pPr>
      <w:bookmarkStart w:id="4" w:name="_Toc33707978"/>
      <w:bookmarkStart w:id="5" w:name="_Toc33708149"/>
      <w:bookmarkStart w:id="6" w:name="_Toc59098920"/>
      <w:r>
        <w:t>Appointments</w:t>
      </w:r>
      <w:bookmarkEnd w:id="4"/>
      <w:bookmarkEnd w:id="5"/>
      <w:bookmarkEnd w:id="6"/>
    </w:p>
    <w:p w:rsidR="00F75F4A" w:rsidRPr="00F75F4A" w:rsidRDefault="00F75F4A" w:rsidP="00F75F4A">
      <w:pPr>
        <w:spacing w:after="0"/>
        <w:jc w:val="right"/>
        <w:rPr>
          <w:rFonts w:eastAsia="Times New Roman"/>
          <w:szCs w:val="17"/>
        </w:rPr>
      </w:pPr>
      <w:r w:rsidRPr="00F75F4A">
        <w:rPr>
          <w:rFonts w:eastAsia="Times New Roman"/>
          <w:szCs w:val="17"/>
        </w:rPr>
        <w:t>Department of the Premier and Cabinet</w:t>
      </w:r>
    </w:p>
    <w:p w:rsidR="00F75F4A" w:rsidRPr="00F75F4A" w:rsidRDefault="00F75F4A" w:rsidP="00F75F4A">
      <w:pPr>
        <w:jc w:val="right"/>
        <w:rPr>
          <w:rFonts w:eastAsia="Times New Roman"/>
          <w:szCs w:val="17"/>
        </w:rPr>
      </w:pPr>
      <w:r w:rsidRPr="00F75F4A">
        <w:rPr>
          <w:rFonts w:eastAsia="Times New Roman"/>
          <w:szCs w:val="17"/>
        </w:rPr>
        <w:t>Adelaide, 17 December 2020</w:t>
      </w:r>
    </w:p>
    <w:p w:rsidR="00F75F4A" w:rsidRPr="00F75F4A" w:rsidRDefault="00F75F4A" w:rsidP="00F75F4A">
      <w:pPr>
        <w:rPr>
          <w:rFonts w:eastAsia="Times New Roman"/>
          <w:szCs w:val="17"/>
        </w:rPr>
      </w:pPr>
      <w:r w:rsidRPr="00F75F4A">
        <w:rPr>
          <w:rFonts w:eastAsia="Times New Roman"/>
          <w:szCs w:val="17"/>
        </w:rPr>
        <w:t>His Excellency the Governor in Executive Council has been pleased to appoint the undermentioned to the Urban Renewal Authority Board of Management, pursuant to the provisions of the Urban Renewal Act 1995:</w:t>
      </w:r>
    </w:p>
    <w:p w:rsidR="00F75F4A" w:rsidRPr="00F75F4A" w:rsidRDefault="00F75F4A" w:rsidP="00F75F4A">
      <w:pPr>
        <w:spacing w:after="0"/>
        <w:ind w:left="142"/>
        <w:rPr>
          <w:szCs w:val="17"/>
        </w:rPr>
      </w:pPr>
      <w:r w:rsidRPr="00F75F4A">
        <w:rPr>
          <w:szCs w:val="17"/>
        </w:rPr>
        <w:t>Member: from 17 December 2020 until 30 July 2022</w:t>
      </w:r>
    </w:p>
    <w:p w:rsidR="00F75F4A" w:rsidRPr="00F75F4A" w:rsidRDefault="00F75F4A" w:rsidP="00F75F4A">
      <w:pPr>
        <w:ind w:left="284"/>
        <w:rPr>
          <w:szCs w:val="17"/>
        </w:rPr>
      </w:pPr>
      <w:r w:rsidRPr="00F75F4A">
        <w:rPr>
          <w:szCs w:val="17"/>
        </w:rPr>
        <w:t xml:space="preserve">David John Hughes </w:t>
      </w:r>
    </w:p>
    <w:p w:rsidR="00F75F4A" w:rsidRPr="00F75F4A" w:rsidRDefault="00F75F4A" w:rsidP="00F75F4A">
      <w:pPr>
        <w:spacing w:after="0"/>
        <w:jc w:val="center"/>
        <w:rPr>
          <w:szCs w:val="17"/>
        </w:rPr>
      </w:pPr>
      <w:r w:rsidRPr="00F75F4A">
        <w:rPr>
          <w:szCs w:val="17"/>
        </w:rPr>
        <w:t>By command,</w:t>
      </w:r>
    </w:p>
    <w:p w:rsidR="00F75F4A" w:rsidRPr="00F75F4A" w:rsidRDefault="00F75F4A" w:rsidP="00F75F4A">
      <w:pPr>
        <w:spacing w:after="0"/>
        <w:jc w:val="right"/>
        <w:rPr>
          <w:smallCaps/>
          <w:szCs w:val="17"/>
        </w:rPr>
      </w:pPr>
      <w:r w:rsidRPr="00F75F4A">
        <w:rPr>
          <w:smallCaps/>
          <w:szCs w:val="17"/>
        </w:rPr>
        <w:t>Steven Spence Marshall</w:t>
      </w:r>
    </w:p>
    <w:p w:rsidR="00F75F4A" w:rsidRPr="00F75F4A" w:rsidRDefault="00F75F4A" w:rsidP="00F75F4A">
      <w:pPr>
        <w:spacing w:after="0"/>
        <w:jc w:val="right"/>
        <w:rPr>
          <w:szCs w:val="17"/>
        </w:rPr>
      </w:pPr>
      <w:r w:rsidRPr="00F75F4A">
        <w:rPr>
          <w:szCs w:val="17"/>
        </w:rPr>
        <w:t>Premier</w:t>
      </w:r>
    </w:p>
    <w:p w:rsidR="00F75F4A" w:rsidRPr="00F75F4A" w:rsidRDefault="00F75F4A" w:rsidP="00F75F4A">
      <w:pPr>
        <w:spacing w:after="0"/>
        <w:jc w:val="left"/>
        <w:rPr>
          <w:szCs w:val="17"/>
        </w:rPr>
      </w:pPr>
      <w:r w:rsidRPr="00F75F4A">
        <w:rPr>
          <w:szCs w:val="17"/>
        </w:rPr>
        <w:t>T&amp;F20/110CS</w:t>
      </w:r>
    </w:p>
    <w:p w:rsidR="00F75F4A" w:rsidRPr="00F75F4A" w:rsidRDefault="00F75F4A" w:rsidP="00F75F4A">
      <w:pPr>
        <w:pBdr>
          <w:top w:val="single" w:sz="4" w:space="1" w:color="auto"/>
        </w:pBdr>
        <w:spacing w:before="100" w:after="0" w:line="14" w:lineRule="exact"/>
        <w:jc w:val="center"/>
        <w:rPr>
          <w:rFonts w:ascii="Segoe UI Light" w:hAnsi="Segoe UI Light"/>
          <w:sz w:val="22"/>
        </w:rPr>
      </w:pPr>
    </w:p>
    <w:p w:rsidR="00F75F4A" w:rsidRPr="00F75F4A" w:rsidRDefault="00F75F4A" w:rsidP="00F75F4A">
      <w:pPr>
        <w:jc w:val="right"/>
        <w:rPr>
          <w:rFonts w:eastAsia="Times New Roman"/>
          <w:szCs w:val="17"/>
        </w:rPr>
      </w:pPr>
    </w:p>
    <w:p w:rsidR="00F75F4A" w:rsidRPr="00F75F4A" w:rsidRDefault="00F75F4A" w:rsidP="00F75F4A">
      <w:pPr>
        <w:spacing w:after="0"/>
        <w:jc w:val="right"/>
        <w:rPr>
          <w:rFonts w:eastAsia="Times New Roman"/>
          <w:szCs w:val="17"/>
        </w:rPr>
      </w:pPr>
      <w:r w:rsidRPr="00F75F4A">
        <w:rPr>
          <w:rFonts w:eastAsia="Times New Roman"/>
          <w:szCs w:val="17"/>
        </w:rPr>
        <w:t>Department of the Premier and Cabinet</w:t>
      </w:r>
    </w:p>
    <w:p w:rsidR="00F75F4A" w:rsidRPr="00F75F4A" w:rsidRDefault="00F75F4A" w:rsidP="00F75F4A">
      <w:pPr>
        <w:jc w:val="right"/>
        <w:rPr>
          <w:rFonts w:eastAsia="Times New Roman"/>
          <w:szCs w:val="17"/>
        </w:rPr>
      </w:pPr>
      <w:r w:rsidRPr="00F75F4A">
        <w:rPr>
          <w:rFonts w:eastAsia="Times New Roman"/>
          <w:szCs w:val="17"/>
        </w:rPr>
        <w:t>Adelaide, 17 December 2020</w:t>
      </w:r>
    </w:p>
    <w:p w:rsidR="00F75F4A" w:rsidRPr="00F75F4A" w:rsidRDefault="00F75F4A" w:rsidP="00F75F4A">
      <w:pPr>
        <w:rPr>
          <w:rFonts w:eastAsia="Times New Roman"/>
          <w:szCs w:val="17"/>
        </w:rPr>
      </w:pPr>
      <w:r w:rsidRPr="00F75F4A">
        <w:rPr>
          <w:rFonts w:eastAsia="Times New Roman"/>
          <w:szCs w:val="17"/>
        </w:rPr>
        <w:t>His Excellency the Governor in Executive Council has been pleased to appoint the undermentioned to the Training and Skills Commission, pursuant to the provisions of the Training and Skills Development Act 2008:</w:t>
      </w:r>
    </w:p>
    <w:p w:rsidR="00F75F4A" w:rsidRPr="00F75F4A" w:rsidRDefault="00F75F4A" w:rsidP="00F75F4A">
      <w:pPr>
        <w:spacing w:after="0"/>
        <w:ind w:left="142"/>
        <w:rPr>
          <w:szCs w:val="17"/>
        </w:rPr>
      </w:pPr>
      <w:r w:rsidRPr="00F75F4A">
        <w:rPr>
          <w:szCs w:val="17"/>
        </w:rPr>
        <w:t>Member: from 1 January 2021 until 31 December 2021</w:t>
      </w:r>
    </w:p>
    <w:p w:rsidR="00F75F4A" w:rsidRPr="00F75F4A" w:rsidRDefault="00F75F4A" w:rsidP="00F75F4A">
      <w:pPr>
        <w:spacing w:after="0"/>
        <w:ind w:left="284"/>
        <w:rPr>
          <w:szCs w:val="17"/>
        </w:rPr>
      </w:pPr>
      <w:r w:rsidRPr="00F75F4A">
        <w:rPr>
          <w:szCs w:val="17"/>
        </w:rPr>
        <w:t>Michael Rodney Boyce</w:t>
      </w:r>
    </w:p>
    <w:p w:rsidR="00F75F4A" w:rsidRPr="00F75F4A" w:rsidRDefault="00F75F4A" w:rsidP="00F75F4A">
      <w:pPr>
        <w:spacing w:after="0"/>
        <w:ind w:left="284"/>
        <w:rPr>
          <w:szCs w:val="17"/>
        </w:rPr>
      </w:pPr>
      <w:r w:rsidRPr="00F75F4A">
        <w:rPr>
          <w:szCs w:val="17"/>
        </w:rPr>
        <w:t>Andrew Stanley Keough</w:t>
      </w:r>
    </w:p>
    <w:p w:rsidR="00F75F4A" w:rsidRPr="00F75F4A" w:rsidRDefault="00F75F4A" w:rsidP="00F75F4A">
      <w:pPr>
        <w:spacing w:after="0"/>
        <w:ind w:left="284"/>
        <w:rPr>
          <w:szCs w:val="17"/>
        </w:rPr>
      </w:pPr>
      <w:r w:rsidRPr="00F75F4A">
        <w:rPr>
          <w:szCs w:val="17"/>
        </w:rPr>
        <w:t>Nikki Kirsten Govan</w:t>
      </w:r>
    </w:p>
    <w:p w:rsidR="00F75F4A" w:rsidRPr="00F75F4A" w:rsidRDefault="00F75F4A" w:rsidP="00F75F4A">
      <w:pPr>
        <w:spacing w:after="0"/>
        <w:ind w:left="284"/>
        <w:rPr>
          <w:szCs w:val="17"/>
        </w:rPr>
      </w:pPr>
      <w:r w:rsidRPr="00F75F4A">
        <w:rPr>
          <w:szCs w:val="17"/>
        </w:rPr>
        <w:t>Adrienne Leigh Nieuwenhuis</w:t>
      </w:r>
    </w:p>
    <w:p w:rsidR="00F75F4A" w:rsidRPr="00F75F4A" w:rsidRDefault="00F75F4A" w:rsidP="00F75F4A">
      <w:pPr>
        <w:spacing w:after="0"/>
        <w:ind w:left="284"/>
        <w:rPr>
          <w:szCs w:val="17"/>
        </w:rPr>
      </w:pPr>
      <w:r w:rsidRPr="00F75F4A">
        <w:rPr>
          <w:szCs w:val="17"/>
        </w:rPr>
        <w:t>Paul Stanley Williams</w:t>
      </w:r>
    </w:p>
    <w:p w:rsidR="00F75F4A" w:rsidRPr="00F75F4A" w:rsidRDefault="00F75F4A" w:rsidP="00F75F4A">
      <w:pPr>
        <w:spacing w:after="0"/>
        <w:ind w:left="284"/>
        <w:rPr>
          <w:szCs w:val="17"/>
        </w:rPr>
      </w:pPr>
      <w:r w:rsidRPr="00F75F4A">
        <w:rPr>
          <w:szCs w:val="17"/>
        </w:rPr>
        <w:t>Dino Charles Rossi</w:t>
      </w:r>
    </w:p>
    <w:p w:rsidR="00F75F4A" w:rsidRPr="00F75F4A" w:rsidRDefault="00F75F4A" w:rsidP="00F75F4A">
      <w:pPr>
        <w:spacing w:after="0"/>
        <w:ind w:left="284"/>
        <w:rPr>
          <w:szCs w:val="17"/>
        </w:rPr>
      </w:pPr>
      <w:r w:rsidRPr="00F75F4A">
        <w:rPr>
          <w:szCs w:val="17"/>
        </w:rPr>
        <w:t>Steven Blake Shearer</w:t>
      </w:r>
    </w:p>
    <w:p w:rsidR="00F75F4A" w:rsidRPr="00F75F4A" w:rsidRDefault="00F75F4A" w:rsidP="00F75F4A">
      <w:pPr>
        <w:spacing w:after="0"/>
        <w:ind w:left="284"/>
        <w:rPr>
          <w:szCs w:val="17"/>
        </w:rPr>
      </w:pPr>
      <w:r w:rsidRPr="00F75F4A">
        <w:rPr>
          <w:szCs w:val="17"/>
        </w:rPr>
        <w:t>Andrew David Clarke</w:t>
      </w:r>
    </w:p>
    <w:p w:rsidR="00F75F4A" w:rsidRPr="00F75F4A" w:rsidRDefault="00F75F4A" w:rsidP="00F75F4A">
      <w:pPr>
        <w:spacing w:after="0"/>
        <w:ind w:left="284"/>
        <w:rPr>
          <w:szCs w:val="17"/>
        </w:rPr>
      </w:pPr>
      <w:r w:rsidRPr="00F75F4A">
        <w:rPr>
          <w:szCs w:val="17"/>
        </w:rPr>
        <w:t>Elizabeth June Cohen</w:t>
      </w:r>
    </w:p>
    <w:p w:rsidR="00F75F4A" w:rsidRPr="00F75F4A" w:rsidRDefault="00F75F4A" w:rsidP="00F75F4A">
      <w:pPr>
        <w:ind w:left="284"/>
        <w:rPr>
          <w:szCs w:val="17"/>
        </w:rPr>
      </w:pPr>
      <w:r w:rsidRPr="00F75F4A">
        <w:rPr>
          <w:szCs w:val="17"/>
        </w:rPr>
        <w:t>Amy Marie Williams</w:t>
      </w:r>
    </w:p>
    <w:p w:rsidR="00F75F4A" w:rsidRPr="00F75F4A" w:rsidRDefault="00F75F4A" w:rsidP="00F75F4A">
      <w:pPr>
        <w:spacing w:after="0"/>
        <w:ind w:left="142"/>
        <w:rPr>
          <w:szCs w:val="17"/>
        </w:rPr>
      </w:pPr>
      <w:r w:rsidRPr="00F75F4A">
        <w:rPr>
          <w:szCs w:val="17"/>
        </w:rPr>
        <w:t>Deputy Member: from 1 January 2021 until 31 December 2021</w:t>
      </w:r>
    </w:p>
    <w:p w:rsidR="00F75F4A" w:rsidRPr="00F75F4A" w:rsidRDefault="00F75F4A" w:rsidP="00F75F4A">
      <w:pPr>
        <w:spacing w:after="0"/>
        <w:ind w:left="284"/>
        <w:rPr>
          <w:szCs w:val="17"/>
        </w:rPr>
      </w:pPr>
      <w:r w:rsidRPr="00F75F4A">
        <w:rPr>
          <w:szCs w:val="17"/>
        </w:rPr>
        <w:t>Shaun James de Bruyn (Deputy to Govan)</w:t>
      </w:r>
    </w:p>
    <w:p w:rsidR="00F75F4A" w:rsidRPr="00F75F4A" w:rsidRDefault="00F75F4A" w:rsidP="00F75F4A">
      <w:pPr>
        <w:spacing w:after="0"/>
        <w:ind w:left="284"/>
        <w:rPr>
          <w:szCs w:val="17"/>
        </w:rPr>
      </w:pPr>
      <w:r w:rsidRPr="00F75F4A">
        <w:rPr>
          <w:szCs w:val="17"/>
        </w:rPr>
        <w:t>Robert Bonner (Deputy to Cohen)</w:t>
      </w:r>
    </w:p>
    <w:p w:rsidR="00F75F4A" w:rsidRPr="00F75F4A" w:rsidRDefault="00F75F4A" w:rsidP="00F75F4A">
      <w:pPr>
        <w:spacing w:after="0"/>
        <w:ind w:left="284"/>
        <w:rPr>
          <w:szCs w:val="17"/>
        </w:rPr>
      </w:pPr>
      <w:r w:rsidRPr="00F75F4A">
        <w:rPr>
          <w:szCs w:val="17"/>
        </w:rPr>
        <w:t>Andrew Michael Curtis (Deputy to A. Williams)</w:t>
      </w:r>
    </w:p>
    <w:p w:rsidR="00F75F4A" w:rsidRPr="00F75F4A" w:rsidRDefault="00F75F4A" w:rsidP="00F75F4A">
      <w:pPr>
        <w:spacing w:after="0"/>
        <w:ind w:left="284"/>
        <w:rPr>
          <w:szCs w:val="17"/>
        </w:rPr>
      </w:pPr>
      <w:r w:rsidRPr="00F75F4A">
        <w:rPr>
          <w:szCs w:val="17"/>
        </w:rPr>
        <w:t>Andrew Stuart Downs (Deputy to Shearer)</w:t>
      </w:r>
    </w:p>
    <w:p w:rsidR="00F75F4A" w:rsidRPr="00F75F4A" w:rsidRDefault="00F75F4A" w:rsidP="00F75F4A">
      <w:pPr>
        <w:spacing w:after="0"/>
        <w:ind w:left="284"/>
        <w:rPr>
          <w:szCs w:val="17"/>
        </w:rPr>
      </w:pPr>
      <w:r w:rsidRPr="00F75F4A">
        <w:rPr>
          <w:szCs w:val="17"/>
        </w:rPr>
        <w:t>Anthony Oscar Penney (Deputy to Rossi)</w:t>
      </w:r>
    </w:p>
    <w:p w:rsidR="00F75F4A" w:rsidRPr="00F75F4A" w:rsidRDefault="00F75F4A" w:rsidP="00F75F4A">
      <w:pPr>
        <w:spacing w:after="0"/>
        <w:ind w:left="284"/>
        <w:rPr>
          <w:szCs w:val="17"/>
        </w:rPr>
      </w:pPr>
      <w:r w:rsidRPr="00F75F4A">
        <w:rPr>
          <w:szCs w:val="17"/>
        </w:rPr>
        <w:t>Angela Lynne Coker (Deputy to P. Williams)</w:t>
      </w:r>
    </w:p>
    <w:p w:rsidR="00F75F4A" w:rsidRPr="00F75F4A" w:rsidRDefault="00F75F4A" w:rsidP="00F75F4A">
      <w:pPr>
        <w:spacing w:after="0"/>
        <w:ind w:left="284"/>
        <w:rPr>
          <w:szCs w:val="17"/>
        </w:rPr>
      </w:pPr>
      <w:r w:rsidRPr="00F75F4A">
        <w:rPr>
          <w:szCs w:val="17"/>
        </w:rPr>
        <w:t>Alexis Nicholas Watt (Deputy to Nieuwenhuis)</w:t>
      </w:r>
    </w:p>
    <w:p w:rsidR="00F75F4A" w:rsidRPr="00F75F4A" w:rsidRDefault="00F75F4A" w:rsidP="00F75F4A">
      <w:pPr>
        <w:ind w:left="284"/>
        <w:rPr>
          <w:szCs w:val="17"/>
        </w:rPr>
      </w:pPr>
      <w:r w:rsidRPr="00F75F4A">
        <w:rPr>
          <w:szCs w:val="17"/>
        </w:rPr>
        <w:t>John William Godwin (Deputy to Keough)</w:t>
      </w:r>
    </w:p>
    <w:p w:rsidR="00F75F4A" w:rsidRPr="00F75F4A" w:rsidRDefault="00F75F4A" w:rsidP="00F75F4A">
      <w:pPr>
        <w:spacing w:after="0"/>
        <w:ind w:left="284" w:hanging="142"/>
        <w:rPr>
          <w:szCs w:val="17"/>
        </w:rPr>
      </w:pPr>
      <w:r w:rsidRPr="00F75F4A">
        <w:rPr>
          <w:szCs w:val="17"/>
        </w:rPr>
        <w:t>Chair: from 1 January 2021 until 31 December 2021 or upon the appointment of the South Australian Skills Commissioner, whichever is the sooner</w:t>
      </w:r>
    </w:p>
    <w:p w:rsidR="00F75F4A" w:rsidRPr="00F75F4A" w:rsidRDefault="00F75F4A" w:rsidP="00F75F4A">
      <w:pPr>
        <w:ind w:left="426"/>
        <w:rPr>
          <w:szCs w:val="17"/>
        </w:rPr>
      </w:pPr>
      <w:r w:rsidRPr="00F75F4A">
        <w:rPr>
          <w:szCs w:val="17"/>
        </w:rPr>
        <w:t>Michael Rodney Boyce</w:t>
      </w:r>
    </w:p>
    <w:p w:rsidR="00F75F4A" w:rsidRPr="00F75F4A" w:rsidRDefault="00F75F4A" w:rsidP="00F75F4A">
      <w:pPr>
        <w:spacing w:after="0"/>
        <w:jc w:val="center"/>
        <w:rPr>
          <w:szCs w:val="17"/>
        </w:rPr>
      </w:pPr>
      <w:r w:rsidRPr="00F75F4A">
        <w:rPr>
          <w:szCs w:val="17"/>
        </w:rPr>
        <w:t>By command,</w:t>
      </w:r>
    </w:p>
    <w:p w:rsidR="00F75F4A" w:rsidRPr="00F75F4A" w:rsidRDefault="00F75F4A" w:rsidP="00F75F4A">
      <w:pPr>
        <w:spacing w:after="0"/>
        <w:jc w:val="right"/>
        <w:rPr>
          <w:smallCaps/>
          <w:szCs w:val="17"/>
        </w:rPr>
      </w:pPr>
      <w:r w:rsidRPr="00F75F4A">
        <w:rPr>
          <w:smallCaps/>
          <w:szCs w:val="17"/>
        </w:rPr>
        <w:t>Steven Spence Marshall</w:t>
      </w:r>
    </w:p>
    <w:p w:rsidR="00F75F4A" w:rsidRPr="00F75F4A" w:rsidRDefault="00F75F4A" w:rsidP="00F75F4A">
      <w:pPr>
        <w:spacing w:after="0"/>
        <w:jc w:val="right"/>
        <w:rPr>
          <w:szCs w:val="17"/>
        </w:rPr>
      </w:pPr>
      <w:r w:rsidRPr="00F75F4A">
        <w:rPr>
          <w:szCs w:val="17"/>
        </w:rPr>
        <w:t>Premier</w:t>
      </w:r>
    </w:p>
    <w:p w:rsidR="00F75F4A" w:rsidRPr="00F75F4A" w:rsidRDefault="00F75F4A" w:rsidP="00F75F4A">
      <w:pPr>
        <w:spacing w:after="0"/>
        <w:jc w:val="left"/>
        <w:rPr>
          <w:szCs w:val="17"/>
        </w:rPr>
      </w:pPr>
      <w:r w:rsidRPr="00F75F4A">
        <w:rPr>
          <w:szCs w:val="17"/>
        </w:rPr>
        <w:t>20IS/020CS</w:t>
      </w:r>
    </w:p>
    <w:p w:rsidR="00F75F4A" w:rsidRPr="00F75F4A" w:rsidRDefault="00F75F4A" w:rsidP="00F75F4A">
      <w:pPr>
        <w:pBdr>
          <w:top w:val="single" w:sz="4" w:space="1" w:color="auto"/>
        </w:pBdr>
        <w:spacing w:before="100" w:after="0" w:line="14" w:lineRule="exact"/>
        <w:jc w:val="center"/>
        <w:rPr>
          <w:rFonts w:ascii="Segoe UI Light" w:hAnsi="Segoe UI Light"/>
          <w:sz w:val="22"/>
        </w:rPr>
      </w:pPr>
    </w:p>
    <w:p w:rsidR="00F75F4A" w:rsidRPr="00F75F4A" w:rsidRDefault="00F75F4A" w:rsidP="00F75F4A">
      <w:pPr>
        <w:jc w:val="right"/>
        <w:rPr>
          <w:rFonts w:eastAsia="Times New Roman"/>
          <w:szCs w:val="17"/>
        </w:rPr>
      </w:pPr>
    </w:p>
    <w:p w:rsidR="00F75F4A" w:rsidRPr="00F75F4A" w:rsidRDefault="00F75F4A" w:rsidP="00F75F4A">
      <w:pPr>
        <w:spacing w:after="0"/>
        <w:jc w:val="right"/>
        <w:rPr>
          <w:szCs w:val="17"/>
        </w:rPr>
      </w:pPr>
      <w:r w:rsidRPr="00F75F4A">
        <w:rPr>
          <w:szCs w:val="17"/>
        </w:rPr>
        <w:t>Department of the Premier and Cabinet</w:t>
      </w:r>
    </w:p>
    <w:p w:rsidR="00F75F4A" w:rsidRPr="00F75F4A" w:rsidRDefault="00F75F4A" w:rsidP="00F75F4A">
      <w:pPr>
        <w:jc w:val="right"/>
        <w:rPr>
          <w:szCs w:val="17"/>
        </w:rPr>
      </w:pPr>
      <w:r w:rsidRPr="00F75F4A">
        <w:rPr>
          <w:szCs w:val="17"/>
        </w:rPr>
        <w:t>Adelaide, 17 December 2020</w:t>
      </w:r>
    </w:p>
    <w:p w:rsidR="00F75F4A" w:rsidRPr="00F75F4A" w:rsidRDefault="00F75F4A" w:rsidP="00F75F4A">
      <w:pPr>
        <w:rPr>
          <w:rFonts w:eastAsia="Times New Roman"/>
          <w:spacing w:val="-2"/>
          <w:szCs w:val="17"/>
        </w:rPr>
      </w:pPr>
      <w:r w:rsidRPr="00F75F4A">
        <w:rPr>
          <w:rFonts w:eastAsia="Times New Roman"/>
          <w:szCs w:val="17"/>
        </w:rPr>
        <w:t xml:space="preserve">His Excellency the Governor in Executive Council has been pleased to appoint the Honourable Vickie Ann Chapman, MP,  Deputy Premier, </w:t>
      </w:r>
      <w:r w:rsidRPr="00F75F4A">
        <w:rPr>
          <w:rFonts w:eastAsia="Times New Roman"/>
          <w:spacing w:val="-2"/>
          <w:szCs w:val="17"/>
        </w:rPr>
        <w:t>Attorney-General and Minister for Planning and Local Government to be also Acting Premier for the period from 8.00am on 21 December 2020 to 5.00pm on 27 December 2020 inclusive, during the absence of the Honourable Steven Spence Marshall, MP.</w:t>
      </w:r>
    </w:p>
    <w:p w:rsidR="00F75F4A" w:rsidRPr="00F75F4A" w:rsidRDefault="00F75F4A" w:rsidP="00F75F4A">
      <w:pPr>
        <w:spacing w:after="0"/>
        <w:jc w:val="center"/>
        <w:rPr>
          <w:rFonts w:eastAsia="Times New Roman"/>
          <w:szCs w:val="17"/>
        </w:rPr>
      </w:pPr>
      <w:r w:rsidRPr="00F75F4A">
        <w:rPr>
          <w:rFonts w:eastAsia="Times New Roman"/>
          <w:szCs w:val="17"/>
        </w:rPr>
        <w:t xml:space="preserve">By </w:t>
      </w:r>
      <w:r w:rsidRPr="00F75F4A">
        <w:rPr>
          <w:szCs w:val="17"/>
        </w:rPr>
        <w:t>command</w:t>
      </w:r>
      <w:r w:rsidRPr="00F75F4A">
        <w:rPr>
          <w:rFonts w:eastAsia="Times New Roman"/>
          <w:szCs w:val="17"/>
        </w:rPr>
        <w:t>,</w:t>
      </w:r>
    </w:p>
    <w:p w:rsidR="00F75F4A" w:rsidRPr="00F75F4A" w:rsidRDefault="00F75F4A" w:rsidP="00F75F4A">
      <w:pPr>
        <w:spacing w:after="0"/>
        <w:jc w:val="right"/>
        <w:rPr>
          <w:smallCaps/>
          <w:szCs w:val="17"/>
        </w:rPr>
      </w:pPr>
      <w:r w:rsidRPr="00F75F4A">
        <w:rPr>
          <w:smallCaps/>
          <w:szCs w:val="17"/>
        </w:rPr>
        <w:t>Steven Spence Marshall</w:t>
      </w:r>
    </w:p>
    <w:p w:rsidR="00F75F4A" w:rsidRPr="00F75F4A" w:rsidRDefault="00F75F4A" w:rsidP="00F75F4A">
      <w:pPr>
        <w:spacing w:after="0"/>
        <w:jc w:val="right"/>
        <w:rPr>
          <w:szCs w:val="17"/>
        </w:rPr>
      </w:pPr>
      <w:r w:rsidRPr="00F75F4A">
        <w:rPr>
          <w:szCs w:val="17"/>
        </w:rPr>
        <w:t>Premier</w:t>
      </w:r>
    </w:p>
    <w:p w:rsidR="00F75F4A" w:rsidRPr="00F75F4A" w:rsidRDefault="00F75F4A" w:rsidP="00F75F4A">
      <w:pPr>
        <w:spacing w:after="0"/>
        <w:jc w:val="left"/>
        <w:rPr>
          <w:szCs w:val="17"/>
        </w:rPr>
      </w:pPr>
      <w:r w:rsidRPr="00F75F4A">
        <w:rPr>
          <w:szCs w:val="17"/>
        </w:rPr>
        <w:t>DPC20/116CS</w:t>
      </w:r>
    </w:p>
    <w:p w:rsidR="00F75F4A" w:rsidRPr="00F75F4A" w:rsidRDefault="00F75F4A" w:rsidP="00F75F4A">
      <w:pPr>
        <w:pBdr>
          <w:top w:val="single" w:sz="4" w:space="1" w:color="auto"/>
        </w:pBdr>
        <w:spacing w:before="100" w:after="0" w:line="14" w:lineRule="exact"/>
        <w:jc w:val="center"/>
        <w:rPr>
          <w:rFonts w:ascii="Segoe UI Light" w:hAnsi="Segoe UI Light"/>
          <w:sz w:val="22"/>
        </w:rPr>
      </w:pPr>
    </w:p>
    <w:p w:rsidR="00F75F4A" w:rsidRPr="00F75F4A" w:rsidRDefault="00F75F4A" w:rsidP="00F75F4A">
      <w:pPr>
        <w:rPr>
          <w:rFonts w:eastAsia="Times New Roman"/>
          <w:szCs w:val="17"/>
        </w:rPr>
      </w:pPr>
    </w:p>
    <w:p w:rsidR="00F75F4A" w:rsidRPr="00F75F4A" w:rsidRDefault="00F75F4A" w:rsidP="00F75F4A">
      <w:pPr>
        <w:spacing w:after="0"/>
        <w:jc w:val="right"/>
        <w:rPr>
          <w:szCs w:val="17"/>
        </w:rPr>
      </w:pPr>
      <w:r w:rsidRPr="00F75F4A">
        <w:rPr>
          <w:szCs w:val="17"/>
        </w:rPr>
        <w:t>Department of the Premier and Cabinet</w:t>
      </w:r>
    </w:p>
    <w:p w:rsidR="00F75F4A" w:rsidRPr="00F75F4A" w:rsidRDefault="00F75F4A" w:rsidP="00F75F4A">
      <w:pPr>
        <w:jc w:val="right"/>
        <w:rPr>
          <w:szCs w:val="17"/>
        </w:rPr>
      </w:pPr>
      <w:r w:rsidRPr="00F75F4A">
        <w:rPr>
          <w:szCs w:val="17"/>
        </w:rPr>
        <w:t>Adelaide, 17 December 2020</w:t>
      </w:r>
    </w:p>
    <w:p w:rsidR="00F75F4A" w:rsidRPr="00F75F4A" w:rsidRDefault="00F75F4A" w:rsidP="00F75F4A">
      <w:pPr>
        <w:rPr>
          <w:rFonts w:eastAsia="Times New Roman"/>
          <w:szCs w:val="17"/>
        </w:rPr>
      </w:pPr>
      <w:r w:rsidRPr="00F75F4A">
        <w:rPr>
          <w:rFonts w:eastAsia="Times New Roman"/>
          <w:szCs w:val="17"/>
        </w:rPr>
        <w:t>His Excellency the Governor in Executive Council has been pleased to appoint the Honourable Jacqueline Michelle Ann Lensink, MLC, Minister for Human Services, to be appointed as Acting Minister for Education for the period from 21 December 2020 to 7 January 2021 inclusive, during the absence of the Honourable John Anthony Gardner, MP.</w:t>
      </w:r>
    </w:p>
    <w:p w:rsidR="00F75F4A" w:rsidRPr="00F75F4A" w:rsidRDefault="00F75F4A" w:rsidP="00F75F4A">
      <w:pPr>
        <w:spacing w:after="0"/>
        <w:jc w:val="center"/>
        <w:rPr>
          <w:rFonts w:eastAsia="Times New Roman"/>
          <w:szCs w:val="17"/>
        </w:rPr>
      </w:pPr>
      <w:r w:rsidRPr="00F75F4A">
        <w:rPr>
          <w:rFonts w:eastAsia="Times New Roman"/>
          <w:szCs w:val="17"/>
        </w:rPr>
        <w:t xml:space="preserve">By </w:t>
      </w:r>
      <w:r w:rsidRPr="00F75F4A">
        <w:rPr>
          <w:szCs w:val="17"/>
        </w:rPr>
        <w:t>command</w:t>
      </w:r>
      <w:r w:rsidRPr="00F75F4A">
        <w:rPr>
          <w:rFonts w:eastAsia="Times New Roman"/>
          <w:szCs w:val="17"/>
        </w:rPr>
        <w:t>,</w:t>
      </w:r>
    </w:p>
    <w:p w:rsidR="00F75F4A" w:rsidRPr="00F75F4A" w:rsidRDefault="00F75F4A" w:rsidP="00F75F4A">
      <w:pPr>
        <w:spacing w:after="0"/>
        <w:jc w:val="right"/>
        <w:rPr>
          <w:smallCaps/>
          <w:szCs w:val="17"/>
        </w:rPr>
      </w:pPr>
      <w:r w:rsidRPr="00F75F4A">
        <w:rPr>
          <w:smallCaps/>
          <w:szCs w:val="17"/>
        </w:rPr>
        <w:t>Steven Spence Marshall</w:t>
      </w:r>
    </w:p>
    <w:p w:rsidR="00F75F4A" w:rsidRPr="00F75F4A" w:rsidRDefault="00F75F4A" w:rsidP="00F75F4A">
      <w:pPr>
        <w:spacing w:after="0"/>
        <w:jc w:val="right"/>
        <w:rPr>
          <w:szCs w:val="17"/>
        </w:rPr>
      </w:pPr>
      <w:r w:rsidRPr="00F75F4A">
        <w:rPr>
          <w:szCs w:val="17"/>
        </w:rPr>
        <w:t>Premier</w:t>
      </w:r>
    </w:p>
    <w:p w:rsidR="00F75F4A" w:rsidRPr="00F75F4A" w:rsidRDefault="00F75F4A" w:rsidP="00F75F4A">
      <w:pPr>
        <w:spacing w:after="0"/>
        <w:jc w:val="left"/>
        <w:rPr>
          <w:szCs w:val="17"/>
        </w:rPr>
      </w:pPr>
      <w:r w:rsidRPr="00F75F4A">
        <w:rPr>
          <w:szCs w:val="17"/>
        </w:rPr>
        <w:t>DPC20/115CS</w:t>
      </w:r>
    </w:p>
    <w:p w:rsidR="00F75F4A" w:rsidRPr="00F75F4A" w:rsidRDefault="00F75F4A" w:rsidP="00F75F4A">
      <w:pPr>
        <w:pBdr>
          <w:top w:val="single" w:sz="4" w:space="1" w:color="auto"/>
        </w:pBdr>
        <w:spacing w:before="100" w:after="0" w:line="14" w:lineRule="exact"/>
        <w:jc w:val="center"/>
        <w:rPr>
          <w:rFonts w:ascii="Segoe UI Light" w:hAnsi="Segoe UI Light"/>
          <w:sz w:val="22"/>
        </w:rPr>
      </w:pPr>
    </w:p>
    <w:p w:rsidR="00F75F4A" w:rsidRPr="00F75F4A" w:rsidRDefault="00F75F4A" w:rsidP="00F75F4A">
      <w:pPr>
        <w:spacing w:after="160" w:line="259" w:lineRule="auto"/>
        <w:jc w:val="left"/>
        <w:rPr>
          <w:szCs w:val="17"/>
        </w:rPr>
      </w:pPr>
      <w:r w:rsidRPr="00F75F4A">
        <w:rPr>
          <w:szCs w:val="17"/>
        </w:rPr>
        <w:br w:type="page"/>
      </w:r>
    </w:p>
    <w:p w:rsidR="00F75F4A" w:rsidRPr="00F75F4A" w:rsidRDefault="00F75F4A" w:rsidP="00F75F4A">
      <w:pPr>
        <w:spacing w:after="0"/>
        <w:jc w:val="right"/>
        <w:rPr>
          <w:szCs w:val="17"/>
        </w:rPr>
      </w:pPr>
      <w:r w:rsidRPr="00F75F4A">
        <w:rPr>
          <w:szCs w:val="17"/>
        </w:rPr>
        <w:lastRenderedPageBreak/>
        <w:t>Department of the Premier and Cabinet</w:t>
      </w:r>
    </w:p>
    <w:p w:rsidR="00F75F4A" w:rsidRPr="00F75F4A" w:rsidRDefault="00F75F4A" w:rsidP="00F75F4A">
      <w:pPr>
        <w:jc w:val="right"/>
        <w:rPr>
          <w:szCs w:val="17"/>
        </w:rPr>
      </w:pPr>
      <w:r w:rsidRPr="00F75F4A">
        <w:rPr>
          <w:szCs w:val="17"/>
        </w:rPr>
        <w:t>Adelaide, 17 December 2020</w:t>
      </w:r>
    </w:p>
    <w:p w:rsidR="00F75F4A" w:rsidRPr="00F75F4A" w:rsidRDefault="00F75F4A" w:rsidP="00F75F4A">
      <w:pPr>
        <w:rPr>
          <w:rFonts w:eastAsia="Times New Roman"/>
          <w:szCs w:val="17"/>
        </w:rPr>
      </w:pPr>
      <w:r w:rsidRPr="00F75F4A">
        <w:rPr>
          <w:rFonts w:eastAsia="Times New Roman"/>
          <w:szCs w:val="17"/>
        </w:rPr>
        <w:t>His Excellency the Governor in Executive Council has been pleased to appoint the Honourable Robert Ivan Lucas, MLC, Treasurer, to be appointed as Acting Minister for Health and Wellbeing for the period from 24 December 2020 to 3 January 2021 inclusive, during the absence of the Honourable Stephen Graham Wade, MLC.</w:t>
      </w:r>
    </w:p>
    <w:p w:rsidR="00F75F4A" w:rsidRPr="00F75F4A" w:rsidRDefault="00F75F4A" w:rsidP="00F75F4A">
      <w:pPr>
        <w:spacing w:after="0"/>
        <w:jc w:val="center"/>
        <w:rPr>
          <w:rFonts w:eastAsia="Times New Roman"/>
          <w:szCs w:val="17"/>
        </w:rPr>
      </w:pPr>
      <w:r w:rsidRPr="00F75F4A">
        <w:rPr>
          <w:rFonts w:eastAsia="Times New Roman"/>
          <w:szCs w:val="17"/>
        </w:rPr>
        <w:t>By command,</w:t>
      </w:r>
    </w:p>
    <w:p w:rsidR="00F75F4A" w:rsidRPr="00F75F4A" w:rsidRDefault="00F75F4A" w:rsidP="00F75F4A">
      <w:pPr>
        <w:spacing w:after="0"/>
        <w:jc w:val="right"/>
        <w:rPr>
          <w:smallCaps/>
          <w:szCs w:val="17"/>
        </w:rPr>
      </w:pPr>
      <w:r w:rsidRPr="00F75F4A">
        <w:rPr>
          <w:smallCaps/>
          <w:szCs w:val="17"/>
        </w:rPr>
        <w:t>Steven Spence Marshall</w:t>
      </w:r>
    </w:p>
    <w:p w:rsidR="00F75F4A" w:rsidRPr="00F75F4A" w:rsidRDefault="00F75F4A" w:rsidP="00F75F4A">
      <w:pPr>
        <w:spacing w:after="0"/>
        <w:jc w:val="right"/>
        <w:rPr>
          <w:szCs w:val="17"/>
        </w:rPr>
      </w:pPr>
      <w:r w:rsidRPr="00F75F4A">
        <w:rPr>
          <w:szCs w:val="17"/>
        </w:rPr>
        <w:t>Premier</w:t>
      </w:r>
    </w:p>
    <w:p w:rsidR="00F75F4A" w:rsidRPr="00F75F4A" w:rsidRDefault="00F75F4A" w:rsidP="00F75F4A">
      <w:pPr>
        <w:spacing w:after="0"/>
        <w:jc w:val="left"/>
        <w:rPr>
          <w:szCs w:val="17"/>
        </w:rPr>
      </w:pPr>
      <w:r w:rsidRPr="00F75F4A">
        <w:rPr>
          <w:szCs w:val="17"/>
        </w:rPr>
        <w:t>DPC20/115CS</w:t>
      </w:r>
    </w:p>
    <w:p w:rsidR="00F75F4A" w:rsidRPr="00F75F4A" w:rsidRDefault="00F75F4A" w:rsidP="00F75F4A">
      <w:pPr>
        <w:pBdr>
          <w:top w:val="single" w:sz="4" w:space="1" w:color="auto"/>
        </w:pBdr>
        <w:spacing w:before="100" w:after="0" w:line="14" w:lineRule="exact"/>
        <w:jc w:val="center"/>
        <w:rPr>
          <w:rFonts w:ascii="Segoe UI Light" w:hAnsi="Segoe UI Light"/>
          <w:sz w:val="22"/>
        </w:rPr>
      </w:pPr>
    </w:p>
    <w:p w:rsidR="00F75F4A" w:rsidRPr="00F75F4A" w:rsidRDefault="00F75F4A" w:rsidP="00F75F4A">
      <w:pPr>
        <w:rPr>
          <w:rFonts w:eastAsia="Times New Roman"/>
          <w:szCs w:val="17"/>
        </w:rPr>
      </w:pPr>
    </w:p>
    <w:p w:rsidR="00F75F4A" w:rsidRPr="00F75F4A" w:rsidRDefault="00F75F4A" w:rsidP="00F75F4A">
      <w:pPr>
        <w:spacing w:after="0"/>
        <w:jc w:val="right"/>
        <w:rPr>
          <w:szCs w:val="17"/>
        </w:rPr>
      </w:pPr>
      <w:r w:rsidRPr="00F75F4A">
        <w:rPr>
          <w:szCs w:val="17"/>
        </w:rPr>
        <w:t>Department of the Premier and Cabinet</w:t>
      </w:r>
    </w:p>
    <w:p w:rsidR="00F75F4A" w:rsidRPr="00F75F4A" w:rsidRDefault="00F75F4A" w:rsidP="00F75F4A">
      <w:pPr>
        <w:jc w:val="right"/>
        <w:rPr>
          <w:szCs w:val="17"/>
        </w:rPr>
      </w:pPr>
      <w:r w:rsidRPr="00F75F4A">
        <w:rPr>
          <w:szCs w:val="17"/>
        </w:rPr>
        <w:t>Adelaide, 17 December 2020</w:t>
      </w:r>
    </w:p>
    <w:p w:rsidR="00F75F4A" w:rsidRPr="00F75F4A" w:rsidRDefault="00F75F4A" w:rsidP="00F75F4A">
      <w:pPr>
        <w:rPr>
          <w:rFonts w:eastAsia="Times New Roman"/>
          <w:szCs w:val="17"/>
        </w:rPr>
      </w:pPr>
      <w:r w:rsidRPr="00F75F4A">
        <w:rPr>
          <w:rFonts w:eastAsia="Times New Roman"/>
          <w:szCs w:val="17"/>
        </w:rPr>
        <w:t>His Excellency the Governor in Executive Council has been pleased to appoint the Honourable Robert Ivan Lucas, MLC, Treasurer, to be appointed as Acting Minister for Infrastructure and Transport and Acting Minister for Recreation, Sport and Racing for the period from 26 December 2020 to 10 January 2021 inclusive, during the absence of the Honourable Corey Luke Wingard, MP.</w:t>
      </w:r>
    </w:p>
    <w:p w:rsidR="00F75F4A" w:rsidRPr="00F75F4A" w:rsidRDefault="00F75F4A" w:rsidP="00F75F4A">
      <w:pPr>
        <w:spacing w:after="0"/>
        <w:jc w:val="center"/>
        <w:rPr>
          <w:rFonts w:eastAsia="Times New Roman"/>
          <w:szCs w:val="17"/>
        </w:rPr>
      </w:pPr>
      <w:r w:rsidRPr="00F75F4A">
        <w:rPr>
          <w:rFonts w:eastAsia="Times New Roman"/>
          <w:szCs w:val="17"/>
        </w:rPr>
        <w:t xml:space="preserve">By </w:t>
      </w:r>
      <w:r w:rsidRPr="00F75F4A">
        <w:rPr>
          <w:szCs w:val="17"/>
        </w:rPr>
        <w:t>command</w:t>
      </w:r>
      <w:r w:rsidRPr="00F75F4A">
        <w:rPr>
          <w:rFonts w:eastAsia="Times New Roman"/>
          <w:szCs w:val="17"/>
        </w:rPr>
        <w:t>,</w:t>
      </w:r>
    </w:p>
    <w:p w:rsidR="00F75F4A" w:rsidRPr="00F75F4A" w:rsidRDefault="00F75F4A" w:rsidP="00F75F4A">
      <w:pPr>
        <w:spacing w:after="0"/>
        <w:jc w:val="right"/>
        <w:rPr>
          <w:smallCaps/>
          <w:szCs w:val="17"/>
        </w:rPr>
      </w:pPr>
      <w:r w:rsidRPr="00F75F4A">
        <w:rPr>
          <w:smallCaps/>
          <w:szCs w:val="17"/>
        </w:rPr>
        <w:t>Steven Spence Marshall</w:t>
      </w:r>
    </w:p>
    <w:p w:rsidR="00F75F4A" w:rsidRPr="00F75F4A" w:rsidRDefault="00F75F4A" w:rsidP="00F75F4A">
      <w:pPr>
        <w:spacing w:after="0"/>
        <w:jc w:val="right"/>
        <w:rPr>
          <w:szCs w:val="17"/>
        </w:rPr>
      </w:pPr>
      <w:r w:rsidRPr="00F75F4A">
        <w:rPr>
          <w:szCs w:val="17"/>
        </w:rPr>
        <w:t>Premier</w:t>
      </w:r>
    </w:p>
    <w:p w:rsidR="00F75F4A" w:rsidRPr="00F75F4A" w:rsidRDefault="00F75F4A" w:rsidP="00F75F4A">
      <w:pPr>
        <w:spacing w:after="0"/>
        <w:jc w:val="left"/>
        <w:rPr>
          <w:szCs w:val="17"/>
        </w:rPr>
      </w:pPr>
      <w:r w:rsidRPr="00F75F4A">
        <w:rPr>
          <w:szCs w:val="17"/>
        </w:rPr>
        <w:t>DPC20/115CS</w:t>
      </w:r>
    </w:p>
    <w:p w:rsidR="00F75F4A" w:rsidRPr="00F75F4A" w:rsidRDefault="00F75F4A" w:rsidP="00F75F4A">
      <w:pPr>
        <w:pBdr>
          <w:top w:val="single" w:sz="4" w:space="1" w:color="auto"/>
        </w:pBdr>
        <w:spacing w:before="100" w:after="0" w:line="14" w:lineRule="exact"/>
        <w:jc w:val="center"/>
        <w:rPr>
          <w:rFonts w:ascii="Segoe UI Light" w:hAnsi="Segoe UI Light"/>
          <w:sz w:val="22"/>
        </w:rPr>
      </w:pPr>
    </w:p>
    <w:p w:rsidR="00F75F4A" w:rsidRPr="00F75F4A" w:rsidRDefault="00F75F4A" w:rsidP="00F75F4A">
      <w:pPr>
        <w:rPr>
          <w:rFonts w:eastAsia="Times New Roman"/>
          <w:szCs w:val="17"/>
        </w:rPr>
      </w:pPr>
    </w:p>
    <w:p w:rsidR="00F75F4A" w:rsidRPr="00F75F4A" w:rsidRDefault="00F75F4A" w:rsidP="00F75F4A">
      <w:pPr>
        <w:spacing w:after="0"/>
        <w:jc w:val="right"/>
        <w:rPr>
          <w:szCs w:val="17"/>
        </w:rPr>
      </w:pPr>
      <w:r w:rsidRPr="00F75F4A">
        <w:rPr>
          <w:szCs w:val="17"/>
        </w:rPr>
        <w:t>Department of the Premier and Cabinet</w:t>
      </w:r>
    </w:p>
    <w:p w:rsidR="00F75F4A" w:rsidRPr="00F75F4A" w:rsidRDefault="00F75F4A" w:rsidP="00F75F4A">
      <w:pPr>
        <w:jc w:val="right"/>
        <w:rPr>
          <w:szCs w:val="17"/>
        </w:rPr>
      </w:pPr>
      <w:r w:rsidRPr="00F75F4A">
        <w:rPr>
          <w:szCs w:val="17"/>
        </w:rPr>
        <w:t>Adelaide, 17 December 2020</w:t>
      </w:r>
    </w:p>
    <w:p w:rsidR="00F75F4A" w:rsidRPr="00F75F4A" w:rsidRDefault="00F75F4A" w:rsidP="00F75F4A">
      <w:pPr>
        <w:rPr>
          <w:rFonts w:eastAsia="Times New Roman"/>
          <w:szCs w:val="17"/>
        </w:rPr>
      </w:pPr>
      <w:r w:rsidRPr="00F75F4A">
        <w:rPr>
          <w:rFonts w:eastAsia="Times New Roman"/>
          <w:szCs w:val="17"/>
        </w:rPr>
        <w:t>His Excellency the Governor in Executive Council has been pleased to appoint the Honourable Robert Ivan Lucas, MLC, Treasurer, to be appointed as Acting Minister for Energy and Mining for the period from 31 December 2020 to 22 January 2021 inclusive, during the absence of the Honourable Daniel Cornelis van Holst Pellekaan, MP.</w:t>
      </w:r>
    </w:p>
    <w:p w:rsidR="00F75F4A" w:rsidRPr="00F75F4A" w:rsidRDefault="00F75F4A" w:rsidP="00F75F4A">
      <w:pPr>
        <w:spacing w:after="0"/>
        <w:jc w:val="center"/>
        <w:rPr>
          <w:rFonts w:eastAsia="Times New Roman"/>
          <w:szCs w:val="17"/>
        </w:rPr>
      </w:pPr>
      <w:r w:rsidRPr="00F75F4A">
        <w:rPr>
          <w:rFonts w:eastAsia="Times New Roman"/>
          <w:szCs w:val="17"/>
        </w:rPr>
        <w:t xml:space="preserve">By </w:t>
      </w:r>
      <w:r w:rsidRPr="00F75F4A">
        <w:rPr>
          <w:szCs w:val="17"/>
        </w:rPr>
        <w:t>command</w:t>
      </w:r>
      <w:r w:rsidRPr="00F75F4A">
        <w:rPr>
          <w:rFonts w:eastAsia="Times New Roman"/>
          <w:szCs w:val="17"/>
        </w:rPr>
        <w:t>,</w:t>
      </w:r>
    </w:p>
    <w:p w:rsidR="00F75F4A" w:rsidRPr="00F75F4A" w:rsidRDefault="00F75F4A" w:rsidP="00F75F4A">
      <w:pPr>
        <w:spacing w:after="0"/>
        <w:jc w:val="right"/>
        <w:rPr>
          <w:smallCaps/>
          <w:szCs w:val="17"/>
        </w:rPr>
      </w:pPr>
      <w:r w:rsidRPr="00F75F4A">
        <w:rPr>
          <w:smallCaps/>
          <w:szCs w:val="17"/>
        </w:rPr>
        <w:t>Steven Spence Marshall</w:t>
      </w:r>
    </w:p>
    <w:p w:rsidR="00F75F4A" w:rsidRPr="00F75F4A" w:rsidRDefault="00F75F4A" w:rsidP="00F75F4A">
      <w:pPr>
        <w:spacing w:after="0"/>
        <w:jc w:val="right"/>
        <w:rPr>
          <w:szCs w:val="17"/>
        </w:rPr>
      </w:pPr>
      <w:r w:rsidRPr="00F75F4A">
        <w:rPr>
          <w:szCs w:val="17"/>
        </w:rPr>
        <w:t>Premier</w:t>
      </w:r>
    </w:p>
    <w:p w:rsidR="00F75F4A" w:rsidRPr="00F75F4A" w:rsidRDefault="00F75F4A" w:rsidP="00F75F4A">
      <w:pPr>
        <w:spacing w:after="0"/>
        <w:jc w:val="left"/>
        <w:rPr>
          <w:szCs w:val="17"/>
        </w:rPr>
      </w:pPr>
      <w:r w:rsidRPr="00F75F4A">
        <w:rPr>
          <w:szCs w:val="17"/>
        </w:rPr>
        <w:t>DPC20/115CS</w:t>
      </w:r>
    </w:p>
    <w:p w:rsidR="00F75F4A" w:rsidRPr="00F75F4A" w:rsidRDefault="00F75F4A" w:rsidP="00F75F4A">
      <w:pPr>
        <w:pBdr>
          <w:top w:val="single" w:sz="4" w:space="1" w:color="auto"/>
        </w:pBdr>
        <w:spacing w:before="100" w:after="0" w:line="14" w:lineRule="exact"/>
        <w:jc w:val="center"/>
        <w:rPr>
          <w:rFonts w:ascii="Segoe UI Light" w:hAnsi="Segoe UI Light"/>
          <w:sz w:val="22"/>
        </w:rPr>
      </w:pPr>
    </w:p>
    <w:p w:rsidR="00F75F4A" w:rsidRPr="00F75F4A" w:rsidRDefault="00F75F4A" w:rsidP="00F75F4A">
      <w:pPr>
        <w:rPr>
          <w:rFonts w:eastAsia="Times New Roman"/>
          <w:szCs w:val="17"/>
        </w:rPr>
      </w:pPr>
    </w:p>
    <w:p w:rsidR="00F75F4A" w:rsidRPr="00F75F4A" w:rsidRDefault="00F75F4A" w:rsidP="00F75F4A">
      <w:pPr>
        <w:spacing w:after="0"/>
        <w:jc w:val="right"/>
        <w:rPr>
          <w:szCs w:val="17"/>
        </w:rPr>
      </w:pPr>
      <w:r w:rsidRPr="00F75F4A">
        <w:rPr>
          <w:szCs w:val="17"/>
        </w:rPr>
        <w:t>Department of the Premier and Cabinet</w:t>
      </w:r>
    </w:p>
    <w:p w:rsidR="00F75F4A" w:rsidRPr="00F75F4A" w:rsidRDefault="00F75F4A" w:rsidP="00F75F4A">
      <w:pPr>
        <w:jc w:val="right"/>
        <w:rPr>
          <w:szCs w:val="17"/>
        </w:rPr>
      </w:pPr>
      <w:r w:rsidRPr="00F75F4A">
        <w:rPr>
          <w:szCs w:val="17"/>
        </w:rPr>
        <w:t>Adelaide, 17 December 2020</w:t>
      </w:r>
    </w:p>
    <w:p w:rsidR="00F75F4A" w:rsidRPr="00F75F4A" w:rsidRDefault="00F75F4A" w:rsidP="00F75F4A">
      <w:pPr>
        <w:rPr>
          <w:rFonts w:eastAsia="Times New Roman"/>
          <w:szCs w:val="17"/>
        </w:rPr>
      </w:pPr>
      <w:r w:rsidRPr="00F75F4A">
        <w:rPr>
          <w:rFonts w:eastAsia="Times New Roman"/>
          <w:szCs w:val="17"/>
        </w:rPr>
        <w:t>His Excellency the Governor in Executive Council has been pleased to appoint the Honourable Robert Ivan Lucas, MLC, Treasurer, to be appointed as Acting Deputy Premier, Acting Attorney-General and Acting Minister for Planning and Local Government for the period from 4 January 2021 to 17 January 2021 inclusive, during the absence of the Honourable Vickie Ann Chapman, MP.</w:t>
      </w:r>
    </w:p>
    <w:p w:rsidR="00F75F4A" w:rsidRPr="00F75F4A" w:rsidRDefault="00F75F4A" w:rsidP="00F75F4A">
      <w:pPr>
        <w:spacing w:after="0"/>
        <w:jc w:val="center"/>
        <w:rPr>
          <w:rFonts w:eastAsia="Times New Roman"/>
          <w:szCs w:val="17"/>
        </w:rPr>
      </w:pPr>
      <w:r w:rsidRPr="00F75F4A">
        <w:rPr>
          <w:rFonts w:eastAsia="Times New Roman"/>
          <w:szCs w:val="17"/>
        </w:rPr>
        <w:t xml:space="preserve">By </w:t>
      </w:r>
      <w:r w:rsidRPr="00F75F4A">
        <w:rPr>
          <w:szCs w:val="17"/>
        </w:rPr>
        <w:t>command</w:t>
      </w:r>
      <w:r w:rsidRPr="00F75F4A">
        <w:rPr>
          <w:rFonts w:eastAsia="Times New Roman"/>
          <w:szCs w:val="17"/>
        </w:rPr>
        <w:t>,</w:t>
      </w:r>
    </w:p>
    <w:p w:rsidR="00F75F4A" w:rsidRPr="00F75F4A" w:rsidRDefault="00F75F4A" w:rsidP="00F75F4A">
      <w:pPr>
        <w:spacing w:after="0"/>
        <w:jc w:val="right"/>
        <w:rPr>
          <w:smallCaps/>
          <w:szCs w:val="17"/>
        </w:rPr>
      </w:pPr>
      <w:r w:rsidRPr="00F75F4A">
        <w:rPr>
          <w:smallCaps/>
          <w:szCs w:val="17"/>
        </w:rPr>
        <w:t>Steven Spence Marshall</w:t>
      </w:r>
    </w:p>
    <w:p w:rsidR="00F75F4A" w:rsidRPr="00F75F4A" w:rsidRDefault="00F75F4A" w:rsidP="00F75F4A">
      <w:pPr>
        <w:spacing w:after="0"/>
        <w:jc w:val="right"/>
        <w:rPr>
          <w:szCs w:val="17"/>
        </w:rPr>
      </w:pPr>
      <w:r w:rsidRPr="00F75F4A">
        <w:rPr>
          <w:szCs w:val="17"/>
        </w:rPr>
        <w:t>Premier</w:t>
      </w:r>
    </w:p>
    <w:p w:rsidR="00F75F4A" w:rsidRPr="00F75F4A" w:rsidRDefault="00F75F4A" w:rsidP="00F75F4A">
      <w:pPr>
        <w:spacing w:after="0"/>
        <w:jc w:val="left"/>
        <w:rPr>
          <w:szCs w:val="17"/>
        </w:rPr>
      </w:pPr>
      <w:r w:rsidRPr="00F75F4A">
        <w:rPr>
          <w:szCs w:val="17"/>
        </w:rPr>
        <w:t>DPC20/115CS</w:t>
      </w:r>
    </w:p>
    <w:p w:rsidR="00F75F4A" w:rsidRPr="00F75F4A" w:rsidRDefault="00F75F4A" w:rsidP="00F75F4A">
      <w:pPr>
        <w:pBdr>
          <w:top w:val="single" w:sz="4" w:space="1" w:color="auto"/>
        </w:pBdr>
        <w:spacing w:before="100" w:after="0" w:line="14" w:lineRule="exact"/>
        <w:jc w:val="center"/>
        <w:rPr>
          <w:rFonts w:ascii="Segoe UI Light" w:hAnsi="Segoe UI Light"/>
          <w:sz w:val="22"/>
        </w:rPr>
      </w:pPr>
    </w:p>
    <w:p w:rsidR="00F75F4A" w:rsidRPr="00F75F4A" w:rsidRDefault="00F75F4A" w:rsidP="00F75F4A">
      <w:pPr>
        <w:rPr>
          <w:rFonts w:eastAsia="Times New Roman"/>
          <w:szCs w:val="17"/>
        </w:rPr>
      </w:pPr>
    </w:p>
    <w:p w:rsidR="00F75F4A" w:rsidRPr="00F75F4A" w:rsidRDefault="00F75F4A" w:rsidP="00F75F4A">
      <w:pPr>
        <w:spacing w:after="0"/>
        <w:jc w:val="right"/>
        <w:rPr>
          <w:szCs w:val="17"/>
        </w:rPr>
      </w:pPr>
      <w:r w:rsidRPr="00F75F4A">
        <w:rPr>
          <w:szCs w:val="17"/>
        </w:rPr>
        <w:t>Department of the Premier and Cabinet</w:t>
      </w:r>
    </w:p>
    <w:p w:rsidR="00F75F4A" w:rsidRPr="00F75F4A" w:rsidRDefault="00F75F4A" w:rsidP="00F75F4A">
      <w:pPr>
        <w:jc w:val="right"/>
        <w:rPr>
          <w:szCs w:val="17"/>
        </w:rPr>
      </w:pPr>
      <w:r w:rsidRPr="00F75F4A">
        <w:rPr>
          <w:szCs w:val="17"/>
        </w:rPr>
        <w:t>Adelaide, 17 December 2020</w:t>
      </w:r>
    </w:p>
    <w:p w:rsidR="00F75F4A" w:rsidRPr="00F75F4A" w:rsidRDefault="00F75F4A" w:rsidP="00F75F4A">
      <w:pPr>
        <w:rPr>
          <w:rFonts w:eastAsia="Times New Roman"/>
          <w:spacing w:val="-2"/>
          <w:szCs w:val="17"/>
        </w:rPr>
      </w:pPr>
      <w:r w:rsidRPr="00F75F4A">
        <w:rPr>
          <w:rFonts w:eastAsia="Times New Roman"/>
          <w:spacing w:val="-2"/>
          <w:szCs w:val="17"/>
        </w:rPr>
        <w:t>His Excellency the Governor in Executive Council has been pleased to appoint the Honourable David James Speirs, MP, Minister for Environment and Water, to be appointed as Acting Minister for Trade and Investment for the period from 9 January 2021 to 17 January 2021 inclusive, during the absence of the Honourable Stephen John Rayden Patterson, MP.</w:t>
      </w:r>
    </w:p>
    <w:p w:rsidR="00F75F4A" w:rsidRPr="00F75F4A" w:rsidRDefault="00F75F4A" w:rsidP="00F75F4A">
      <w:pPr>
        <w:spacing w:after="0"/>
        <w:jc w:val="center"/>
        <w:rPr>
          <w:rFonts w:eastAsia="Times New Roman"/>
          <w:szCs w:val="17"/>
        </w:rPr>
      </w:pPr>
      <w:r w:rsidRPr="00F75F4A">
        <w:rPr>
          <w:rFonts w:eastAsia="Times New Roman"/>
          <w:szCs w:val="17"/>
        </w:rPr>
        <w:t xml:space="preserve">By </w:t>
      </w:r>
      <w:r w:rsidRPr="00F75F4A">
        <w:rPr>
          <w:szCs w:val="17"/>
        </w:rPr>
        <w:t>command</w:t>
      </w:r>
      <w:r w:rsidRPr="00F75F4A">
        <w:rPr>
          <w:rFonts w:eastAsia="Times New Roman"/>
          <w:szCs w:val="17"/>
        </w:rPr>
        <w:t>,</w:t>
      </w:r>
    </w:p>
    <w:p w:rsidR="00F75F4A" w:rsidRPr="00F75F4A" w:rsidRDefault="00F75F4A" w:rsidP="00F75F4A">
      <w:pPr>
        <w:spacing w:after="0"/>
        <w:jc w:val="right"/>
        <w:rPr>
          <w:smallCaps/>
          <w:szCs w:val="17"/>
        </w:rPr>
      </w:pPr>
      <w:r w:rsidRPr="00F75F4A">
        <w:rPr>
          <w:smallCaps/>
          <w:szCs w:val="17"/>
        </w:rPr>
        <w:t>Steven Spence Marshall</w:t>
      </w:r>
    </w:p>
    <w:p w:rsidR="00F75F4A" w:rsidRPr="00F75F4A" w:rsidRDefault="00F75F4A" w:rsidP="00F75F4A">
      <w:pPr>
        <w:spacing w:after="0"/>
        <w:jc w:val="right"/>
        <w:rPr>
          <w:szCs w:val="17"/>
        </w:rPr>
      </w:pPr>
      <w:r w:rsidRPr="00F75F4A">
        <w:rPr>
          <w:szCs w:val="17"/>
        </w:rPr>
        <w:t>Premier</w:t>
      </w:r>
    </w:p>
    <w:p w:rsidR="00F75F4A" w:rsidRPr="00F75F4A" w:rsidRDefault="00F75F4A" w:rsidP="00F75F4A">
      <w:pPr>
        <w:spacing w:after="0"/>
        <w:jc w:val="left"/>
        <w:rPr>
          <w:szCs w:val="17"/>
        </w:rPr>
      </w:pPr>
      <w:r w:rsidRPr="00F75F4A">
        <w:rPr>
          <w:szCs w:val="17"/>
        </w:rPr>
        <w:t>DPC20/115CS</w:t>
      </w:r>
    </w:p>
    <w:p w:rsidR="00F75F4A" w:rsidRPr="00F75F4A" w:rsidRDefault="00F75F4A" w:rsidP="00F75F4A">
      <w:pPr>
        <w:pBdr>
          <w:top w:val="single" w:sz="4" w:space="1" w:color="auto"/>
        </w:pBdr>
        <w:spacing w:before="100" w:after="0" w:line="14" w:lineRule="exact"/>
        <w:jc w:val="center"/>
        <w:rPr>
          <w:rFonts w:ascii="Segoe UI Light" w:hAnsi="Segoe UI Light"/>
          <w:sz w:val="22"/>
        </w:rPr>
      </w:pPr>
    </w:p>
    <w:p w:rsidR="00F75F4A" w:rsidRPr="00F75F4A" w:rsidRDefault="00F75F4A" w:rsidP="00F75F4A">
      <w:pPr>
        <w:rPr>
          <w:rFonts w:eastAsia="Times New Roman"/>
          <w:szCs w:val="17"/>
        </w:rPr>
      </w:pPr>
    </w:p>
    <w:p w:rsidR="00F75F4A" w:rsidRPr="00F75F4A" w:rsidRDefault="00F75F4A" w:rsidP="00F75F4A">
      <w:pPr>
        <w:spacing w:after="0"/>
        <w:jc w:val="right"/>
        <w:rPr>
          <w:szCs w:val="17"/>
        </w:rPr>
      </w:pPr>
      <w:r w:rsidRPr="00F75F4A">
        <w:rPr>
          <w:szCs w:val="17"/>
        </w:rPr>
        <w:t>Department of the Premier and Cabinet</w:t>
      </w:r>
    </w:p>
    <w:p w:rsidR="00F75F4A" w:rsidRPr="00F75F4A" w:rsidRDefault="00F75F4A" w:rsidP="00F75F4A">
      <w:pPr>
        <w:jc w:val="right"/>
        <w:rPr>
          <w:szCs w:val="17"/>
        </w:rPr>
      </w:pPr>
      <w:r w:rsidRPr="00F75F4A">
        <w:rPr>
          <w:szCs w:val="17"/>
        </w:rPr>
        <w:t>Adelaide, 17 December 2020</w:t>
      </w:r>
    </w:p>
    <w:p w:rsidR="00F75F4A" w:rsidRPr="00F75F4A" w:rsidRDefault="00F75F4A" w:rsidP="00F75F4A">
      <w:pPr>
        <w:rPr>
          <w:rFonts w:eastAsia="Times New Roman"/>
          <w:szCs w:val="17"/>
        </w:rPr>
      </w:pPr>
      <w:r w:rsidRPr="00F75F4A">
        <w:rPr>
          <w:rFonts w:eastAsia="Times New Roman"/>
          <w:szCs w:val="17"/>
        </w:rPr>
        <w:t>His Excellency the Governor in Executive Council has been pleased to appoint Genevieve Marie Cleary and Andrew Edward Matthews as Cross-Border Magistrates for a term of five years commencing on 17 December 2020 and expiring on 16 December 2025 - pursuant to Section 5A of the Magistrates Act 1983.</w:t>
      </w:r>
    </w:p>
    <w:p w:rsidR="00F75F4A" w:rsidRPr="00F75F4A" w:rsidRDefault="00F75F4A" w:rsidP="00F75F4A">
      <w:pPr>
        <w:spacing w:after="0"/>
        <w:jc w:val="center"/>
        <w:rPr>
          <w:rFonts w:eastAsia="Times New Roman"/>
          <w:szCs w:val="17"/>
        </w:rPr>
      </w:pPr>
      <w:r w:rsidRPr="00F75F4A">
        <w:rPr>
          <w:rFonts w:eastAsia="Times New Roman"/>
          <w:szCs w:val="17"/>
        </w:rPr>
        <w:t xml:space="preserve">By </w:t>
      </w:r>
      <w:r w:rsidRPr="00F75F4A">
        <w:rPr>
          <w:szCs w:val="17"/>
        </w:rPr>
        <w:t>command</w:t>
      </w:r>
      <w:r w:rsidRPr="00F75F4A">
        <w:rPr>
          <w:rFonts w:eastAsia="Times New Roman"/>
          <w:szCs w:val="17"/>
        </w:rPr>
        <w:t>,</w:t>
      </w:r>
    </w:p>
    <w:p w:rsidR="00F75F4A" w:rsidRPr="00F75F4A" w:rsidRDefault="00F75F4A" w:rsidP="00F75F4A">
      <w:pPr>
        <w:spacing w:after="0"/>
        <w:jc w:val="right"/>
        <w:rPr>
          <w:smallCaps/>
          <w:szCs w:val="17"/>
        </w:rPr>
      </w:pPr>
      <w:r w:rsidRPr="00F75F4A">
        <w:rPr>
          <w:smallCaps/>
          <w:szCs w:val="17"/>
        </w:rPr>
        <w:t>Steven Spence Marshall</w:t>
      </w:r>
    </w:p>
    <w:p w:rsidR="00F75F4A" w:rsidRPr="00F75F4A" w:rsidRDefault="00F75F4A" w:rsidP="00F75F4A">
      <w:pPr>
        <w:spacing w:after="0"/>
        <w:jc w:val="right"/>
        <w:rPr>
          <w:szCs w:val="17"/>
        </w:rPr>
      </w:pPr>
      <w:r w:rsidRPr="00F75F4A">
        <w:rPr>
          <w:szCs w:val="17"/>
        </w:rPr>
        <w:t>Premier</w:t>
      </w:r>
    </w:p>
    <w:p w:rsidR="00F75F4A" w:rsidRPr="00F75F4A" w:rsidRDefault="00F75F4A" w:rsidP="00F75F4A">
      <w:pPr>
        <w:spacing w:after="0"/>
        <w:jc w:val="left"/>
        <w:rPr>
          <w:szCs w:val="17"/>
        </w:rPr>
      </w:pPr>
      <w:r w:rsidRPr="00F75F4A">
        <w:rPr>
          <w:szCs w:val="17"/>
        </w:rPr>
        <w:t>AGO0191-20CS</w:t>
      </w:r>
    </w:p>
    <w:p w:rsidR="00F75F4A" w:rsidRPr="00F75F4A" w:rsidRDefault="00F75F4A" w:rsidP="00F75F4A">
      <w:pPr>
        <w:pBdr>
          <w:top w:val="single" w:sz="4" w:space="1" w:color="auto"/>
        </w:pBdr>
        <w:spacing w:before="100" w:after="0" w:line="14" w:lineRule="exact"/>
        <w:jc w:val="center"/>
        <w:rPr>
          <w:rFonts w:ascii="Segoe UI Light" w:hAnsi="Segoe UI Light"/>
          <w:sz w:val="22"/>
        </w:rPr>
      </w:pPr>
    </w:p>
    <w:p w:rsidR="00F75F4A" w:rsidRPr="00F75F4A" w:rsidRDefault="00F75F4A" w:rsidP="00F75F4A">
      <w:pPr>
        <w:rPr>
          <w:rFonts w:eastAsia="Times New Roman"/>
          <w:szCs w:val="17"/>
        </w:rPr>
      </w:pPr>
    </w:p>
    <w:p w:rsidR="00F75F4A" w:rsidRPr="00F75F4A" w:rsidRDefault="00F75F4A" w:rsidP="00F75F4A">
      <w:pPr>
        <w:spacing w:after="160" w:line="259" w:lineRule="auto"/>
        <w:jc w:val="left"/>
        <w:rPr>
          <w:szCs w:val="17"/>
        </w:rPr>
      </w:pPr>
      <w:r w:rsidRPr="00F75F4A">
        <w:rPr>
          <w:szCs w:val="17"/>
        </w:rPr>
        <w:br w:type="page"/>
      </w:r>
    </w:p>
    <w:p w:rsidR="00F75F4A" w:rsidRPr="00F75F4A" w:rsidRDefault="00F75F4A" w:rsidP="00F75F4A">
      <w:pPr>
        <w:spacing w:after="0"/>
        <w:jc w:val="right"/>
        <w:rPr>
          <w:szCs w:val="17"/>
        </w:rPr>
      </w:pPr>
      <w:r w:rsidRPr="00F75F4A">
        <w:rPr>
          <w:szCs w:val="17"/>
        </w:rPr>
        <w:lastRenderedPageBreak/>
        <w:t>Department of the Premier and Cabinet</w:t>
      </w:r>
    </w:p>
    <w:p w:rsidR="00F75F4A" w:rsidRPr="00F75F4A" w:rsidRDefault="00F75F4A" w:rsidP="00F75F4A">
      <w:pPr>
        <w:jc w:val="right"/>
        <w:rPr>
          <w:szCs w:val="17"/>
        </w:rPr>
      </w:pPr>
      <w:r w:rsidRPr="00F75F4A">
        <w:rPr>
          <w:szCs w:val="17"/>
        </w:rPr>
        <w:t>Adelaide, 17 December 2020</w:t>
      </w:r>
    </w:p>
    <w:p w:rsidR="00F75F4A" w:rsidRPr="00F75F4A" w:rsidRDefault="00F75F4A" w:rsidP="00F75F4A">
      <w:pPr>
        <w:rPr>
          <w:rFonts w:eastAsia="Times New Roman"/>
          <w:spacing w:val="-2"/>
          <w:szCs w:val="17"/>
        </w:rPr>
      </w:pPr>
      <w:r w:rsidRPr="00F75F4A">
        <w:rPr>
          <w:rFonts w:eastAsia="Times New Roman"/>
          <w:spacing w:val="-2"/>
          <w:szCs w:val="17"/>
        </w:rPr>
        <w:t>His Excellency the Governor in Executive Council has been pleased to appoint Julie-Anne Burgess to the position of State Courts Administrator commencing on 9 January 2021 and expiring on 8 July 2021 - pursuant to the provisions of the Courts Administration Act 1993.</w:t>
      </w:r>
    </w:p>
    <w:p w:rsidR="00F75F4A" w:rsidRPr="00F75F4A" w:rsidRDefault="00F75F4A" w:rsidP="00F75F4A">
      <w:pPr>
        <w:jc w:val="center"/>
        <w:rPr>
          <w:rFonts w:eastAsia="Times New Roman"/>
          <w:szCs w:val="17"/>
        </w:rPr>
      </w:pPr>
      <w:r w:rsidRPr="00F75F4A">
        <w:rPr>
          <w:rFonts w:eastAsia="Times New Roman"/>
          <w:szCs w:val="17"/>
        </w:rPr>
        <w:t>By command,</w:t>
      </w:r>
    </w:p>
    <w:p w:rsidR="00F75F4A" w:rsidRPr="00F75F4A" w:rsidRDefault="00F75F4A" w:rsidP="00F75F4A">
      <w:pPr>
        <w:spacing w:after="0"/>
        <w:jc w:val="right"/>
        <w:rPr>
          <w:smallCaps/>
          <w:szCs w:val="17"/>
        </w:rPr>
      </w:pPr>
      <w:r w:rsidRPr="00F75F4A">
        <w:rPr>
          <w:smallCaps/>
          <w:szCs w:val="17"/>
        </w:rPr>
        <w:t>Steven Spence Marshall</w:t>
      </w:r>
    </w:p>
    <w:p w:rsidR="00F75F4A" w:rsidRPr="00F75F4A" w:rsidRDefault="00F75F4A" w:rsidP="00F75F4A">
      <w:pPr>
        <w:spacing w:after="0"/>
        <w:jc w:val="right"/>
        <w:rPr>
          <w:szCs w:val="17"/>
        </w:rPr>
      </w:pPr>
      <w:r w:rsidRPr="00F75F4A">
        <w:rPr>
          <w:szCs w:val="17"/>
        </w:rPr>
        <w:t>Premier</w:t>
      </w:r>
    </w:p>
    <w:p w:rsidR="00F75F4A" w:rsidRPr="00F75F4A" w:rsidRDefault="00F75F4A" w:rsidP="00F75F4A">
      <w:pPr>
        <w:spacing w:after="0"/>
        <w:jc w:val="left"/>
        <w:rPr>
          <w:szCs w:val="17"/>
        </w:rPr>
      </w:pPr>
      <w:r w:rsidRPr="00F75F4A">
        <w:rPr>
          <w:szCs w:val="17"/>
        </w:rPr>
        <w:t>AGO0179-20CS</w:t>
      </w:r>
    </w:p>
    <w:p w:rsidR="00F75F4A" w:rsidRPr="00F75F4A" w:rsidRDefault="00F75F4A" w:rsidP="00F75F4A">
      <w:pPr>
        <w:pBdr>
          <w:top w:val="single" w:sz="4" w:space="1" w:color="auto"/>
        </w:pBdr>
        <w:spacing w:before="100" w:after="0" w:line="14" w:lineRule="exact"/>
        <w:jc w:val="center"/>
        <w:rPr>
          <w:rFonts w:ascii="Segoe UI Light" w:hAnsi="Segoe UI Light"/>
          <w:sz w:val="22"/>
        </w:rPr>
      </w:pPr>
    </w:p>
    <w:p w:rsidR="00F75F4A" w:rsidRPr="00F75F4A" w:rsidRDefault="00F75F4A" w:rsidP="00F75F4A">
      <w:pPr>
        <w:rPr>
          <w:rFonts w:eastAsia="Times New Roman"/>
          <w:szCs w:val="17"/>
        </w:rPr>
      </w:pPr>
    </w:p>
    <w:p w:rsidR="00F75F4A" w:rsidRPr="00F75F4A" w:rsidRDefault="00F75F4A" w:rsidP="00F75F4A">
      <w:pPr>
        <w:spacing w:after="0"/>
        <w:jc w:val="right"/>
        <w:rPr>
          <w:szCs w:val="17"/>
        </w:rPr>
      </w:pPr>
      <w:r w:rsidRPr="00F75F4A">
        <w:rPr>
          <w:szCs w:val="17"/>
        </w:rPr>
        <w:t>Department of the Premier and Cabinet</w:t>
      </w:r>
    </w:p>
    <w:p w:rsidR="00F75F4A" w:rsidRPr="00F75F4A" w:rsidRDefault="00F75F4A" w:rsidP="00F75F4A">
      <w:pPr>
        <w:jc w:val="right"/>
        <w:rPr>
          <w:szCs w:val="17"/>
        </w:rPr>
      </w:pPr>
      <w:r w:rsidRPr="00F75F4A">
        <w:rPr>
          <w:szCs w:val="17"/>
        </w:rPr>
        <w:t>Adelaide, 17 December 2020</w:t>
      </w:r>
    </w:p>
    <w:p w:rsidR="00F75F4A" w:rsidRPr="00F75F4A" w:rsidRDefault="00F75F4A" w:rsidP="00F75F4A">
      <w:pPr>
        <w:rPr>
          <w:rFonts w:eastAsia="Times New Roman"/>
          <w:szCs w:val="17"/>
        </w:rPr>
      </w:pPr>
      <w:r w:rsidRPr="00F75F4A">
        <w:rPr>
          <w:rFonts w:eastAsia="Times New Roman"/>
          <w:szCs w:val="17"/>
        </w:rPr>
        <w:t>His Excellency the Governor in Executive Council has been pleased to appoint Wendy Jill Wakefield to the position of Registrar of the South Australian Employment Tribunal for a term of 2 years commencing on 17 December 2020 and expiring on 16 December 2022 - pursuant to the provisions of the South Australian Employment Tribunal Act 2014.</w:t>
      </w:r>
    </w:p>
    <w:p w:rsidR="00F75F4A" w:rsidRPr="00F75F4A" w:rsidRDefault="00F75F4A" w:rsidP="00F75F4A">
      <w:pPr>
        <w:jc w:val="center"/>
        <w:rPr>
          <w:rFonts w:eastAsia="Times New Roman"/>
          <w:szCs w:val="17"/>
        </w:rPr>
      </w:pPr>
      <w:r w:rsidRPr="00F75F4A">
        <w:rPr>
          <w:rFonts w:eastAsia="Times New Roman"/>
          <w:szCs w:val="17"/>
        </w:rPr>
        <w:t>By command,</w:t>
      </w:r>
    </w:p>
    <w:p w:rsidR="00F75F4A" w:rsidRPr="00F75F4A" w:rsidRDefault="00F75F4A" w:rsidP="00F75F4A">
      <w:pPr>
        <w:spacing w:after="0"/>
        <w:jc w:val="right"/>
        <w:rPr>
          <w:smallCaps/>
          <w:szCs w:val="17"/>
        </w:rPr>
      </w:pPr>
      <w:r w:rsidRPr="00F75F4A">
        <w:rPr>
          <w:smallCaps/>
          <w:szCs w:val="17"/>
        </w:rPr>
        <w:t>Steven Spence Marshall</w:t>
      </w:r>
    </w:p>
    <w:p w:rsidR="00F75F4A" w:rsidRPr="00F75F4A" w:rsidRDefault="00F75F4A" w:rsidP="00F75F4A">
      <w:pPr>
        <w:spacing w:after="0"/>
        <w:jc w:val="right"/>
        <w:rPr>
          <w:szCs w:val="17"/>
        </w:rPr>
      </w:pPr>
      <w:r w:rsidRPr="00F75F4A">
        <w:rPr>
          <w:szCs w:val="17"/>
        </w:rPr>
        <w:t>Premier</w:t>
      </w:r>
    </w:p>
    <w:p w:rsidR="00F75F4A" w:rsidRPr="00F75F4A" w:rsidRDefault="00F75F4A" w:rsidP="00F75F4A">
      <w:pPr>
        <w:spacing w:after="0"/>
        <w:jc w:val="left"/>
        <w:rPr>
          <w:szCs w:val="17"/>
        </w:rPr>
      </w:pPr>
      <w:r w:rsidRPr="00F75F4A">
        <w:rPr>
          <w:szCs w:val="17"/>
        </w:rPr>
        <w:t>T&amp;F20/111CS</w:t>
      </w:r>
    </w:p>
    <w:p w:rsidR="00F75F4A" w:rsidRPr="00F75F4A" w:rsidRDefault="00F75F4A" w:rsidP="00F75F4A">
      <w:pPr>
        <w:pBdr>
          <w:top w:val="single" w:sz="4" w:space="1" w:color="auto"/>
        </w:pBdr>
        <w:spacing w:before="100" w:after="0" w:line="14" w:lineRule="exact"/>
        <w:jc w:val="center"/>
        <w:rPr>
          <w:rFonts w:ascii="Segoe UI Light" w:hAnsi="Segoe UI Light"/>
          <w:sz w:val="22"/>
        </w:rPr>
      </w:pPr>
    </w:p>
    <w:p w:rsidR="00F75F4A" w:rsidRPr="00F75F4A" w:rsidRDefault="00F75F4A" w:rsidP="00F75F4A">
      <w:pPr>
        <w:rPr>
          <w:rFonts w:eastAsia="Times New Roman"/>
          <w:szCs w:val="17"/>
        </w:rPr>
      </w:pPr>
    </w:p>
    <w:p w:rsidR="00F75F4A" w:rsidRPr="00F75F4A" w:rsidRDefault="00F75F4A" w:rsidP="00F75F4A">
      <w:pPr>
        <w:spacing w:after="0"/>
        <w:jc w:val="right"/>
        <w:rPr>
          <w:szCs w:val="17"/>
        </w:rPr>
      </w:pPr>
      <w:r w:rsidRPr="00F75F4A">
        <w:rPr>
          <w:szCs w:val="17"/>
        </w:rPr>
        <w:t>Department of the Premier and Cabinet</w:t>
      </w:r>
    </w:p>
    <w:p w:rsidR="00F75F4A" w:rsidRPr="00F75F4A" w:rsidRDefault="00F75F4A" w:rsidP="00F75F4A">
      <w:pPr>
        <w:jc w:val="right"/>
        <w:rPr>
          <w:szCs w:val="17"/>
        </w:rPr>
      </w:pPr>
      <w:r w:rsidRPr="00F75F4A">
        <w:rPr>
          <w:szCs w:val="17"/>
        </w:rPr>
        <w:t>Adelaide, 17 December 2020</w:t>
      </w:r>
    </w:p>
    <w:p w:rsidR="00F75F4A" w:rsidRPr="00F75F4A" w:rsidRDefault="00F75F4A" w:rsidP="00F75F4A">
      <w:pPr>
        <w:rPr>
          <w:rFonts w:eastAsia="Times New Roman"/>
          <w:szCs w:val="17"/>
        </w:rPr>
      </w:pPr>
      <w:r w:rsidRPr="00F75F4A">
        <w:rPr>
          <w:rFonts w:eastAsia="Times New Roman"/>
          <w:szCs w:val="17"/>
        </w:rPr>
        <w:t>His Excellency the Governor in Executive Council has been pleased to appoint Caroline Mealor, Chief Executive, Attorney-General’s Department, as the State Coordinator-General for the purposes of the Renewing our Streets and Suburbs Stimulus Program and to perform any other functions, or exercise any other powers conferred on the State Coordinator-General for a term commencing on 1 January 2021 and expiring on the day on which regulation 3(6) of the Development Regulations 2008 is repealed - pursuant to Section 68 of the Constitution Act 1934.</w:t>
      </w:r>
    </w:p>
    <w:p w:rsidR="00F75F4A" w:rsidRPr="00F75F4A" w:rsidRDefault="00F75F4A" w:rsidP="00F75F4A">
      <w:pPr>
        <w:jc w:val="center"/>
        <w:rPr>
          <w:rFonts w:eastAsia="Times New Roman"/>
          <w:szCs w:val="17"/>
        </w:rPr>
      </w:pPr>
      <w:r w:rsidRPr="00F75F4A">
        <w:rPr>
          <w:rFonts w:eastAsia="Times New Roman"/>
          <w:szCs w:val="17"/>
        </w:rPr>
        <w:t>By command,</w:t>
      </w:r>
    </w:p>
    <w:p w:rsidR="00F75F4A" w:rsidRPr="00F75F4A" w:rsidRDefault="00F75F4A" w:rsidP="00F75F4A">
      <w:pPr>
        <w:spacing w:after="0"/>
        <w:jc w:val="right"/>
        <w:rPr>
          <w:smallCaps/>
          <w:szCs w:val="17"/>
        </w:rPr>
      </w:pPr>
      <w:r w:rsidRPr="00F75F4A">
        <w:rPr>
          <w:smallCaps/>
          <w:szCs w:val="17"/>
        </w:rPr>
        <w:t>Steven Spence Marshall</w:t>
      </w:r>
    </w:p>
    <w:p w:rsidR="00F75F4A" w:rsidRPr="00F75F4A" w:rsidRDefault="00F75F4A" w:rsidP="00F75F4A">
      <w:pPr>
        <w:spacing w:after="0"/>
        <w:jc w:val="right"/>
        <w:rPr>
          <w:szCs w:val="17"/>
        </w:rPr>
      </w:pPr>
      <w:r w:rsidRPr="00F75F4A">
        <w:rPr>
          <w:szCs w:val="17"/>
        </w:rPr>
        <w:t>Premier</w:t>
      </w:r>
    </w:p>
    <w:p w:rsidR="00F75F4A" w:rsidRPr="00F75F4A" w:rsidRDefault="00F75F4A" w:rsidP="00F75F4A">
      <w:pPr>
        <w:spacing w:after="0"/>
        <w:jc w:val="left"/>
        <w:rPr>
          <w:szCs w:val="17"/>
        </w:rPr>
      </w:pPr>
      <w:r w:rsidRPr="00F75F4A">
        <w:rPr>
          <w:szCs w:val="17"/>
        </w:rPr>
        <w:t>MPL0035-20CS</w:t>
      </w:r>
    </w:p>
    <w:p w:rsidR="00F75F4A" w:rsidRPr="00F75F4A" w:rsidRDefault="00F75F4A" w:rsidP="00F75F4A">
      <w:pPr>
        <w:pBdr>
          <w:top w:val="single" w:sz="4" w:space="1" w:color="auto"/>
        </w:pBdr>
        <w:spacing w:before="100" w:after="0" w:line="14" w:lineRule="exact"/>
        <w:jc w:val="center"/>
        <w:rPr>
          <w:rFonts w:ascii="Segoe UI Light" w:hAnsi="Segoe UI Light"/>
          <w:sz w:val="22"/>
        </w:rPr>
      </w:pPr>
    </w:p>
    <w:p w:rsidR="00F75F4A" w:rsidRPr="00F75F4A" w:rsidRDefault="00F75F4A" w:rsidP="00F75F4A">
      <w:pPr>
        <w:rPr>
          <w:rFonts w:eastAsia="Times New Roman"/>
          <w:szCs w:val="17"/>
        </w:rPr>
      </w:pPr>
    </w:p>
    <w:p w:rsidR="00F75F4A" w:rsidRPr="00F75F4A" w:rsidRDefault="00F75F4A" w:rsidP="00F75F4A">
      <w:pPr>
        <w:spacing w:after="0"/>
        <w:jc w:val="right"/>
        <w:rPr>
          <w:szCs w:val="17"/>
        </w:rPr>
      </w:pPr>
      <w:r w:rsidRPr="00F75F4A">
        <w:rPr>
          <w:szCs w:val="17"/>
        </w:rPr>
        <w:t>Department of the Premier and Cabinet</w:t>
      </w:r>
    </w:p>
    <w:p w:rsidR="00F75F4A" w:rsidRPr="00F75F4A" w:rsidRDefault="00F75F4A" w:rsidP="00F75F4A">
      <w:pPr>
        <w:jc w:val="right"/>
        <w:rPr>
          <w:szCs w:val="17"/>
        </w:rPr>
      </w:pPr>
      <w:r w:rsidRPr="00F75F4A">
        <w:rPr>
          <w:szCs w:val="17"/>
        </w:rPr>
        <w:t>Adelaide, 17 December 2020</w:t>
      </w:r>
    </w:p>
    <w:p w:rsidR="00F75F4A" w:rsidRPr="00F75F4A" w:rsidRDefault="00F75F4A" w:rsidP="00F75F4A">
      <w:pPr>
        <w:rPr>
          <w:rFonts w:eastAsia="Times New Roman"/>
          <w:spacing w:val="-2"/>
          <w:szCs w:val="17"/>
        </w:rPr>
      </w:pPr>
      <w:r w:rsidRPr="00F75F4A">
        <w:rPr>
          <w:rFonts w:eastAsia="Times New Roman"/>
          <w:spacing w:val="-2"/>
          <w:szCs w:val="17"/>
        </w:rPr>
        <w:t>His Excellency the Governor in Executive Council has been pleased to appoint Sally Janet Smith, Jason Cattonar and Robert James Kleeman as Assistant State Coordinator-Generals for a term commencing on 1 January 2021 and expiring on the day on which regulation 3(6) of the Development Regulations 2008 is repealed - pursuant to Section 68 of the Constitution Act 1934.</w:t>
      </w:r>
    </w:p>
    <w:p w:rsidR="00F75F4A" w:rsidRPr="00F75F4A" w:rsidRDefault="00F75F4A" w:rsidP="00F75F4A">
      <w:pPr>
        <w:jc w:val="center"/>
        <w:rPr>
          <w:rFonts w:eastAsia="Times New Roman"/>
          <w:szCs w:val="17"/>
        </w:rPr>
      </w:pPr>
      <w:r w:rsidRPr="00F75F4A">
        <w:rPr>
          <w:rFonts w:eastAsia="Times New Roman"/>
          <w:szCs w:val="17"/>
        </w:rPr>
        <w:t>By command,</w:t>
      </w:r>
    </w:p>
    <w:p w:rsidR="00F75F4A" w:rsidRPr="00F75F4A" w:rsidRDefault="00F75F4A" w:rsidP="00F75F4A">
      <w:pPr>
        <w:spacing w:after="0"/>
        <w:jc w:val="right"/>
        <w:rPr>
          <w:smallCaps/>
          <w:szCs w:val="17"/>
        </w:rPr>
      </w:pPr>
      <w:r w:rsidRPr="00F75F4A">
        <w:rPr>
          <w:smallCaps/>
          <w:szCs w:val="17"/>
        </w:rPr>
        <w:t>Steven Spence Marshall</w:t>
      </w:r>
    </w:p>
    <w:p w:rsidR="00F75F4A" w:rsidRPr="00F75F4A" w:rsidRDefault="00F75F4A" w:rsidP="00F75F4A">
      <w:pPr>
        <w:spacing w:after="0"/>
        <w:jc w:val="right"/>
        <w:rPr>
          <w:szCs w:val="17"/>
        </w:rPr>
      </w:pPr>
      <w:r w:rsidRPr="00F75F4A">
        <w:rPr>
          <w:szCs w:val="17"/>
        </w:rPr>
        <w:t>Premier</w:t>
      </w:r>
    </w:p>
    <w:p w:rsidR="00F75F4A" w:rsidRPr="00F75F4A" w:rsidRDefault="00F75F4A" w:rsidP="00F75F4A">
      <w:pPr>
        <w:spacing w:after="0"/>
        <w:jc w:val="left"/>
        <w:rPr>
          <w:szCs w:val="17"/>
        </w:rPr>
      </w:pPr>
      <w:r w:rsidRPr="00F75F4A">
        <w:rPr>
          <w:szCs w:val="17"/>
        </w:rPr>
        <w:t>MPL0035-20CS</w:t>
      </w:r>
    </w:p>
    <w:p w:rsidR="00F75F4A" w:rsidRPr="00F75F4A" w:rsidRDefault="00F75F4A" w:rsidP="00F75F4A">
      <w:pPr>
        <w:pBdr>
          <w:top w:val="single" w:sz="4" w:space="1" w:color="auto"/>
        </w:pBdr>
        <w:spacing w:before="100" w:after="0" w:line="14" w:lineRule="exact"/>
        <w:jc w:val="center"/>
        <w:rPr>
          <w:rFonts w:ascii="Segoe UI Light" w:hAnsi="Segoe UI Light"/>
          <w:sz w:val="22"/>
        </w:rPr>
      </w:pPr>
    </w:p>
    <w:p w:rsidR="00F75F4A" w:rsidRPr="00F75F4A" w:rsidRDefault="00F75F4A" w:rsidP="00F75F4A">
      <w:pPr>
        <w:rPr>
          <w:rFonts w:eastAsia="Times New Roman"/>
          <w:szCs w:val="17"/>
        </w:rPr>
      </w:pPr>
    </w:p>
    <w:p w:rsidR="00F75F4A" w:rsidRPr="00F75F4A" w:rsidRDefault="00F75F4A" w:rsidP="00F75F4A">
      <w:pPr>
        <w:spacing w:after="0"/>
        <w:jc w:val="right"/>
        <w:rPr>
          <w:szCs w:val="17"/>
        </w:rPr>
      </w:pPr>
      <w:r w:rsidRPr="00F75F4A">
        <w:rPr>
          <w:szCs w:val="17"/>
        </w:rPr>
        <w:t>Department of the Premier and Cabinet</w:t>
      </w:r>
    </w:p>
    <w:p w:rsidR="00F75F4A" w:rsidRPr="00F75F4A" w:rsidRDefault="00F75F4A" w:rsidP="00F75F4A">
      <w:pPr>
        <w:jc w:val="right"/>
        <w:rPr>
          <w:szCs w:val="17"/>
        </w:rPr>
      </w:pPr>
      <w:r w:rsidRPr="00F75F4A">
        <w:rPr>
          <w:szCs w:val="17"/>
        </w:rPr>
        <w:t>Adelaide, 17 December 2020</w:t>
      </w:r>
    </w:p>
    <w:p w:rsidR="00F75F4A" w:rsidRPr="00F75F4A" w:rsidRDefault="00F75F4A" w:rsidP="00F75F4A">
      <w:pPr>
        <w:rPr>
          <w:rFonts w:eastAsia="Times New Roman"/>
          <w:szCs w:val="17"/>
        </w:rPr>
      </w:pPr>
      <w:r w:rsidRPr="00F75F4A">
        <w:rPr>
          <w:rFonts w:eastAsia="Times New Roman"/>
          <w:szCs w:val="17"/>
        </w:rPr>
        <w:t>His Excellency the Governor in Executive Council has revoked the appointments of James White McDowell and Grace Love as Clerks of Executive Council effective from 17 December 2020 - pursuant to the Letters Patent, section 68 of the Constitution Act 1934 and section 36 of the Acts Interpretation Act 1915.</w:t>
      </w:r>
    </w:p>
    <w:p w:rsidR="00F75F4A" w:rsidRPr="00F75F4A" w:rsidRDefault="00F75F4A" w:rsidP="00F75F4A">
      <w:pPr>
        <w:jc w:val="center"/>
        <w:rPr>
          <w:rFonts w:eastAsia="Times New Roman"/>
          <w:szCs w:val="17"/>
        </w:rPr>
      </w:pPr>
      <w:r w:rsidRPr="00F75F4A">
        <w:rPr>
          <w:rFonts w:eastAsia="Times New Roman"/>
          <w:szCs w:val="17"/>
        </w:rPr>
        <w:t>By command,</w:t>
      </w:r>
    </w:p>
    <w:p w:rsidR="00F75F4A" w:rsidRPr="00F75F4A" w:rsidRDefault="00F75F4A" w:rsidP="00F75F4A">
      <w:pPr>
        <w:spacing w:after="0"/>
        <w:jc w:val="right"/>
        <w:rPr>
          <w:smallCaps/>
          <w:szCs w:val="17"/>
        </w:rPr>
      </w:pPr>
      <w:r w:rsidRPr="00F75F4A">
        <w:rPr>
          <w:smallCaps/>
          <w:szCs w:val="17"/>
        </w:rPr>
        <w:t>Steven Spence Marshall</w:t>
      </w:r>
    </w:p>
    <w:p w:rsidR="00F75F4A" w:rsidRPr="00F75F4A" w:rsidRDefault="00F75F4A" w:rsidP="00F75F4A">
      <w:pPr>
        <w:spacing w:after="0"/>
        <w:jc w:val="right"/>
        <w:rPr>
          <w:szCs w:val="17"/>
        </w:rPr>
      </w:pPr>
      <w:r w:rsidRPr="00F75F4A">
        <w:rPr>
          <w:szCs w:val="17"/>
        </w:rPr>
        <w:t>Premier</w:t>
      </w:r>
    </w:p>
    <w:p w:rsidR="00F75F4A" w:rsidRPr="00F75F4A" w:rsidRDefault="00F75F4A" w:rsidP="00F75F4A">
      <w:pPr>
        <w:spacing w:after="0"/>
        <w:jc w:val="left"/>
        <w:rPr>
          <w:szCs w:val="17"/>
        </w:rPr>
      </w:pPr>
      <w:r w:rsidRPr="00F75F4A">
        <w:rPr>
          <w:szCs w:val="17"/>
        </w:rPr>
        <w:t>DPC20/118CS</w:t>
      </w:r>
    </w:p>
    <w:p w:rsidR="00F75F4A" w:rsidRPr="00F75F4A" w:rsidRDefault="00F75F4A" w:rsidP="00F75F4A">
      <w:pPr>
        <w:pBdr>
          <w:bottom w:val="single" w:sz="4" w:space="1" w:color="auto"/>
        </w:pBdr>
        <w:spacing w:after="0" w:line="52" w:lineRule="exact"/>
        <w:jc w:val="center"/>
        <w:rPr>
          <w:rFonts w:ascii="Segoe UI Light" w:hAnsi="Segoe UI Light"/>
          <w:sz w:val="22"/>
        </w:rPr>
      </w:pPr>
    </w:p>
    <w:p w:rsidR="00F75F4A" w:rsidRPr="00F75F4A" w:rsidRDefault="00F75F4A" w:rsidP="00F75F4A">
      <w:pPr>
        <w:pBdr>
          <w:top w:val="single" w:sz="4" w:space="1" w:color="auto"/>
        </w:pBdr>
        <w:spacing w:before="34" w:after="0" w:line="14" w:lineRule="exact"/>
        <w:jc w:val="center"/>
        <w:rPr>
          <w:rFonts w:ascii="Segoe UI Light" w:hAnsi="Segoe UI Light"/>
          <w:sz w:val="22"/>
        </w:rPr>
      </w:pPr>
    </w:p>
    <w:p w:rsidR="00F75F4A" w:rsidRPr="00F75F4A" w:rsidRDefault="00F75F4A" w:rsidP="00F75F4A">
      <w:pPr>
        <w:rPr>
          <w:rFonts w:eastAsia="Times New Roman"/>
          <w:szCs w:val="17"/>
        </w:rPr>
      </w:pPr>
    </w:p>
    <w:p w:rsidR="00694D0A" w:rsidRPr="00046B75" w:rsidRDefault="000249AC" w:rsidP="00046B75">
      <w:pPr>
        <w:pStyle w:val="Heading2"/>
      </w:pPr>
      <w:r>
        <w:br w:type="page"/>
      </w:r>
      <w:bookmarkStart w:id="7" w:name="_Toc33707979"/>
      <w:bookmarkStart w:id="8" w:name="_Toc33708150"/>
      <w:bookmarkStart w:id="9" w:name="_Toc59098921"/>
      <w:r w:rsidR="00694D0A" w:rsidRPr="00046B75">
        <w:lastRenderedPageBreak/>
        <w:t>Proclamations</w:t>
      </w:r>
      <w:bookmarkEnd w:id="7"/>
      <w:bookmarkEnd w:id="8"/>
      <w:bookmarkEnd w:id="9"/>
    </w:p>
    <w:p w:rsidR="00B422DF" w:rsidRPr="00B422DF" w:rsidRDefault="00B422DF" w:rsidP="00B422DF">
      <w:pPr>
        <w:keepLines/>
        <w:autoSpaceDE w:val="0"/>
        <w:autoSpaceDN w:val="0"/>
        <w:adjustRightInd w:val="0"/>
        <w:spacing w:before="240" w:after="0" w:line="240" w:lineRule="auto"/>
        <w:jc w:val="left"/>
        <w:rPr>
          <w:rFonts w:eastAsia="Times New Roman"/>
          <w:color w:val="000000"/>
          <w:sz w:val="28"/>
          <w:szCs w:val="28"/>
          <w:lang w:eastAsia="en-AU"/>
        </w:rPr>
      </w:pPr>
      <w:r w:rsidRPr="00B422DF">
        <w:rPr>
          <w:rFonts w:eastAsia="Times New Roman"/>
          <w:color w:val="000000"/>
          <w:sz w:val="28"/>
          <w:szCs w:val="28"/>
          <w:lang w:eastAsia="en-AU"/>
        </w:rPr>
        <w:t>South Australia</w:t>
      </w:r>
    </w:p>
    <w:p w:rsidR="00B422DF" w:rsidRPr="00B422DF" w:rsidRDefault="00B422DF" w:rsidP="00046B75">
      <w:pPr>
        <w:pStyle w:val="Heading3"/>
        <w:rPr>
          <w:lang w:eastAsia="en-AU"/>
        </w:rPr>
      </w:pPr>
      <w:bookmarkStart w:id="10" w:name="_Toc59098922"/>
      <w:r w:rsidRPr="00B422DF">
        <w:rPr>
          <w:lang w:eastAsia="en-AU"/>
        </w:rPr>
        <w:t>Disability Inclusion Act (Commencement) Proclamation 2020</w:t>
      </w:r>
      <w:bookmarkEnd w:id="10"/>
    </w:p>
    <w:p w:rsidR="00B422DF" w:rsidRPr="00B422DF" w:rsidRDefault="00B422DF" w:rsidP="00B422D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422DF">
        <w:rPr>
          <w:rFonts w:eastAsia="Times New Roman"/>
          <w:b/>
          <w:bCs/>
          <w:color w:val="000000"/>
          <w:sz w:val="26"/>
          <w:szCs w:val="26"/>
          <w:lang w:eastAsia="en-AU"/>
        </w:rPr>
        <w:t>1—Short title</w:t>
      </w:r>
    </w:p>
    <w:p w:rsidR="00B422DF" w:rsidRPr="00B422DF" w:rsidRDefault="00B422DF" w:rsidP="00B422DF">
      <w:pPr>
        <w:keepLines/>
        <w:autoSpaceDE w:val="0"/>
        <w:autoSpaceDN w:val="0"/>
        <w:adjustRightInd w:val="0"/>
        <w:spacing w:before="120" w:after="0" w:line="240" w:lineRule="auto"/>
        <w:ind w:left="794"/>
        <w:jc w:val="left"/>
        <w:rPr>
          <w:rFonts w:eastAsia="Times New Roman"/>
          <w:color w:val="000000"/>
          <w:sz w:val="23"/>
          <w:szCs w:val="23"/>
          <w:lang w:eastAsia="en-AU"/>
        </w:rPr>
      </w:pPr>
      <w:r w:rsidRPr="00B422DF">
        <w:rPr>
          <w:rFonts w:eastAsia="Times New Roman"/>
          <w:color w:val="000000"/>
          <w:sz w:val="23"/>
          <w:szCs w:val="23"/>
          <w:lang w:eastAsia="en-AU"/>
        </w:rPr>
        <w:t xml:space="preserve">This proclamation may be cited as the </w:t>
      </w:r>
      <w:r w:rsidRPr="00B422DF">
        <w:rPr>
          <w:rFonts w:eastAsia="Times New Roman"/>
          <w:i/>
          <w:iCs/>
          <w:color w:val="000000"/>
          <w:sz w:val="23"/>
          <w:szCs w:val="23"/>
          <w:lang w:eastAsia="en-AU"/>
        </w:rPr>
        <w:t>Disability Inclusion Act (Commencement) Proclamation 2020</w:t>
      </w:r>
      <w:r w:rsidRPr="00B422DF">
        <w:rPr>
          <w:rFonts w:eastAsia="Times New Roman"/>
          <w:color w:val="000000"/>
          <w:sz w:val="23"/>
          <w:szCs w:val="23"/>
          <w:lang w:eastAsia="en-AU"/>
        </w:rPr>
        <w:t>.</w:t>
      </w:r>
    </w:p>
    <w:p w:rsidR="00B422DF" w:rsidRPr="00B422DF" w:rsidRDefault="00B422DF" w:rsidP="00B422D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422DF">
        <w:rPr>
          <w:rFonts w:eastAsia="Times New Roman"/>
          <w:b/>
          <w:bCs/>
          <w:color w:val="000000"/>
          <w:sz w:val="26"/>
          <w:szCs w:val="26"/>
          <w:lang w:eastAsia="en-AU"/>
        </w:rPr>
        <w:t>2—Commencement of Schedule 1 Part 3 of Act</w:t>
      </w:r>
    </w:p>
    <w:p w:rsidR="00B422DF" w:rsidRPr="00B422DF" w:rsidRDefault="00B422DF" w:rsidP="00B422DF">
      <w:pPr>
        <w:keepLines/>
        <w:autoSpaceDE w:val="0"/>
        <w:autoSpaceDN w:val="0"/>
        <w:adjustRightInd w:val="0"/>
        <w:spacing w:before="120" w:after="0" w:line="240" w:lineRule="auto"/>
        <w:ind w:left="794"/>
        <w:jc w:val="left"/>
        <w:rPr>
          <w:rFonts w:eastAsia="Times New Roman"/>
          <w:color w:val="000000"/>
          <w:sz w:val="23"/>
          <w:szCs w:val="23"/>
          <w:lang w:eastAsia="en-AU"/>
        </w:rPr>
      </w:pPr>
      <w:r w:rsidRPr="00B422DF">
        <w:rPr>
          <w:rFonts w:eastAsia="Times New Roman"/>
          <w:color w:val="000000"/>
          <w:sz w:val="23"/>
          <w:szCs w:val="23"/>
          <w:lang w:eastAsia="en-AU"/>
        </w:rPr>
        <w:t xml:space="preserve">Schedule 1 Part 3 of the </w:t>
      </w:r>
      <w:hyperlink r:id="rId18" w:history="1">
        <w:r w:rsidRPr="00B422DF">
          <w:rPr>
            <w:rFonts w:eastAsia="Times New Roman"/>
            <w:i/>
            <w:iCs/>
            <w:color w:val="000000"/>
            <w:sz w:val="23"/>
            <w:szCs w:val="23"/>
            <w:lang w:eastAsia="en-AU"/>
          </w:rPr>
          <w:t>Disability Inclusion Act 2018</w:t>
        </w:r>
      </w:hyperlink>
      <w:r w:rsidRPr="00B422DF">
        <w:rPr>
          <w:rFonts w:eastAsia="Times New Roman"/>
          <w:color w:val="000000"/>
          <w:sz w:val="23"/>
          <w:szCs w:val="23"/>
          <w:lang w:eastAsia="en-AU"/>
        </w:rPr>
        <w:t xml:space="preserve"> (No 1 of 2018) comes into operation on 1 February 2021.</w:t>
      </w:r>
    </w:p>
    <w:p w:rsidR="00B422DF" w:rsidRPr="00B422DF" w:rsidRDefault="00B422DF" w:rsidP="00B422DF">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B422DF">
        <w:rPr>
          <w:rFonts w:eastAsia="Times New Roman"/>
          <w:b/>
          <w:bCs/>
          <w:color w:val="000000"/>
          <w:sz w:val="26"/>
          <w:szCs w:val="26"/>
          <w:lang w:eastAsia="en-AU"/>
        </w:rPr>
        <w:t>Made by the Governor</w:t>
      </w:r>
    </w:p>
    <w:p w:rsidR="00B422DF" w:rsidRPr="00B422DF" w:rsidRDefault="00B422DF" w:rsidP="00B422DF">
      <w:pPr>
        <w:keepNext/>
        <w:keepLines/>
        <w:autoSpaceDE w:val="0"/>
        <w:autoSpaceDN w:val="0"/>
        <w:adjustRightInd w:val="0"/>
        <w:spacing w:before="120" w:after="0" w:line="240" w:lineRule="auto"/>
        <w:jc w:val="left"/>
        <w:rPr>
          <w:rFonts w:eastAsia="Times New Roman"/>
          <w:color w:val="000000"/>
          <w:sz w:val="23"/>
          <w:szCs w:val="23"/>
          <w:lang w:eastAsia="en-AU"/>
        </w:rPr>
      </w:pPr>
      <w:r w:rsidRPr="00B422DF">
        <w:rPr>
          <w:rFonts w:eastAsia="Times New Roman"/>
          <w:color w:val="000000"/>
          <w:sz w:val="23"/>
          <w:szCs w:val="23"/>
          <w:lang w:eastAsia="en-AU"/>
        </w:rPr>
        <w:t>with the advice and consent of the Executive Council</w:t>
      </w:r>
    </w:p>
    <w:p w:rsidR="00B422DF" w:rsidRDefault="00B422DF" w:rsidP="00B422DF">
      <w:pPr>
        <w:keepNext/>
        <w:keepLines/>
        <w:autoSpaceDE w:val="0"/>
        <w:autoSpaceDN w:val="0"/>
        <w:adjustRightInd w:val="0"/>
        <w:spacing w:line="240" w:lineRule="auto"/>
        <w:jc w:val="left"/>
        <w:rPr>
          <w:rFonts w:eastAsia="Times New Roman"/>
          <w:color w:val="000000"/>
          <w:sz w:val="23"/>
          <w:szCs w:val="23"/>
          <w:lang w:eastAsia="en-AU"/>
        </w:rPr>
      </w:pPr>
      <w:r w:rsidRPr="00B422DF">
        <w:rPr>
          <w:rFonts w:eastAsia="Times New Roman"/>
          <w:color w:val="000000"/>
          <w:sz w:val="23"/>
          <w:szCs w:val="23"/>
          <w:lang w:eastAsia="en-AU"/>
        </w:rPr>
        <w:t>on 17 December 2020</w:t>
      </w:r>
    </w:p>
    <w:p w:rsidR="00B422DF" w:rsidRDefault="00B422DF" w:rsidP="00B422DF">
      <w:pPr>
        <w:pBdr>
          <w:top w:val="single" w:sz="4" w:space="1" w:color="auto"/>
        </w:pBdr>
        <w:autoSpaceDE w:val="0"/>
        <w:autoSpaceDN w:val="0"/>
        <w:adjustRightInd w:val="0"/>
        <w:spacing w:before="100" w:after="0" w:line="14" w:lineRule="exact"/>
        <w:jc w:val="center"/>
        <w:rPr>
          <w:rFonts w:eastAsia="Times New Roman"/>
          <w:color w:val="000000"/>
          <w:sz w:val="23"/>
          <w:szCs w:val="23"/>
          <w:lang w:eastAsia="en-AU"/>
        </w:rPr>
      </w:pPr>
    </w:p>
    <w:p w:rsidR="00694D0A" w:rsidRDefault="00694D0A" w:rsidP="0016463B">
      <w:pPr>
        <w:pStyle w:val="GG-body"/>
        <w:rPr>
          <w:lang w:val="en-US"/>
        </w:rPr>
      </w:pPr>
    </w:p>
    <w:p w:rsidR="00E440BE" w:rsidRPr="00E440BE" w:rsidRDefault="00E440BE" w:rsidP="00E440BE">
      <w:pPr>
        <w:keepLines/>
        <w:autoSpaceDE w:val="0"/>
        <w:autoSpaceDN w:val="0"/>
        <w:adjustRightInd w:val="0"/>
        <w:spacing w:before="240" w:after="0" w:line="240" w:lineRule="auto"/>
        <w:jc w:val="left"/>
        <w:rPr>
          <w:rFonts w:eastAsia="Times New Roman"/>
          <w:color w:val="000000"/>
          <w:sz w:val="28"/>
          <w:szCs w:val="28"/>
          <w:lang w:eastAsia="en-AU"/>
        </w:rPr>
      </w:pPr>
      <w:r w:rsidRPr="00E440BE">
        <w:rPr>
          <w:rFonts w:eastAsia="Times New Roman"/>
          <w:color w:val="000000"/>
          <w:sz w:val="28"/>
          <w:szCs w:val="28"/>
          <w:lang w:eastAsia="en-AU"/>
        </w:rPr>
        <w:t>South Australia</w:t>
      </w:r>
    </w:p>
    <w:p w:rsidR="00E440BE" w:rsidRPr="00E440BE" w:rsidRDefault="00E440BE" w:rsidP="00046B75">
      <w:pPr>
        <w:pStyle w:val="Heading3"/>
        <w:rPr>
          <w:lang w:eastAsia="en-AU"/>
        </w:rPr>
      </w:pPr>
      <w:bookmarkStart w:id="11" w:name="_Toc59098923"/>
      <w:r w:rsidRPr="00E440BE">
        <w:rPr>
          <w:lang w:eastAsia="en-AU"/>
        </w:rPr>
        <w:t>Health Care (Safe Access) Amendment Act (Commencement) Proclamation 2020</w:t>
      </w:r>
      <w:bookmarkEnd w:id="11"/>
    </w:p>
    <w:p w:rsidR="00E440BE" w:rsidRPr="00E440BE" w:rsidRDefault="00E440BE" w:rsidP="00E440B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440BE">
        <w:rPr>
          <w:rFonts w:eastAsia="Times New Roman"/>
          <w:b/>
          <w:bCs/>
          <w:color w:val="000000"/>
          <w:sz w:val="26"/>
          <w:szCs w:val="26"/>
          <w:lang w:eastAsia="en-AU"/>
        </w:rPr>
        <w:t>1—Short title</w:t>
      </w:r>
    </w:p>
    <w:p w:rsidR="00E440BE" w:rsidRPr="00E440BE" w:rsidRDefault="00E440BE" w:rsidP="00E440BE">
      <w:pPr>
        <w:keepLines/>
        <w:autoSpaceDE w:val="0"/>
        <w:autoSpaceDN w:val="0"/>
        <w:adjustRightInd w:val="0"/>
        <w:spacing w:before="120" w:after="0" w:line="240" w:lineRule="auto"/>
        <w:ind w:left="794"/>
        <w:jc w:val="left"/>
        <w:rPr>
          <w:rFonts w:eastAsia="Times New Roman"/>
          <w:color w:val="000000"/>
          <w:sz w:val="23"/>
          <w:szCs w:val="23"/>
          <w:lang w:eastAsia="en-AU"/>
        </w:rPr>
      </w:pPr>
      <w:r w:rsidRPr="00E440BE">
        <w:rPr>
          <w:rFonts w:eastAsia="Times New Roman"/>
          <w:color w:val="000000"/>
          <w:sz w:val="23"/>
          <w:szCs w:val="23"/>
          <w:lang w:eastAsia="en-AU"/>
        </w:rPr>
        <w:t xml:space="preserve">This proclamation may be cited as the </w:t>
      </w:r>
      <w:r w:rsidRPr="00E440BE">
        <w:rPr>
          <w:rFonts w:eastAsia="Times New Roman"/>
          <w:i/>
          <w:iCs/>
          <w:color w:val="000000"/>
          <w:sz w:val="23"/>
          <w:szCs w:val="23"/>
          <w:lang w:eastAsia="en-AU"/>
        </w:rPr>
        <w:t>Health Care (Safe Access) Amendment Act (Commencement) Proclamation 2020</w:t>
      </w:r>
      <w:r w:rsidRPr="00E440BE">
        <w:rPr>
          <w:rFonts w:eastAsia="Times New Roman"/>
          <w:color w:val="000000"/>
          <w:sz w:val="23"/>
          <w:szCs w:val="23"/>
          <w:lang w:eastAsia="en-AU"/>
        </w:rPr>
        <w:t>.</w:t>
      </w:r>
    </w:p>
    <w:p w:rsidR="00E440BE" w:rsidRPr="00E440BE" w:rsidRDefault="00E440BE" w:rsidP="00E440B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440BE">
        <w:rPr>
          <w:rFonts w:eastAsia="Times New Roman"/>
          <w:b/>
          <w:bCs/>
          <w:color w:val="000000"/>
          <w:sz w:val="26"/>
          <w:szCs w:val="26"/>
          <w:lang w:eastAsia="en-AU"/>
        </w:rPr>
        <w:t>2—Commencement of Act</w:t>
      </w:r>
    </w:p>
    <w:p w:rsidR="00E440BE" w:rsidRPr="00E440BE" w:rsidRDefault="00E440BE" w:rsidP="00E440BE">
      <w:pPr>
        <w:keepLines/>
        <w:autoSpaceDE w:val="0"/>
        <w:autoSpaceDN w:val="0"/>
        <w:adjustRightInd w:val="0"/>
        <w:spacing w:before="120" w:after="0" w:line="240" w:lineRule="auto"/>
        <w:ind w:left="794"/>
        <w:jc w:val="left"/>
        <w:rPr>
          <w:rFonts w:eastAsia="Times New Roman"/>
          <w:color w:val="000000"/>
          <w:sz w:val="23"/>
          <w:szCs w:val="23"/>
          <w:lang w:eastAsia="en-AU"/>
        </w:rPr>
      </w:pPr>
      <w:r w:rsidRPr="00E440BE">
        <w:rPr>
          <w:rFonts w:eastAsia="Times New Roman"/>
          <w:color w:val="000000"/>
          <w:sz w:val="23"/>
          <w:szCs w:val="23"/>
          <w:lang w:eastAsia="en-AU"/>
        </w:rPr>
        <w:t xml:space="preserve">The </w:t>
      </w:r>
      <w:hyperlink r:id="rId19" w:history="1">
        <w:r w:rsidRPr="00E440BE">
          <w:rPr>
            <w:rFonts w:eastAsia="Times New Roman"/>
            <w:i/>
            <w:iCs/>
            <w:color w:val="000000"/>
            <w:sz w:val="23"/>
            <w:szCs w:val="23"/>
            <w:lang w:eastAsia="en-AU"/>
          </w:rPr>
          <w:t>Health Care (Safe Access) Amendment Act 2020</w:t>
        </w:r>
      </w:hyperlink>
      <w:r w:rsidRPr="00E440BE">
        <w:rPr>
          <w:rFonts w:eastAsia="Times New Roman"/>
          <w:color w:val="000000"/>
          <w:sz w:val="23"/>
          <w:szCs w:val="23"/>
          <w:lang w:eastAsia="en-AU"/>
        </w:rPr>
        <w:t xml:space="preserve"> (No 39 of 2020) comes into operation on 17 December 2020.</w:t>
      </w:r>
    </w:p>
    <w:p w:rsidR="00E440BE" w:rsidRPr="00E440BE" w:rsidRDefault="00E440BE" w:rsidP="00E440BE">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E440BE">
        <w:rPr>
          <w:rFonts w:eastAsia="Times New Roman"/>
          <w:b/>
          <w:bCs/>
          <w:color w:val="000000"/>
          <w:sz w:val="26"/>
          <w:szCs w:val="26"/>
          <w:lang w:eastAsia="en-AU"/>
        </w:rPr>
        <w:t>Made by the Governor</w:t>
      </w:r>
    </w:p>
    <w:p w:rsidR="00E440BE" w:rsidRPr="00E440BE" w:rsidRDefault="00E440BE" w:rsidP="00E440BE">
      <w:pPr>
        <w:keepNext/>
        <w:keepLines/>
        <w:autoSpaceDE w:val="0"/>
        <w:autoSpaceDN w:val="0"/>
        <w:adjustRightInd w:val="0"/>
        <w:spacing w:before="120" w:after="0" w:line="240" w:lineRule="auto"/>
        <w:jc w:val="left"/>
        <w:rPr>
          <w:rFonts w:eastAsia="Times New Roman"/>
          <w:color w:val="000000"/>
          <w:sz w:val="23"/>
          <w:szCs w:val="23"/>
          <w:lang w:eastAsia="en-AU"/>
        </w:rPr>
      </w:pPr>
      <w:r w:rsidRPr="00E440BE">
        <w:rPr>
          <w:rFonts w:eastAsia="Times New Roman"/>
          <w:color w:val="000000"/>
          <w:sz w:val="23"/>
          <w:szCs w:val="23"/>
          <w:lang w:eastAsia="en-AU"/>
        </w:rPr>
        <w:t>with the advice and consent of the Executive Council</w:t>
      </w:r>
    </w:p>
    <w:p w:rsidR="00E440BE" w:rsidRDefault="00E440BE" w:rsidP="00E440BE">
      <w:pPr>
        <w:keepNext/>
        <w:keepLines/>
        <w:autoSpaceDE w:val="0"/>
        <w:autoSpaceDN w:val="0"/>
        <w:adjustRightInd w:val="0"/>
        <w:spacing w:line="240" w:lineRule="auto"/>
        <w:jc w:val="left"/>
        <w:rPr>
          <w:rFonts w:eastAsia="Times New Roman"/>
          <w:color w:val="000000"/>
          <w:sz w:val="23"/>
          <w:szCs w:val="23"/>
          <w:lang w:eastAsia="en-AU"/>
        </w:rPr>
      </w:pPr>
      <w:r w:rsidRPr="00E440BE">
        <w:rPr>
          <w:rFonts w:eastAsia="Times New Roman"/>
          <w:color w:val="000000"/>
          <w:sz w:val="23"/>
          <w:szCs w:val="23"/>
          <w:lang w:eastAsia="en-AU"/>
        </w:rPr>
        <w:t>on 17 December 2020</w:t>
      </w:r>
    </w:p>
    <w:p w:rsidR="00E440BE" w:rsidRDefault="00E440BE" w:rsidP="00E440BE">
      <w:pPr>
        <w:pBdr>
          <w:top w:val="single" w:sz="4" w:space="1" w:color="auto"/>
        </w:pBdr>
        <w:autoSpaceDE w:val="0"/>
        <w:autoSpaceDN w:val="0"/>
        <w:adjustRightInd w:val="0"/>
        <w:spacing w:before="100" w:after="0" w:line="14" w:lineRule="exact"/>
        <w:jc w:val="center"/>
        <w:rPr>
          <w:rFonts w:eastAsia="Times New Roman"/>
          <w:color w:val="000000"/>
          <w:sz w:val="23"/>
          <w:szCs w:val="23"/>
          <w:lang w:eastAsia="en-AU"/>
        </w:rPr>
      </w:pPr>
    </w:p>
    <w:p w:rsidR="004C226B" w:rsidRDefault="004C226B" w:rsidP="0016463B">
      <w:pPr>
        <w:pStyle w:val="GG-body"/>
        <w:rPr>
          <w:lang w:val="en-US"/>
        </w:rPr>
      </w:pPr>
    </w:p>
    <w:p w:rsidR="001B2904" w:rsidRDefault="001B2904">
      <w:pPr>
        <w:spacing w:after="0" w:line="240" w:lineRule="auto"/>
        <w:jc w:val="left"/>
        <w:rPr>
          <w:rFonts w:eastAsia="Times New Roman"/>
          <w:color w:val="000000"/>
          <w:sz w:val="28"/>
          <w:szCs w:val="28"/>
          <w:lang w:eastAsia="en-AU"/>
        </w:rPr>
      </w:pPr>
      <w:r>
        <w:rPr>
          <w:rFonts w:eastAsia="Times New Roman"/>
          <w:color w:val="000000"/>
          <w:sz w:val="28"/>
          <w:szCs w:val="28"/>
          <w:lang w:eastAsia="en-AU"/>
        </w:rPr>
        <w:br w:type="page"/>
      </w:r>
    </w:p>
    <w:p w:rsidR="001B2904" w:rsidRDefault="001B2904" w:rsidP="001B2904">
      <w:pPr>
        <w:pStyle w:val="RegSpace"/>
        <w:rPr>
          <w:lang w:eastAsia="en-AU"/>
        </w:rPr>
      </w:pPr>
    </w:p>
    <w:p w:rsidR="001B2904" w:rsidRPr="001B2904" w:rsidRDefault="001B2904" w:rsidP="001B2904">
      <w:pPr>
        <w:keepLines/>
        <w:autoSpaceDE w:val="0"/>
        <w:autoSpaceDN w:val="0"/>
        <w:adjustRightInd w:val="0"/>
        <w:spacing w:before="240" w:after="0" w:line="240" w:lineRule="auto"/>
        <w:jc w:val="left"/>
        <w:rPr>
          <w:rFonts w:eastAsia="Times New Roman"/>
          <w:color w:val="000000"/>
          <w:sz w:val="28"/>
          <w:szCs w:val="28"/>
          <w:lang w:eastAsia="en-AU"/>
        </w:rPr>
      </w:pPr>
      <w:r w:rsidRPr="001B2904">
        <w:rPr>
          <w:rFonts w:eastAsia="Times New Roman"/>
          <w:color w:val="000000"/>
          <w:sz w:val="28"/>
          <w:szCs w:val="28"/>
          <w:lang w:eastAsia="en-AU"/>
        </w:rPr>
        <w:t>South Australia</w:t>
      </w:r>
    </w:p>
    <w:p w:rsidR="001B2904" w:rsidRPr="001B2904" w:rsidRDefault="001B2904" w:rsidP="00046B75">
      <w:pPr>
        <w:pStyle w:val="Heading3"/>
        <w:rPr>
          <w:lang w:eastAsia="en-AU"/>
        </w:rPr>
      </w:pPr>
      <w:bookmarkStart w:id="12" w:name="_Toc59098924"/>
      <w:r w:rsidRPr="001B2904">
        <w:rPr>
          <w:lang w:eastAsia="en-AU"/>
        </w:rPr>
        <w:t>Statutes Amendment (Bail Authorities) Act (Commencement) Proclamation 2020</w:t>
      </w:r>
      <w:bookmarkEnd w:id="12"/>
    </w:p>
    <w:p w:rsidR="001B2904" w:rsidRPr="001B2904" w:rsidRDefault="001B2904" w:rsidP="001B290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B2904">
        <w:rPr>
          <w:rFonts w:eastAsia="Times New Roman"/>
          <w:b/>
          <w:bCs/>
          <w:color w:val="000000"/>
          <w:sz w:val="26"/>
          <w:szCs w:val="26"/>
          <w:lang w:eastAsia="en-AU"/>
        </w:rPr>
        <w:t>1—Short title</w:t>
      </w:r>
    </w:p>
    <w:p w:rsidR="001B2904" w:rsidRPr="001B2904" w:rsidRDefault="001B2904" w:rsidP="001B2904">
      <w:pPr>
        <w:keepLines/>
        <w:autoSpaceDE w:val="0"/>
        <w:autoSpaceDN w:val="0"/>
        <w:adjustRightInd w:val="0"/>
        <w:spacing w:before="120" w:after="0" w:line="240" w:lineRule="auto"/>
        <w:ind w:left="794"/>
        <w:jc w:val="left"/>
        <w:rPr>
          <w:rFonts w:eastAsia="Times New Roman"/>
          <w:color w:val="000000"/>
          <w:sz w:val="23"/>
          <w:szCs w:val="23"/>
          <w:lang w:eastAsia="en-AU"/>
        </w:rPr>
      </w:pPr>
      <w:r w:rsidRPr="001B2904">
        <w:rPr>
          <w:rFonts w:eastAsia="Times New Roman"/>
          <w:color w:val="000000"/>
          <w:sz w:val="23"/>
          <w:szCs w:val="23"/>
          <w:lang w:eastAsia="en-AU"/>
        </w:rPr>
        <w:t xml:space="preserve">This proclamation may be cited as the </w:t>
      </w:r>
      <w:r w:rsidRPr="001B2904">
        <w:rPr>
          <w:rFonts w:eastAsia="Times New Roman"/>
          <w:i/>
          <w:iCs/>
          <w:color w:val="000000"/>
          <w:sz w:val="23"/>
          <w:szCs w:val="23"/>
          <w:lang w:eastAsia="en-AU"/>
        </w:rPr>
        <w:t>Statutes Amendment (Bail Authorities) Act (Commencement) Proclamation 2020</w:t>
      </w:r>
      <w:r w:rsidRPr="001B2904">
        <w:rPr>
          <w:rFonts w:eastAsia="Times New Roman"/>
          <w:color w:val="000000"/>
          <w:sz w:val="23"/>
          <w:szCs w:val="23"/>
          <w:lang w:eastAsia="en-AU"/>
        </w:rPr>
        <w:t>.</w:t>
      </w:r>
    </w:p>
    <w:p w:rsidR="001B2904" w:rsidRPr="001B2904" w:rsidRDefault="001B2904" w:rsidP="001B290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B2904">
        <w:rPr>
          <w:rFonts w:eastAsia="Times New Roman"/>
          <w:b/>
          <w:bCs/>
          <w:color w:val="000000"/>
          <w:sz w:val="26"/>
          <w:szCs w:val="26"/>
          <w:lang w:eastAsia="en-AU"/>
        </w:rPr>
        <w:t>2—Commencement of Act</w:t>
      </w:r>
    </w:p>
    <w:p w:rsidR="001B2904" w:rsidRPr="001B2904" w:rsidRDefault="001B2904" w:rsidP="001B2904">
      <w:pPr>
        <w:keepLines/>
        <w:autoSpaceDE w:val="0"/>
        <w:autoSpaceDN w:val="0"/>
        <w:adjustRightInd w:val="0"/>
        <w:spacing w:before="120" w:after="0" w:line="240" w:lineRule="auto"/>
        <w:ind w:left="794"/>
        <w:jc w:val="left"/>
        <w:rPr>
          <w:rFonts w:eastAsia="Times New Roman"/>
          <w:color w:val="000000"/>
          <w:sz w:val="23"/>
          <w:szCs w:val="23"/>
          <w:lang w:eastAsia="en-AU"/>
        </w:rPr>
      </w:pPr>
      <w:r w:rsidRPr="001B2904">
        <w:rPr>
          <w:rFonts w:eastAsia="Times New Roman"/>
          <w:color w:val="000000"/>
          <w:sz w:val="23"/>
          <w:szCs w:val="23"/>
          <w:lang w:eastAsia="en-AU"/>
        </w:rPr>
        <w:t xml:space="preserve">The </w:t>
      </w:r>
      <w:hyperlink r:id="rId20" w:history="1">
        <w:r w:rsidRPr="001B2904">
          <w:rPr>
            <w:rFonts w:eastAsia="Times New Roman"/>
            <w:i/>
            <w:iCs/>
            <w:color w:val="000000"/>
            <w:sz w:val="23"/>
            <w:szCs w:val="23"/>
            <w:lang w:eastAsia="en-AU"/>
          </w:rPr>
          <w:t>Statutes Amendment (Bail Authorities) Act 2020</w:t>
        </w:r>
      </w:hyperlink>
      <w:r w:rsidRPr="001B2904">
        <w:rPr>
          <w:rFonts w:eastAsia="Times New Roman"/>
          <w:color w:val="000000"/>
          <w:sz w:val="23"/>
          <w:szCs w:val="23"/>
          <w:lang w:eastAsia="en-AU"/>
        </w:rPr>
        <w:t xml:space="preserve"> (No 15 of 2020) comes into operation on 1 January 2021.</w:t>
      </w:r>
    </w:p>
    <w:p w:rsidR="001B2904" w:rsidRPr="001B2904" w:rsidRDefault="001B2904" w:rsidP="001B2904">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1B2904">
        <w:rPr>
          <w:rFonts w:eastAsia="Times New Roman"/>
          <w:b/>
          <w:bCs/>
          <w:color w:val="000000"/>
          <w:sz w:val="26"/>
          <w:szCs w:val="26"/>
          <w:lang w:eastAsia="en-AU"/>
        </w:rPr>
        <w:t>Made by the Governor</w:t>
      </w:r>
    </w:p>
    <w:p w:rsidR="001B2904" w:rsidRPr="001B2904" w:rsidRDefault="001B2904" w:rsidP="001B2904">
      <w:pPr>
        <w:keepNext/>
        <w:keepLines/>
        <w:autoSpaceDE w:val="0"/>
        <w:autoSpaceDN w:val="0"/>
        <w:adjustRightInd w:val="0"/>
        <w:spacing w:before="120" w:after="0" w:line="240" w:lineRule="auto"/>
        <w:jc w:val="left"/>
        <w:rPr>
          <w:rFonts w:eastAsia="Times New Roman"/>
          <w:color w:val="000000"/>
          <w:sz w:val="23"/>
          <w:szCs w:val="23"/>
          <w:lang w:eastAsia="en-AU"/>
        </w:rPr>
      </w:pPr>
      <w:r w:rsidRPr="001B2904">
        <w:rPr>
          <w:rFonts w:eastAsia="Times New Roman"/>
          <w:color w:val="000000"/>
          <w:sz w:val="23"/>
          <w:szCs w:val="23"/>
          <w:lang w:eastAsia="en-AU"/>
        </w:rPr>
        <w:t>with the advice and consent of the Executive Council</w:t>
      </w:r>
    </w:p>
    <w:p w:rsidR="001B2904" w:rsidRDefault="001B2904" w:rsidP="00481663">
      <w:pPr>
        <w:keepNext/>
        <w:keepLines/>
        <w:autoSpaceDE w:val="0"/>
        <w:autoSpaceDN w:val="0"/>
        <w:adjustRightInd w:val="0"/>
        <w:spacing w:line="240" w:lineRule="auto"/>
        <w:jc w:val="left"/>
        <w:rPr>
          <w:rFonts w:eastAsia="Times New Roman"/>
          <w:color w:val="000000"/>
          <w:sz w:val="23"/>
          <w:szCs w:val="23"/>
          <w:lang w:eastAsia="en-AU"/>
        </w:rPr>
      </w:pPr>
      <w:r w:rsidRPr="001B2904">
        <w:rPr>
          <w:rFonts w:eastAsia="Times New Roman"/>
          <w:color w:val="000000"/>
          <w:sz w:val="23"/>
          <w:szCs w:val="23"/>
          <w:lang w:eastAsia="en-AU"/>
        </w:rPr>
        <w:t>on 17 December 2020</w:t>
      </w:r>
    </w:p>
    <w:p w:rsidR="00481663" w:rsidRDefault="00481663" w:rsidP="00481663">
      <w:pPr>
        <w:pBdr>
          <w:top w:val="single" w:sz="4" w:space="1" w:color="auto"/>
        </w:pBdr>
        <w:autoSpaceDE w:val="0"/>
        <w:autoSpaceDN w:val="0"/>
        <w:adjustRightInd w:val="0"/>
        <w:spacing w:before="100" w:after="0" w:line="14" w:lineRule="exact"/>
        <w:jc w:val="center"/>
        <w:rPr>
          <w:rFonts w:eastAsia="Times New Roman"/>
          <w:color w:val="000000"/>
          <w:sz w:val="23"/>
          <w:szCs w:val="23"/>
          <w:lang w:eastAsia="en-AU"/>
        </w:rPr>
      </w:pPr>
    </w:p>
    <w:p w:rsidR="00E440BE" w:rsidRDefault="00E440BE" w:rsidP="0016463B">
      <w:pPr>
        <w:pStyle w:val="GG-body"/>
        <w:rPr>
          <w:lang w:val="en-US"/>
        </w:rPr>
      </w:pPr>
    </w:p>
    <w:p w:rsidR="00B51AD8" w:rsidRPr="00B51AD8" w:rsidRDefault="00B51AD8" w:rsidP="00B51AD8">
      <w:pPr>
        <w:keepLines/>
        <w:autoSpaceDE w:val="0"/>
        <w:autoSpaceDN w:val="0"/>
        <w:adjustRightInd w:val="0"/>
        <w:spacing w:before="240" w:after="0" w:line="240" w:lineRule="auto"/>
        <w:jc w:val="left"/>
        <w:rPr>
          <w:rFonts w:eastAsia="Times New Roman"/>
          <w:color w:val="000000"/>
          <w:sz w:val="28"/>
          <w:szCs w:val="28"/>
          <w:lang w:eastAsia="en-AU"/>
        </w:rPr>
      </w:pPr>
      <w:r w:rsidRPr="00B51AD8">
        <w:rPr>
          <w:rFonts w:eastAsia="Times New Roman"/>
          <w:color w:val="000000"/>
          <w:sz w:val="28"/>
          <w:szCs w:val="28"/>
          <w:lang w:eastAsia="en-AU"/>
        </w:rPr>
        <w:t>South Australia</w:t>
      </w:r>
    </w:p>
    <w:p w:rsidR="00B51AD8" w:rsidRPr="00B51AD8" w:rsidRDefault="00B51AD8" w:rsidP="00046B75">
      <w:pPr>
        <w:pStyle w:val="Heading3"/>
        <w:rPr>
          <w:lang w:eastAsia="en-AU"/>
        </w:rPr>
      </w:pPr>
      <w:bookmarkStart w:id="13" w:name="_Toc59098925"/>
      <w:r w:rsidRPr="00B51AD8">
        <w:rPr>
          <w:lang w:eastAsia="en-AU"/>
        </w:rPr>
        <w:t>Statutes Amendment (Screening) Act (Commencement) Proclamation 2020</w:t>
      </w:r>
      <w:bookmarkEnd w:id="13"/>
    </w:p>
    <w:p w:rsidR="00B51AD8" w:rsidRPr="00B51AD8" w:rsidRDefault="00B51AD8" w:rsidP="00B51AD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51AD8">
        <w:rPr>
          <w:rFonts w:eastAsia="Times New Roman"/>
          <w:b/>
          <w:bCs/>
          <w:color w:val="000000"/>
          <w:sz w:val="26"/>
          <w:szCs w:val="26"/>
          <w:lang w:eastAsia="en-AU"/>
        </w:rPr>
        <w:t>1—Short title</w:t>
      </w:r>
    </w:p>
    <w:p w:rsidR="00B51AD8" w:rsidRPr="00B51AD8" w:rsidRDefault="00B51AD8" w:rsidP="00B51AD8">
      <w:pPr>
        <w:keepLines/>
        <w:autoSpaceDE w:val="0"/>
        <w:autoSpaceDN w:val="0"/>
        <w:adjustRightInd w:val="0"/>
        <w:spacing w:before="120" w:after="0" w:line="240" w:lineRule="auto"/>
        <w:ind w:left="794"/>
        <w:jc w:val="left"/>
        <w:rPr>
          <w:rFonts w:eastAsia="Times New Roman"/>
          <w:color w:val="000000"/>
          <w:sz w:val="23"/>
          <w:szCs w:val="23"/>
          <w:lang w:eastAsia="en-AU"/>
        </w:rPr>
      </w:pPr>
      <w:r w:rsidRPr="00B51AD8">
        <w:rPr>
          <w:rFonts w:eastAsia="Times New Roman"/>
          <w:color w:val="000000"/>
          <w:sz w:val="23"/>
          <w:szCs w:val="23"/>
          <w:lang w:eastAsia="en-AU"/>
        </w:rPr>
        <w:t xml:space="preserve">This proclamation may be cited as the </w:t>
      </w:r>
      <w:r w:rsidRPr="00B51AD8">
        <w:rPr>
          <w:rFonts w:eastAsia="Times New Roman"/>
          <w:i/>
          <w:iCs/>
          <w:color w:val="000000"/>
          <w:sz w:val="23"/>
          <w:szCs w:val="23"/>
          <w:lang w:eastAsia="en-AU"/>
        </w:rPr>
        <w:t>Statutes Amendment (Screening) Act (Commencement) Proclamation 2020</w:t>
      </w:r>
      <w:r w:rsidRPr="00B51AD8">
        <w:rPr>
          <w:rFonts w:eastAsia="Times New Roman"/>
          <w:color w:val="000000"/>
          <w:sz w:val="23"/>
          <w:szCs w:val="23"/>
          <w:lang w:eastAsia="en-AU"/>
        </w:rPr>
        <w:t>.</w:t>
      </w:r>
    </w:p>
    <w:p w:rsidR="00B51AD8" w:rsidRPr="00B51AD8" w:rsidRDefault="00B51AD8" w:rsidP="00B51AD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51AD8">
        <w:rPr>
          <w:rFonts w:eastAsia="Times New Roman"/>
          <w:b/>
          <w:bCs/>
          <w:color w:val="000000"/>
          <w:sz w:val="26"/>
          <w:szCs w:val="26"/>
          <w:lang w:eastAsia="en-AU"/>
        </w:rPr>
        <w:t>2—Commencement of suspended provisions</w:t>
      </w:r>
    </w:p>
    <w:p w:rsidR="00B51AD8" w:rsidRPr="00B51AD8" w:rsidRDefault="00B51AD8" w:rsidP="00B51AD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51AD8">
        <w:rPr>
          <w:rFonts w:eastAsia="Times New Roman"/>
          <w:color w:val="000000"/>
          <w:sz w:val="23"/>
          <w:szCs w:val="23"/>
          <w:lang w:eastAsia="en-AU"/>
        </w:rPr>
        <w:tab/>
        <w:t>(1)</w:t>
      </w:r>
      <w:r w:rsidRPr="00B51AD8">
        <w:rPr>
          <w:rFonts w:eastAsia="Times New Roman"/>
          <w:color w:val="000000"/>
          <w:sz w:val="23"/>
          <w:szCs w:val="23"/>
          <w:lang w:eastAsia="en-AU"/>
        </w:rPr>
        <w:tab/>
        <w:t xml:space="preserve">Subject to </w:t>
      </w:r>
      <w:hyperlink w:anchor="id1093a4ab_c85a_47bc_9bb2_6cfdbb5853a4_7" w:history="1">
        <w:r w:rsidRPr="00B51AD8">
          <w:rPr>
            <w:rFonts w:eastAsia="Times New Roman"/>
            <w:color w:val="000000"/>
            <w:sz w:val="23"/>
            <w:szCs w:val="23"/>
            <w:lang w:eastAsia="en-AU"/>
          </w:rPr>
          <w:t>subclause (2)</w:t>
        </w:r>
      </w:hyperlink>
      <w:r w:rsidRPr="00B51AD8">
        <w:rPr>
          <w:rFonts w:eastAsia="Times New Roman"/>
          <w:color w:val="000000"/>
          <w:sz w:val="23"/>
          <w:szCs w:val="23"/>
          <w:lang w:eastAsia="en-AU"/>
        </w:rPr>
        <w:t xml:space="preserve">, Part 4 of the </w:t>
      </w:r>
      <w:hyperlink r:id="rId21" w:history="1">
        <w:r w:rsidRPr="00B51AD8">
          <w:rPr>
            <w:rFonts w:eastAsia="Times New Roman"/>
            <w:i/>
            <w:iCs/>
            <w:color w:val="000000"/>
            <w:sz w:val="23"/>
            <w:szCs w:val="23"/>
            <w:lang w:eastAsia="en-AU"/>
          </w:rPr>
          <w:t>Statutes Amendment (Screening) Act 2019</w:t>
        </w:r>
      </w:hyperlink>
      <w:r w:rsidRPr="00B51AD8">
        <w:rPr>
          <w:rFonts w:eastAsia="Times New Roman"/>
          <w:color w:val="000000"/>
          <w:sz w:val="23"/>
          <w:szCs w:val="23"/>
          <w:lang w:eastAsia="en-AU"/>
        </w:rPr>
        <w:t xml:space="preserve"> (No 9 of 2019) (the </w:t>
      </w:r>
      <w:r w:rsidRPr="00B51AD8">
        <w:rPr>
          <w:rFonts w:eastAsia="Times New Roman"/>
          <w:b/>
          <w:bCs/>
          <w:i/>
          <w:iCs/>
          <w:color w:val="000000"/>
          <w:sz w:val="23"/>
          <w:szCs w:val="23"/>
          <w:lang w:eastAsia="en-AU"/>
        </w:rPr>
        <w:t>Act</w:t>
      </w:r>
      <w:r w:rsidRPr="00B51AD8">
        <w:rPr>
          <w:rFonts w:eastAsia="Times New Roman"/>
          <w:color w:val="000000"/>
          <w:sz w:val="23"/>
          <w:szCs w:val="23"/>
          <w:lang w:eastAsia="en-AU"/>
        </w:rPr>
        <w:t>) comes into operation on 1 February 2021.</w:t>
      </w:r>
    </w:p>
    <w:p w:rsidR="00B51AD8" w:rsidRPr="00B51AD8" w:rsidRDefault="00B51AD8" w:rsidP="00B51AD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4" w:name="id1093a4ab_c85a_47bc_9bb2_6cfdbb5853a4_7"/>
      <w:r w:rsidRPr="00B51AD8">
        <w:rPr>
          <w:rFonts w:eastAsia="Times New Roman"/>
          <w:color w:val="000000"/>
          <w:sz w:val="23"/>
          <w:szCs w:val="23"/>
          <w:lang w:eastAsia="en-AU"/>
        </w:rPr>
        <w:tab/>
        <w:t>(2)</w:t>
      </w:r>
      <w:r w:rsidRPr="00B51AD8">
        <w:rPr>
          <w:rFonts w:eastAsia="Times New Roman"/>
          <w:color w:val="000000"/>
          <w:sz w:val="23"/>
          <w:szCs w:val="23"/>
          <w:lang w:eastAsia="en-AU"/>
        </w:rPr>
        <w:tab/>
        <w:t>The commencement of sections 21, 22, 23 and 25 of the Act is suspended until a day or time or days or times to be fixed by subsequent proclamation or proclamations.</w:t>
      </w:r>
      <w:bookmarkEnd w:id="14"/>
    </w:p>
    <w:p w:rsidR="00B51AD8" w:rsidRPr="00B51AD8" w:rsidRDefault="00B51AD8" w:rsidP="00B51AD8">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B51AD8">
        <w:rPr>
          <w:rFonts w:eastAsia="Times New Roman"/>
          <w:b/>
          <w:bCs/>
          <w:color w:val="000000"/>
          <w:sz w:val="26"/>
          <w:szCs w:val="26"/>
          <w:lang w:eastAsia="en-AU"/>
        </w:rPr>
        <w:t>Made by the Governor</w:t>
      </w:r>
    </w:p>
    <w:p w:rsidR="00B51AD8" w:rsidRPr="00B51AD8" w:rsidRDefault="00B51AD8" w:rsidP="00B51AD8">
      <w:pPr>
        <w:keepNext/>
        <w:keepLines/>
        <w:autoSpaceDE w:val="0"/>
        <w:autoSpaceDN w:val="0"/>
        <w:adjustRightInd w:val="0"/>
        <w:spacing w:before="120" w:after="0" w:line="240" w:lineRule="auto"/>
        <w:jc w:val="left"/>
        <w:rPr>
          <w:rFonts w:eastAsia="Times New Roman"/>
          <w:color w:val="000000"/>
          <w:sz w:val="23"/>
          <w:szCs w:val="23"/>
          <w:lang w:eastAsia="en-AU"/>
        </w:rPr>
      </w:pPr>
      <w:r w:rsidRPr="00B51AD8">
        <w:rPr>
          <w:rFonts w:eastAsia="Times New Roman"/>
          <w:color w:val="000000"/>
          <w:sz w:val="23"/>
          <w:szCs w:val="23"/>
          <w:lang w:eastAsia="en-AU"/>
        </w:rPr>
        <w:t>with the advice and consent of the Executive Council</w:t>
      </w:r>
    </w:p>
    <w:p w:rsidR="00B51AD8" w:rsidRDefault="00B51AD8" w:rsidP="00B51AD8">
      <w:pPr>
        <w:keepNext/>
        <w:keepLines/>
        <w:autoSpaceDE w:val="0"/>
        <w:autoSpaceDN w:val="0"/>
        <w:adjustRightInd w:val="0"/>
        <w:spacing w:line="240" w:lineRule="auto"/>
        <w:jc w:val="left"/>
        <w:rPr>
          <w:rFonts w:eastAsia="Times New Roman"/>
          <w:color w:val="000000"/>
          <w:sz w:val="23"/>
          <w:szCs w:val="23"/>
          <w:lang w:eastAsia="en-AU"/>
        </w:rPr>
      </w:pPr>
      <w:r w:rsidRPr="00B51AD8">
        <w:rPr>
          <w:rFonts w:eastAsia="Times New Roman"/>
          <w:color w:val="000000"/>
          <w:sz w:val="23"/>
          <w:szCs w:val="23"/>
          <w:lang w:eastAsia="en-AU"/>
        </w:rPr>
        <w:t>on 17 December 2020</w:t>
      </w:r>
    </w:p>
    <w:p w:rsidR="00B51AD8" w:rsidRDefault="00B51AD8" w:rsidP="00B51AD8">
      <w:pPr>
        <w:pBdr>
          <w:top w:val="single" w:sz="4" w:space="1" w:color="auto"/>
        </w:pBdr>
        <w:autoSpaceDE w:val="0"/>
        <w:autoSpaceDN w:val="0"/>
        <w:adjustRightInd w:val="0"/>
        <w:spacing w:before="100" w:after="0" w:line="14" w:lineRule="exact"/>
        <w:jc w:val="center"/>
        <w:rPr>
          <w:rFonts w:eastAsia="Times New Roman"/>
          <w:color w:val="000000"/>
          <w:sz w:val="23"/>
          <w:szCs w:val="23"/>
          <w:lang w:eastAsia="en-AU"/>
        </w:rPr>
      </w:pPr>
    </w:p>
    <w:p w:rsidR="00B51AD8" w:rsidRDefault="00B51AD8" w:rsidP="0016463B">
      <w:pPr>
        <w:pStyle w:val="GG-body"/>
        <w:rPr>
          <w:lang w:val="en-US"/>
        </w:rPr>
      </w:pPr>
    </w:p>
    <w:p w:rsidR="001509AE" w:rsidRDefault="001509AE">
      <w:pPr>
        <w:spacing w:after="0" w:line="240" w:lineRule="auto"/>
        <w:jc w:val="left"/>
        <w:rPr>
          <w:rFonts w:eastAsia="Times New Roman"/>
          <w:szCs w:val="17"/>
          <w:lang w:val="en-US"/>
        </w:rPr>
      </w:pPr>
      <w:r>
        <w:rPr>
          <w:lang w:val="en-US"/>
        </w:rPr>
        <w:br w:type="page"/>
      </w:r>
    </w:p>
    <w:p w:rsidR="001509AE" w:rsidRDefault="001509AE" w:rsidP="001509AE">
      <w:pPr>
        <w:pStyle w:val="RegSpace"/>
        <w:rPr>
          <w:lang w:eastAsia="en-AU"/>
        </w:rPr>
      </w:pPr>
    </w:p>
    <w:p w:rsidR="001509AE" w:rsidRPr="001509AE" w:rsidRDefault="001509AE" w:rsidP="001509AE">
      <w:pPr>
        <w:keepLines/>
        <w:autoSpaceDE w:val="0"/>
        <w:autoSpaceDN w:val="0"/>
        <w:adjustRightInd w:val="0"/>
        <w:spacing w:before="240" w:after="0" w:line="240" w:lineRule="auto"/>
        <w:jc w:val="left"/>
        <w:rPr>
          <w:rFonts w:eastAsia="Times New Roman"/>
          <w:color w:val="000000"/>
          <w:sz w:val="28"/>
          <w:szCs w:val="28"/>
          <w:lang w:eastAsia="en-AU"/>
        </w:rPr>
      </w:pPr>
      <w:r w:rsidRPr="001509AE">
        <w:rPr>
          <w:rFonts w:eastAsia="Times New Roman"/>
          <w:color w:val="000000"/>
          <w:sz w:val="28"/>
          <w:szCs w:val="28"/>
          <w:lang w:eastAsia="en-AU"/>
        </w:rPr>
        <w:t>South Australia</w:t>
      </w:r>
    </w:p>
    <w:p w:rsidR="001509AE" w:rsidRPr="001509AE" w:rsidRDefault="001509AE" w:rsidP="00046B75">
      <w:pPr>
        <w:pStyle w:val="Heading3"/>
        <w:rPr>
          <w:lang w:eastAsia="en-AU"/>
        </w:rPr>
      </w:pPr>
      <w:bookmarkStart w:id="15" w:name="_Toc59098926"/>
      <w:r w:rsidRPr="001509AE">
        <w:rPr>
          <w:lang w:eastAsia="en-AU"/>
        </w:rPr>
        <w:t>Youth Court (Designation and Classification of Cross</w:t>
      </w:r>
      <w:r w:rsidRPr="001509AE">
        <w:rPr>
          <w:lang w:eastAsia="en-AU"/>
        </w:rPr>
        <w:noBreakHyphen/>
        <w:t>border Magistrates) Proclamation 2020</w:t>
      </w:r>
      <w:bookmarkEnd w:id="15"/>
    </w:p>
    <w:p w:rsidR="001509AE" w:rsidRPr="001509AE" w:rsidRDefault="001509AE" w:rsidP="001509AE">
      <w:pPr>
        <w:keepLines/>
        <w:autoSpaceDE w:val="0"/>
        <w:autoSpaceDN w:val="0"/>
        <w:adjustRightInd w:val="0"/>
        <w:spacing w:before="80" w:after="240" w:line="240" w:lineRule="auto"/>
        <w:jc w:val="left"/>
        <w:rPr>
          <w:rFonts w:eastAsia="Times New Roman"/>
          <w:color w:val="000000"/>
          <w:sz w:val="24"/>
          <w:szCs w:val="24"/>
          <w:lang w:eastAsia="en-AU"/>
        </w:rPr>
      </w:pPr>
      <w:r w:rsidRPr="001509AE">
        <w:rPr>
          <w:rFonts w:eastAsia="Times New Roman"/>
          <w:color w:val="000000"/>
          <w:sz w:val="24"/>
          <w:szCs w:val="24"/>
          <w:lang w:eastAsia="en-AU"/>
        </w:rPr>
        <w:t xml:space="preserve">under section 9 of the </w:t>
      </w:r>
      <w:r w:rsidRPr="001509AE">
        <w:rPr>
          <w:rFonts w:eastAsia="Times New Roman"/>
          <w:i/>
          <w:iCs/>
          <w:color w:val="000000"/>
          <w:sz w:val="24"/>
          <w:szCs w:val="24"/>
          <w:lang w:eastAsia="en-AU"/>
        </w:rPr>
        <w:t>Youth Court Act 1993</w:t>
      </w:r>
    </w:p>
    <w:p w:rsidR="001509AE" w:rsidRPr="001509AE" w:rsidRDefault="001509AE" w:rsidP="001509A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509AE">
        <w:rPr>
          <w:rFonts w:eastAsia="Times New Roman"/>
          <w:b/>
          <w:bCs/>
          <w:color w:val="000000"/>
          <w:sz w:val="26"/>
          <w:szCs w:val="26"/>
          <w:lang w:eastAsia="en-AU"/>
        </w:rPr>
        <w:t>1—Short title</w:t>
      </w:r>
    </w:p>
    <w:p w:rsidR="001509AE" w:rsidRPr="001509AE" w:rsidRDefault="001509AE" w:rsidP="001509AE">
      <w:pPr>
        <w:keepLines/>
        <w:autoSpaceDE w:val="0"/>
        <w:autoSpaceDN w:val="0"/>
        <w:adjustRightInd w:val="0"/>
        <w:spacing w:before="120" w:after="0" w:line="240" w:lineRule="auto"/>
        <w:ind w:left="794"/>
        <w:jc w:val="left"/>
        <w:rPr>
          <w:rFonts w:eastAsia="Times New Roman"/>
          <w:color w:val="000000"/>
          <w:sz w:val="23"/>
          <w:szCs w:val="23"/>
          <w:lang w:eastAsia="en-AU"/>
        </w:rPr>
      </w:pPr>
      <w:r w:rsidRPr="001509AE">
        <w:rPr>
          <w:rFonts w:eastAsia="Times New Roman"/>
          <w:color w:val="000000"/>
          <w:sz w:val="23"/>
          <w:szCs w:val="23"/>
          <w:lang w:eastAsia="en-AU"/>
        </w:rPr>
        <w:t xml:space="preserve">This proclamation may be cited as the </w:t>
      </w:r>
      <w:r w:rsidRPr="001509AE">
        <w:rPr>
          <w:rFonts w:eastAsia="Times New Roman"/>
          <w:i/>
          <w:iCs/>
          <w:color w:val="000000"/>
          <w:sz w:val="23"/>
          <w:szCs w:val="23"/>
          <w:lang w:eastAsia="en-AU"/>
        </w:rPr>
        <w:t>Youth Court (Designation and Classification of Cross</w:t>
      </w:r>
      <w:r w:rsidRPr="001509AE">
        <w:rPr>
          <w:rFonts w:eastAsia="Times New Roman"/>
          <w:i/>
          <w:iCs/>
          <w:color w:val="000000"/>
          <w:sz w:val="23"/>
          <w:szCs w:val="23"/>
          <w:lang w:eastAsia="en-AU"/>
        </w:rPr>
        <w:noBreakHyphen/>
        <w:t>border Magistrates) Proclamation 2020</w:t>
      </w:r>
      <w:r w:rsidRPr="001509AE">
        <w:rPr>
          <w:rFonts w:eastAsia="Times New Roman"/>
          <w:color w:val="000000"/>
          <w:sz w:val="23"/>
          <w:szCs w:val="23"/>
          <w:lang w:eastAsia="en-AU"/>
        </w:rPr>
        <w:t>.</w:t>
      </w:r>
    </w:p>
    <w:p w:rsidR="001509AE" w:rsidRPr="001509AE" w:rsidRDefault="001509AE" w:rsidP="001509A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509AE">
        <w:rPr>
          <w:rFonts w:eastAsia="Times New Roman"/>
          <w:b/>
          <w:bCs/>
          <w:color w:val="000000"/>
          <w:sz w:val="26"/>
          <w:szCs w:val="26"/>
          <w:lang w:eastAsia="en-AU"/>
        </w:rPr>
        <w:t>2—Commencement</w:t>
      </w:r>
    </w:p>
    <w:p w:rsidR="001509AE" w:rsidRPr="001509AE" w:rsidRDefault="001509AE" w:rsidP="001509AE">
      <w:pPr>
        <w:keepLines/>
        <w:autoSpaceDE w:val="0"/>
        <w:autoSpaceDN w:val="0"/>
        <w:adjustRightInd w:val="0"/>
        <w:spacing w:before="120" w:after="0" w:line="240" w:lineRule="auto"/>
        <w:ind w:left="794"/>
        <w:jc w:val="left"/>
        <w:rPr>
          <w:rFonts w:eastAsia="Times New Roman"/>
          <w:color w:val="000000"/>
          <w:sz w:val="23"/>
          <w:szCs w:val="23"/>
          <w:lang w:eastAsia="en-AU"/>
        </w:rPr>
      </w:pPr>
      <w:r w:rsidRPr="001509AE">
        <w:rPr>
          <w:rFonts w:eastAsia="Times New Roman"/>
          <w:color w:val="000000"/>
          <w:sz w:val="23"/>
          <w:szCs w:val="23"/>
          <w:lang w:eastAsia="en-AU"/>
        </w:rPr>
        <w:t>This proclamation comes into operation on the day on which it is made.</w:t>
      </w:r>
    </w:p>
    <w:p w:rsidR="001509AE" w:rsidRPr="001509AE" w:rsidRDefault="001509AE" w:rsidP="001509A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509AE">
        <w:rPr>
          <w:rFonts w:eastAsia="Times New Roman"/>
          <w:b/>
          <w:bCs/>
          <w:color w:val="000000"/>
          <w:sz w:val="26"/>
          <w:szCs w:val="26"/>
          <w:lang w:eastAsia="en-AU"/>
        </w:rPr>
        <w:t>3—Designation and classification of magistrates</w:t>
      </w:r>
    </w:p>
    <w:p w:rsidR="001509AE" w:rsidRPr="001509AE" w:rsidRDefault="001509AE" w:rsidP="001509A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1509AE">
        <w:rPr>
          <w:rFonts w:eastAsia="Times New Roman"/>
          <w:color w:val="000000"/>
          <w:sz w:val="23"/>
          <w:szCs w:val="23"/>
          <w:lang w:eastAsia="en-AU"/>
        </w:rPr>
        <w:t xml:space="preserve">The magistrates named in </w:t>
      </w:r>
      <w:hyperlink w:anchor="id70e8e061_ef8d_4dc2_80b4_4a7e2617a3" w:history="1">
        <w:r w:rsidRPr="001509AE">
          <w:rPr>
            <w:rFonts w:eastAsia="Times New Roman"/>
            <w:color w:val="000000"/>
            <w:sz w:val="23"/>
            <w:szCs w:val="23"/>
            <w:lang w:eastAsia="en-AU"/>
          </w:rPr>
          <w:t>Schedule 1</w:t>
        </w:r>
      </w:hyperlink>
      <w:r w:rsidRPr="001509AE">
        <w:rPr>
          <w:rFonts w:eastAsia="Times New Roman"/>
          <w:color w:val="000000"/>
          <w:sz w:val="23"/>
          <w:szCs w:val="23"/>
          <w:lang w:eastAsia="en-AU"/>
        </w:rPr>
        <w:t xml:space="preserve"> (being cross</w:t>
      </w:r>
      <w:r w:rsidRPr="001509AE">
        <w:rPr>
          <w:rFonts w:eastAsia="Times New Roman"/>
          <w:color w:val="000000"/>
          <w:sz w:val="23"/>
          <w:szCs w:val="23"/>
          <w:lang w:eastAsia="en-AU"/>
        </w:rPr>
        <w:noBreakHyphen/>
        <w:t xml:space="preserve">border magistrates within the meaning of section 5A of the </w:t>
      </w:r>
      <w:hyperlink r:id="rId22" w:history="1">
        <w:r w:rsidRPr="001509AE">
          <w:rPr>
            <w:rFonts w:eastAsia="Times New Roman"/>
            <w:i/>
            <w:iCs/>
            <w:color w:val="000000"/>
            <w:sz w:val="23"/>
            <w:szCs w:val="23"/>
            <w:lang w:eastAsia="en-AU"/>
          </w:rPr>
          <w:t>Magistrates Act 1983</w:t>
        </w:r>
      </w:hyperlink>
      <w:r w:rsidRPr="001509AE">
        <w:rPr>
          <w:rFonts w:eastAsia="Times New Roman"/>
          <w:color w:val="000000"/>
          <w:sz w:val="23"/>
          <w:szCs w:val="23"/>
          <w:lang w:eastAsia="en-AU"/>
        </w:rPr>
        <w:t>) are—</w:t>
      </w:r>
    </w:p>
    <w:p w:rsidR="001509AE" w:rsidRPr="001509AE" w:rsidRDefault="001509AE" w:rsidP="001509A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1509AE">
        <w:rPr>
          <w:rFonts w:eastAsia="Times New Roman"/>
          <w:color w:val="000000"/>
          <w:sz w:val="23"/>
          <w:szCs w:val="23"/>
          <w:lang w:eastAsia="en-AU"/>
        </w:rPr>
        <w:tab/>
        <w:t>(a)</w:t>
      </w:r>
      <w:r w:rsidRPr="001509AE">
        <w:rPr>
          <w:rFonts w:eastAsia="Times New Roman"/>
          <w:color w:val="000000"/>
          <w:sz w:val="23"/>
          <w:szCs w:val="23"/>
          <w:lang w:eastAsia="en-AU"/>
        </w:rPr>
        <w:tab/>
        <w:t>designated as magistrates of the Youth Court of South Australia; and</w:t>
      </w:r>
    </w:p>
    <w:p w:rsidR="001509AE" w:rsidRPr="001509AE" w:rsidRDefault="001509AE" w:rsidP="001509A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1509AE">
        <w:rPr>
          <w:rFonts w:eastAsia="Times New Roman"/>
          <w:color w:val="000000"/>
          <w:sz w:val="23"/>
          <w:szCs w:val="23"/>
          <w:lang w:eastAsia="en-AU"/>
        </w:rPr>
        <w:tab/>
        <w:t>(b)</w:t>
      </w:r>
      <w:r w:rsidRPr="001509AE">
        <w:rPr>
          <w:rFonts w:eastAsia="Times New Roman"/>
          <w:color w:val="000000"/>
          <w:sz w:val="23"/>
          <w:szCs w:val="23"/>
          <w:lang w:eastAsia="en-AU"/>
        </w:rPr>
        <w:tab/>
        <w:t>classified as members of the Court's ancillary judiciary.</w:t>
      </w:r>
    </w:p>
    <w:p w:rsidR="001509AE" w:rsidRPr="001509AE" w:rsidRDefault="001509AE" w:rsidP="001509A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6" w:name="id70e8e061_ef8d_4dc2_80b4_4a7e2617a3"/>
      <w:r w:rsidRPr="001509AE">
        <w:rPr>
          <w:rFonts w:eastAsia="Times New Roman"/>
          <w:b/>
          <w:bCs/>
          <w:color w:val="000000"/>
          <w:sz w:val="32"/>
          <w:szCs w:val="32"/>
          <w:lang w:eastAsia="en-AU"/>
        </w:rPr>
        <w:t>Schedule 1—Magistrates of the Court</w:t>
      </w:r>
      <w:bookmarkEnd w:id="16"/>
    </w:p>
    <w:p w:rsidR="001509AE" w:rsidRPr="001509AE" w:rsidRDefault="001509AE" w:rsidP="001509AE">
      <w:pPr>
        <w:keepLines/>
        <w:autoSpaceDE w:val="0"/>
        <w:autoSpaceDN w:val="0"/>
        <w:adjustRightInd w:val="0"/>
        <w:spacing w:before="120" w:after="0" w:line="240" w:lineRule="auto"/>
        <w:ind w:left="397"/>
        <w:jc w:val="left"/>
        <w:rPr>
          <w:rFonts w:eastAsia="Times New Roman"/>
          <w:color w:val="000000"/>
          <w:sz w:val="23"/>
          <w:szCs w:val="23"/>
          <w:lang w:eastAsia="en-AU"/>
        </w:rPr>
      </w:pPr>
      <w:r w:rsidRPr="001509AE">
        <w:rPr>
          <w:rFonts w:eastAsia="Times New Roman"/>
          <w:color w:val="000000"/>
          <w:sz w:val="23"/>
          <w:szCs w:val="23"/>
          <w:lang w:eastAsia="en-AU"/>
        </w:rPr>
        <w:t>Genevieve Marie Cleary</w:t>
      </w:r>
    </w:p>
    <w:p w:rsidR="001509AE" w:rsidRPr="001509AE" w:rsidRDefault="001509AE" w:rsidP="001509AE">
      <w:pPr>
        <w:keepLines/>
        <w:autoSpaceDE w:val="0"/>
        <w:autoSpaceDN w:val="0"/>
        <w:adjustRightInd w:val="0"/>
        <w:spacing w:before="120" w:after="0" w:line="240" w:lineRule="auto"/>
        <w:ind w:left="397"/>
        <w:jc w:val="left"/>
        <w:rPr>
          <w:rFonts w:eastAsia="Times New Roman"/>
          <w:color w:val="000000"/>
          <w:sz w:val="23"/>
          <w:szCs w:val="23"/>
          <w:lang w:eastAsia="en-AU"/>
        </w:rPr>
      </w:pPr>
      <w:r w:rsidRPr="001509AE">
        <w:rPr>
          <w:rFonts w:eastAsia="Times New Roman"/>
          <w:color w:val="000000"/>
          <w:sz w:val="23"/>
          <w:szCs w:val="23"/>
          <w:lang w:eastAsia="en-AU"/>
        </w:rPr>
        <w:t>Andrew Edward Matthews</w:t>
      </w:r>
    </w:p>
    <w:p w:rsidR="001509AE" w:rsidRPr="001509AE" w:rsidRDefault="001509AE" w:rsidP="001509AE">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1509AE">
        <w:rPr>
          <w:rFonts w:eastAsia="Times New Roman"/>
          <w:b/>
          <w:bCs/>
          <w:color w:val="000000"/>
          <w:sz w:val="26"/>
          <w:szCs w:val="26"/>
          <w:lang w:eastAsia="en-AU"/>
        </w:rPr>
        <w:t>Made by the Governor</w:t>
      </w:r>
    </w:p>
    <w:p w:rsidR="001509AE" w:rsidRPr="001509AE" w:rsidRDefault="001509AE" w:rsidP="001509AE">
      <w:pPr>
        <w:keepNext/>
        <w:keepLines/>
        <w:autoSpaceDE w:val="0"/>
        <w:autoSpaceDN w:val="0"/>
        <w:adjustRightInd w:val="0"/>
        <w:spacing w:before="120" w:after="0" w:line="240" w:lineRule="auto"/>
        <w:jc w:val="left"/>
        <w:rPr>
          <w:rFonts w:eastAsia="Times New Roman"/>
          <w:color w:val="000000"/>
          <w:sz w:val="23"/>
          <w:szCs w:val="23"/>
          <w:lang w:eastAsia="en-AU"/>
        </w:rPr>
      </w:pPr>
      <w:r w:rsidRPr="001509AE">
        <w:rPr>
          <w:rFonts w:eastAsia="Times New Roman"/>
          <w:color w:val="000000"/>
          <w:sz w:val="23"/>
          <w:szCs w:val="23"/>
          <w:lang w:eastAsia="en-AU"/>
        </w:rPr>
        <w:t>with the advice and consent of the Executive Council</w:t>
      </w:r>
    </w:p>
    <w:p w:rsidR="001509AE" w:rsidRDefault="001509AE" w:rsidP="001509AE">
      <w:pPr>
        <w:keepNext/>
        <w:keepLines/>
        <w:autoSpaceDE w:val="0"/>
        <w:autoSpaceDN w:val="0"/>
        <w:adjustRightInd w:val="0"/>
        <w:spacing w:line="240" w:lineRule="auto"/>
        <w:jc w:val="left"/>
        <w:rPr>
          <w:rFonts w:eastAsia="Times New Roman"/>
          <w:color w:val="000000"/>
          <w:sz w:val="23"/>
          <w:szCs w:val="23"/>
          <w:lang w:eastAsia="en-AU"/>
        </w:rPr>
      </w:pPr>
      <w:r w:rsidRPr="001509AE">
        <w:rPr>
          <w:rFonts w:eastAsia="Times New Roman"/>
          <w:color w:val="000000"/>
          <w:sz w:val="23"/>
          <w:szCs w:val="23"/>
          <w:lang w:eastAsia="en-AU"/>
        </w:rPr>
        <w:t>on 17 December 2020</w:t>
      </w:r>
    </w:p>
    <w:p w:rsidR="001509AE" w:rsidRDefault="001509AE" w:rsidP="001509AE">
      <w:pPr>
        <w:pBdr>
          <w:top w:val="single" w:sz="4" w:space="1" w:color="auto"/>
        </w:pBdr>
        <w:autoSpaceDE w:val="0"/>
        <w:autoSpaceDN w:val="0"/>
        <w:adjustRightInd w:val="0"/>
        <w:spacing w:before="100" w:after="0" w:line="14" w:lineRule="exact"/>
        <w:jc w:val="center"/>
        <w:rPr>
          <w:rFonts w:eastAsia="Times New Roman"/>
          <w:color w:val="000000"/>
          <w:sz w:val="23"/>
          <w:szCs w:val="23"/>
          <w:lang w:eastAsia="en-AU"/>
        </w:rPr>
      </w:pPr>
    </w:p>
    <w:p w:rsidR="001509AE" w:rsidRDefault="001509AE" w:rsidP="0016463B">
      <w:pPr>
        <w:pStyle w:val="GG-body"/>
        <w:rPr>
          <w:lang w:val="en-US"/>
        </w:rPr>
      </w:pPr>
    </w:p>
    <w:p w:rsidR="0069628C" w:rsidRDefault="0069628C">
      <w:pPr>
        <w:spacing w:after="0" w:line="240" w:lineRule="auto"/>
        <w:jc w:val="left"/>
        <w:rPr>
          <w:rFonts w:eastAsia="Times New Roman"/>
          <w:color w:val="000000"/>
          <w:sz w:val="28"/>
          <w:szCs w:val="28"/>
          <w:lang w:eastAsia="en-AU"/>
        </w:rPr>
      </w:pPr>
      <w:r>
        <w:rPr>
          <w:rFonts w:eastAsia="Times New Roman"/>
          <w:color w:val="000000"/>
          <w:sz w:val="28"/>
          <w:szCs w:val="28"/>
          <w:lang w:eastAsia="en-AU"/>
        </w:rPr>
        <w:br w:type="page"/>
      </w:r>
    </w:p>
    <w:p w:rsidR="0069628C" w:rsidRDefault="0069628C" w:rsidP="0069628C">
      <w:pPr>
        <w:pStyle w:val="RegSpace"/>
        <w:rPr>
          <w:lang w:eastAsia="en-AU"/>
        </w:rPr>
      </w:pPr>
    </w:p>
    <w:p w:rsidR="0069628C" w:rsidRPr="0069628C" w:rsidRDefault="0069628C" w:rsidP="0069628C">
      <w:pPr>
        <w:keepLines/>
        <w:autoSpaceDE w:val="0"/>
        <w:autoSpaceDN w:val="0"/>
        <w:adjustRightInd w:val="0"/>
        <w:spacing w:before="240" w:after="0" w:line="240" w:lineRule="auto"/>
        <w:jc w:val="left"/>
        <w:rPr>
          <w:rFonts w:eastAsia="Times New Roman"/>
          <w:color w:val="000000"/>
          <w:sz w:val="28"/>
          <w:szCs w:val="28"/>
          <w:lang w:eastAsia="en-AU"/>
        </w:rPr>
      </w:pPr>
      <w:r w:rsidRPr="0069628C">
        <w:rPr>
          <w:rFonts w:eastAsia="Times New Roman"/>
          <w:color w:val="000000"/>
          <w:sz w:val="28"/>
          <w:szCs w:val="28"/>
          <w:lang w:eastAsia="en-AU"/>
        </w:rPr>
        <w:t>South Australia</w:t>
      </w:r>
    </w:p>
    <w:p w:rsidR="0069628C" w:rsidRPr="0069628C" w:rsidRDefault="0069628C" w:rsidP="00046B75">
      <w:pPr>
        <w:pStyle w:val="Heading3"/>
        <w:rPr>
          <w:lang w:eastAsia="en-AU"/>
        </w:rPr>
      </w:pPr>
      <w:bookmarkStart w:id="17" w:name="_Toc59098927"/>
      <w:r w:rsidRPr="0069628C">
        <w:rPr>
          <w:lang w:eastAsia="en-AU"/>
        </w:rPr>
        <w:t>Youth Court (Designation and Classification of Magistrate) Proclamation 2020</w:t>
      </w:r>
      <w:bookmarkEnd w:id="17"/>
    </w:p>
    <w:p w:rsidR="0069628C" w:rsidRPr="0069628C" w:rsidRDefault="0069628C" w:rsidP="0069628C">
      <w:pPr>
        <w:keepLines/>
        <w:autoSpaceDE w:val="0"/>
        <w:autoSpaceDN w:val="0"/>
        <w:adjustRightInd w:val="0"/>
        <w:spacing w:before="80" w:after="240" w:line="240" w:lineRule="auto"/>
        <w:jc w:val="left"/>
        <w:rPr>
          <w:rFonts w:eastAsia="Times New Roman"/>
          <w:color w:val="000000"/>
          <w:sz w:val="24"/>
          <w:szCs w:val="24"/>
          <w:lang w:eastAsia="en-AU"/>
        </w:rPr>
      </w:pPr>
      <w:r w:rsidRPr="0069628C">
        <w:rPr>
          <w:rFonts w:eastAsia="Times New Roman"/>
          <w:color w:val="000000"/>
          <w:sz w:val="24"/>
          <w:szCs w:val="24"/>
          <w:lang w:eastAsia="en-AU"/>
        </w:rPr>
        <w:t xml:space="preserve">under section 9 of the </w:t>
      </w:r>
      <w:r w:rsidRPr="0069628C">
        <w:rPr>
          <w:rFonts w:eastAsia="Times New Roman"/>
          <w:i/>
          <w:iCs/>
          <w:color w:val="000000"/>
          <w:sz w:val="24"/>
          <w:szCs w:val="24"/>
          <w:lang w:eastAsia="en-AU"/>
        </w:rPr>
        <w:t>Youth Court Act 1993</w:t>
      </w:r>
    </w:p>
    <w:p w:rsidR="0069628C" w:rsidRPr="0069628C" w:rsidRDefault="0069628C" w:rsidP="0069628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9628C">
        <w:rPr>
          <w:rFonts w:eastAsia="Times New Roman"/>
          <w:b/>
          <w:bCs/>
          <w:color w:val="000000"/>
          <w:sz w:val="26"/>
          <w:szCs w:val="26"/>
          <w:lang w:eastAsia="en-AU"/>
        </w:rPr>
        <w:t>1—Short title</w:t>
      </w:r>
    </w:p>
    <w:p w:rsidR="0069628C" w:rsidRPr="0069628C" w:rsidRDefault="0069628C" w:rsidP="0069628C">
      <w:pPr>
        <w:keepLines/>
        <w:autoSpaceDE w:val="0"/>
        <w:autoSpaceDN w:val="0"/>
        <w:adjustRightInd w:val="0"/>
        <w:spacing w:before="120" w:after="0" w:line="240" w:lineRule="auto"/>
        <w:ind w:left="794"/>
        <w:jc w:val="left"/>
        <w:rPr>
          <w:rFonts w:eastAsia="Times New Roman"/>
          <w:color w:val="000000"/>
          <w:sz w:val="23"/>
          <w:szCs w:val="23"/>
          <w:lang w:eastAsia="en-AU"/>
        </w:rPr>
      </w:pPr>
      <w:r w:rsidRPr="0069628C">
        <w:rPr>
          <w:rFonts w:eastAsia="Times New Roman"/>
          <w:color w:val="000000"/>
          <w:sz w:val="23"/>
          <w:szCs w:val="23"/>
          <w:lang w:eastAsia="en-AU"/>
        </w:rPr>
        <w:t xml:space="preserve">This proclamation may be cited as the </w:t>
      </w:r>
      <w:r w:rsidRPr="0069628C">
        <w:rPr>
          <w:rFonts w:eastAsia="Times New Roman"/>
          <w:i/>
          <w:iCs/>
          <w:color w:val="000000"/>
          <w:sz w:val="23"/>
          <w:szCs w:val="23"/>
          <w:lang w:eastAsia="en-AU"/>
        </w:rPr>
        <w:t>Youth Court (Designation and Classification of Magistrate) Proclamation 2020</w:t>
      </w:r>
      <w:r w:rsidRPr="0069628C">
        <w:rPr>
          <w:rFonts w:eastAsia="Times New Roman"/>
          <w:color w:val="000000"/>
          <w:sz w:val="23"/>
          <w:szCs w:val="23"/>
          <w:lang w:eastAsia="en-AU"/>
        </w:rPr>
        <w:t>.</w:t>
      </w:r>
    </w:p>
    <w:p w:rsidR="0069628C" w:rsidRPr="0069628C" w:rsidRDefault="0069628C" w:rsidP="0069628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9628C">
        <w:rPr>
          <w:rFonts w:eastAsia="Times New Roman"/>
          <w:b/>
          <w:bCs/>
          <w:color w:val="000000"/>
          <w:sz w:val="26"/>
          <w:szCs w:val="26"/>
          <w:lang w:eastAsia="en-AU"/>
        </w:rPr>
        <w:t>2—Commencement</w:t>
      </w:r>
    </w:p>
    <w:p w:rsidR="0069628C" w:rsidRPr="0069628C" w:rsidRDefault="0069628C" w:rsidP="0069628C">
      <w:pPr>
        <w:keepLines/>
        <w:autoSpaceDE w:val="0"/>
        <w:autoSpaceDN w:val="0"/>
        <w:adjustRightInd w:val="0"/>
        <w:spacing w:before="120" w:after="0" w:line="240" w:lineRule="auto"/>
        <w:ind w:left="794"/>
        <w:jc w:val="left"/>
        <w:rPr>
          <w:rFonts w:eastAsia="Times New Roman"/>
          <w:color w:val="000000"/>
          <w:sz w:val="23"/>
          <w:szCs w:val="23"/>
          <w:lang w:eastAsia="en-AU"/>
        </w:rPr>
      </w:pPr>
      <w:r w:rsidRPr="0069628C">
        <w:rPr>
          <w:rFonts w:eastAsia="Times New Roman"/>
          <w:color w:val="000000"/>
          <w:sz w:val="23"/>
          <w:szCs w:val="23"/>
          <w:lang w:eastAsia="en-AU"/>
        </w:rPr>
        <w:t>This proclamation comes into operation on 19 April 2021.</w:t>
      </w:r>
    </w:p>
    <w:p w:rsidR="0069628C" w:rsidRPr="0069628C" w:rsidRDefault="0069628C" w:rsidP="0069628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9628C">
        <w:rPr>
          <w:rFonts w:eastAsia="Times New Roman"/>
          <w:b/>
          <w:bCs/>
          <w:color w:val="000000"/>
          <w:sz w:val="26"/>
          <w:szCs w:val="26"/>
          <w:lang w:eastAsia="en-AU"/>
        </w:rPr>
        <w:t>3—Designation and classification of magistrate</w:t>
      </w:r>
    </w:p>
    <w:p w:rsidR="0069628C" w:rsidRPr="0069628C" w:rsidRDefault="0069628C" w:rsidP="0069628C">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9628C">
        <w:rPr>
          <w:rFonts w:eastAsia="Times New Roman"/>
          <w:color w:val="000000"/>
          <w:sz w:val="23"/>
          <w:szCs w:val="23"/>
          <w:lang w:eastAsia="en-AU"/>
        </w:rPr>
        <w:t xml:space="preserve">The magistrate named in </w:t>
      </w:r>
      <w:hyperlink w:anchor="id47c48cee_f0e8_486b_9c90_c313b3b69a" w:history="1">
        <w:r w:rsidRPr="0069628C">
          <w:rPr>
            <w:rFonts w:eastAsia="Times New Roman"/>
            <w:color w:val="000000"/>
            <w:sz w:val="23"/>
            <w:szCs w:val="23"/>
            <w:lang w:eastAsia="en-AU"/>
          </w:rPr>
          <w:t>Schedule 1</w:t>
        </w:r>
      </w:hyperlink>
      <w:r w:rsidRPr="0069628C">
        <w:rPr>
          <w:rFonts w:eastAsia="Times New Roman"/>
          <w:color w:val="000000"/>
          <w:sz w:val="23"/>
          <w:szCs w:val="23"/>
          <w:lang w:eastAsia="en-AU"/>
        </w:rPr>
        <w:t xml:space="preserve"> is—</w:t>
      </w:r>
    </w:p>
    <w:p w:rsidR="0069628C" w:rsidRPr="0069628C" w:rsidRDefault="0069628C" w:rsidP="0069628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9628C">
        <w:rPr>
          <w:rFonts w:eastAsia="Times New Roman"/>
          <w:color w:val="000000"/>
          <w:sz w:val="23"/>
          <w:szCs w:val="23"/>
          <w:lang w:eastAsia="en-AU"/>
        </w:rPr>
        <w:tab/>
        <w:t>(a)</w:t>
      </w:r>
      <w:r w:rsidRPr="0069628C">
        <w:rPr>
          <w:rFonts w:eastAsia="Times New Roman"/>
          <w:color w:val="000000"/>
          <w:sz w:val="23"/>
          <w:szCs w:val="23"/>
          <w:lang w:eastAsia="en-AU"/>
        </w:rPr>
        <w:tab/>
        <w:t>designated as a magistrate of the Youth Court of South Australia; and</w:t>
      </w:r>
    </w:p>
    <w:p w:rsidR="0069628C" w:rsidRPr="0069628C" w:rsidRDefault="0069628C" w:rsidP="0069628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9628C">
        <w:rPr>
          <w:rFonts w:eastAsia="Times New Roman"/>
          <w:color w:val="000000"/>
          <w:sz w:val="23"/>
          <w:szCs w:val="23"/>
          <w:lang w:eastAsia="en-AU"/>
        </w:rPr>
        <w:tab/>
        <w:t>(b)</w:t>
      </w:r>
      <w:r w:rsidRPr="0069628C">
        <w:rPr>
          <w:rFonts w:eastAsia="Times New Roman"/>
          <w:color w:val="000000"/>
          <w:sz w:val="23"/>
          <w:szCs w:val="23"/>
          <w:lang w:eastAsia="en-AU"/>
        </w:rPr>
        <w:tab/>
        <w:t>classified as a member of the Court's principal judiciary; and</w:t>
      </w:r>
    </w:p>
    <w:p w:rsidR="0069628C" w:rsidRPr="0069628C" w:rsidRDefault="0069628C" w:rsidP="0069628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9628C">
        <w:rPr>
          <w:rFonts w:eastAsia="Times New Roman"/>
          <w:color w:val="000000"/>
          <w:sz w:val="23"/>
          <w:szCs w:val="23"/>
          <w:lang w:eastAsia="en-AU"/>
        </w:rPr>
        <w:tab/>
        <w:t>(c)</w:t>
      </w:r>
      <w:r w:rsidRPr="0069628C">
        <w:rPr>
          <w:rFonts w:eastAsia="Times New Roman"/>
          <w:color w:val="000000"/>
          <w:sz w:val="23"/>
          <w:szCs w:val="23"/>
          <w:lang w:eastAsia="en-AU"/>
        </w:rPr>
        <w:tab/>
        <w:t>declared to be a member of the Court's principal judiciary for a term of 1 year.</w:t>
      </w:r>
    </w:p>
    <w:p w:rsidR="0069628C" w:rsidRPr="0069628C" w:rsidRDefault="0069628C" w:rsidP="0069628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8" w:name="id47c48cee_f0e8_486b_9c90_c313b3b69a"/>
      <w:r w:rsidRPr="0069628C">
        <w:rPr>
          <w:rFonts w:eastAsia="Times New Roman"/>
          <w:b/>
          <w:bCs/>
          <w:color w:val="000000"/>
          <w:sz w:val="32"/>
          <w:szCs w:val="32"/>
          <w:lang w:eastAsia="en-AU"/>
        </w:rPr>
        <w:t>Schedule 1—Magistrate of the Court</w:t>
      </w:r>
      <w:bookmarkEnd w:id="18"/>
    </w:p>
    <w:p w:rsidR="0069628C" w:rsidRPr="0069628C" w:rsidRDefault="0069628C" w:rsidP="0069628C">
      <w:pPr>
        <w:keepLines/>
        <w:autoSpaceDE w:val="0"/>
        <w:autoSpaceDN w:val="0"/>
        <w:adjustRightInd w:val="0"/>
        <w:spacing w:before="120" w:after="0" w:line="240" w:lineRule="auto"/>
        <w:ind w:left="397"/>
        <w:jc w:val="left"/>
        <w:rPr>
          <w:rFonts w:eastAsia="Times New Roman"/>
          <w:color w:val="000000"/>
          <w:sz w:val="23"/>
          <w:szCs w:val="23"/>
          <w:lang w:eastAsia="en-AU"/>
        </w:rPr>
      </w:pPr>
      <w:r w:rsidRPr="0069628C">
        <w:rPr>
          <w:rFonts w:eastAsia="Times New Roman"/>
          <w:color w:val="000000"/>
          <w:sz w:val="23"/>
          <w:szCs w:val="23"/>
          <w:lang w:eastAsia="en-AU"/>
        </w:rPr>
        <w:t>Oliver Rudolf Gerhard Koehn</w:t>
      </w:r>
    </w:p>
    <w:p w:rsidR="0069628C" w:rsidRPr="0069628C" w:rsidRDefault="0069628C" w:rsidP="0069628C">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69628C">
        <w:rPr>
          <w:rFonts w:eastAsia="Times New Roman"/>
          <w:b/>
          <w:bCs/>
          <w:color w:val="000000"/>
          <w:sz w:val="26"/>
          <w:szCs w:val="26"/>
          <w:lang w:eastAsia="en-AU"/>
        </w:rPr>
        <w:t>Made by the Governor</w:t>
      </w:r>
    </w:p>
    <w:p w:rsidR="0069628C" w:rsidRPr="0069628C" w:rsidRDefault="0069628C" w:rsidP="0069628C">
      <w:pPr>
        <w:keepNext/>
        <w:keepLines/>
        <w:autoSpaceDE w:val="0"/>
        <w:autoSpaceDN w:val="0"/>
        <w:adjustRightInd w:val="0"/>
        <w:spacing w:before="120" w:after="0" w:line="240" w:lineRule="auto"/>
        <w:jc w:val="left"/>
        <w:rPr>
          <w:rFonts w:eastAsia="Times New Roman"/>
          <w:color w:val="000000"/>
          <w:sz w:val="23"/>
          <w:szCs w:val="23"/>
          <w:lang w:eastAsia="en-AU"/>
        </w:rPr>
      </w:pPr>
      <w:r w:rsidRPr="0069628C">
        <w:rPr>
          <w:rFonts w:eastAsia="Times New Roman"/>
          <w:color w:val="000000"/>
          <w:sz w:val="23"/>
          <w:szCs w:val="23"/>
          <w:lang w:eastAsia="en-AU"/>
        </w:rPr>
        <w:t>with the advice and consent of the Executive Council</w:t>
      </w:r>
    </w:p>
    <w:p w:rsidR="0069628C" w:rsidRDefault="0069628C" w:rsidP="0069628C">
      <w:pPr>
        <w:keepNext/>
        <w:keepLines/>
        <w:autoSpaceDE w:val="0"/>
        <w:autoSpaceDN w:val="0"/>
        <w:adjustRightInd w:val="0"/>
        <w:spacing w:line="240" w:lineRule="auto"/>
        <w:jc w:val="left"/>
        <w:rPr>
          <w:rFonts w:eastAsia="Times New Roman"/>
          <w:color w:val="000000"/>
          <w:sz w:val="23"/>
          <w:szCs w:val="23"/>
          <w:lang w:eastAsia="en-AU"/>
        </w:rPr>
      </w:pPr>
      <w:r w:rsidRPr="0069628C">
        <w:rPr>
          <w:rFonts w:eastAsia="Times New Roman"/>
          <w:color w:val="000000"/>
          <w:sz w:val="23"/>
          <w:szCs w:val="23"/>
          <w:lang w:eastAsia="en-AU"/>
        </w:rPr>
        <w:t>on 17 December 2020</w:t>
      </w:r>
    </w:p>
    <w:p w:rsidR="0069628C" w:rsidRDefault="0069628C" w:rsidP="0069628C">
      <w:pPr>
        <w:pBdr>
          <w:bottom w:val="single" w:sz="4" w:space="1" w:color="auto"/>
        </w:pBdr>
        <w:spacing w:after="0" w:line="52" w:lineRule="exact"/>
        <w:jc w:val="center"/>
        <w:rPr>
          <w:rFonts w:eastAsia="Times New Roman"/>
          <w:color w:val="000000"/>
          <w:sz w:val="23"/>
          <w:szCs w:val="23"/>
          <w:lang w:eastAsia="en-AU"/>
        </w:rPr>
      </w:pPr>
    </w:p>
    <w:p w:rsidR="0069628C" w:rsidRDefault="0069628C" w:rsidP="0069628C">
      <w:pPr>
        <w:pBdr>
          <w:top w:val="single" w:sz="4" w:space="1" w:color="auto"/>
        </w:pBdr>
        <w:spacing w:before="34" w:after="0" w:line="14" w:lineRule="exact"/>
        <w:jc w:val="center"/>
        <w:rPr>
          <w:rFonts w:eastAsia="Times New Roman"/>
          <w:color w:val="000000"/>
          <w:sz w:val="23"/>
          <w:szCs w:val="23"/>
          <w:lang w:eastAsia="en-AU"/>
        </w:rPr>
      </w:pPr>
    </w:p>
    <w:p w:rsidR="0069628C" w:rsidRDefault="0069628C" w:rsidP="0016463B">
      <w:pPr>
        <w:pStyle w:val="GG-body"/>
        <w:rPr>
          <w:lang w:val="en-US"/>
        </w:rPr>
      </w:pPr>
    </w:p>
    <w:p w:rsidR="00694D0A" w:rsidRPr="00046B75" w:rsidRDefault="00694D0A" w:rsidP="00046B75">
      <w:pPr>
        <w:pStyle w:val="Heading2"/>
      </w:pPr>
      <w:r>
        <w:br w:type="page"/>
      </w:r>
      <w:bookmarkStart w:id="19" w:name="_Toc33707980"/>
      <w:bookmarkStart w:id="20" w:name="_Toc33708151"/>
      <w:bookmarkStart w:id="21" w:name="_Toc59098928"/>
      <w:r w:rsidRPr="00046B75">
        <w:lastRenderedPageBreak/>
        <w:t>Regulations</w:t>
      </w:r>
      <w:bookmarkEnd w:id="19"/>
      <w:bookmarkEnd w:id="20"/>
      <w:bookmarkEnd w:id="21"/>
    </w:p>
    <w:p w:rsidR="00023155" w:rsidRPr="00023155" w:rsidRDefault="00023155" w:rsidP="00023155">
      <w:pPr>
        <w:keepLines/>
        <w:autoSpaceDE w:val="0"/>
        <w:autoSpaceDN w:val="0"/>
        <w:adjustRightInd w:val="0"/>
        <w:spacing w:before="240" w:after="0" w:line="240" w:lineRule="auto"/>
        <w:jc w:val="left"/>
        <w:rPr>
          <w:rFonts w:eastAsia="Times New Roman"/>
          <w:color w:val="000000"/>
          <w:sz w:val="28"/>
          <w:szCs w:val="28"/>
          <w:lang w:eastAsia="en-AU"/>
        </w:rPr>
      </w:pPr>
      <w:r w:rsidRPr="00023155">
        <w:rPr>
          <w:rFonts w:eastAsia="Times New Roman"/>
          <w:color w:val="000000"/>
          <w:sz w:val="28"/>
          <w:szCs w:val="28"/>
          <w:lang w:eastAsia="en-AU"/>
        </w:rPr>
        <w:t>South Australia</w:t>
      </w:r>
    </w:p>
    <w:p w:rsidR="00023155" w:rsidRPr="00023155" w:rsidRDefault="00023155" w:rsidP="00046B75">
      <w:pPr>
        <w:pStyle w:val="Heading3"/>
        <w:rPr>
          <w:lang w:eastAsia="en-AU"/>
        </w:rPr>
      </w:pPr>
      <w:bookmarkStart w:id="22" w:name="_Toc59098929"/>
      <w:r w:rsidRPr="00023155">
        <w:rPr>
          <w:lang w:eastAsia="en-AU"/>
        </w:rPr>
        <w:t>Environment Protection (Variation of Act, Schedule 1) Regulations 2020</w:t>
      </w:r>
      <w:bookmarkEnd w:id="22"/>
    </w:p>
    <w:p w:rsidR="00023155" w:rsidRPr="00023155" w:rsidRDefault="00023155" w:rsidP="00023155">
      <w:pPr>
        <w:keepLines/>
        <w:autoSpaceDE w:val="0"/>
        <w:autoSpaceDN w:val="0"/>
        <w:adjustRightInd w:val="0"/>
        <w:spacing w:before="80" w:after="240" w:line="240" w:lineRule="auto"/>
        <w:jc w:val="left"/>
        <w:rPr>
          <w:rFonts w:eastAsia="Times New Roman"/>
          <w:color w:val="000000"/>
          <w:sz w:val="24"/>
          <w:szCs w:val="24"/>
          <w:lang w:eastAsia="en-AU"/>
        </w:rPr>
      </w:pPr>
      <w:r w:rsidRPr="00023155">
        <w:rPr>
          <w:rFonts w:eastAsia="Times New Roman"/>
          <w:color w:val="000000"/>
          <w:sz w:val="24"/>
          <w:szCs w:val="24"/>
          <w:lang w:eastAsia="en-AU"/>
        </w:rPr>
        <w:t xml:space="preserve">under the </w:t>
      </w:r>
      <w:r w:rsidRPr="00023155">
        <w:rPr>
          <w:rFonts w:eastAsia="Times New Roman"/>
          <w:i/>
          <w:iCs/>
          <w:color w:val="000000"/>
          <w:sz w:val="24"/>
          <w:szCs w:val="24"/>
          <w:lang w:eastAsia="en-AU"/>
        </w:rPr>
        <w:t>Environment Protection Act 1993</w:t>
      </w:r>
    </w:p>
    <w:p w:rsidR="00023155" w:rsidRPr="00023155" w:rsidRDefault="00023155" w:rsidP="00023155">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023155" w:rsidRPr="00023155" w:rsidRDefault="00023155" w:rsidP="00023155">
      <w:pPr>
        <w:keepLines/>
        <w:autoSpaceDE w:val="0"/>
        <w:autoSpaceDN w:val="0"/>
        <w:adjustRightInd w:val="0"/>
        <w:spacing w:before="120" w:after="0" w:line="240" w:lineRule="auto"/>
        <w:jc w:val="left"/>
        <w:rPr>
          <w:rFonts w:eastAsia="Times New Roman"/>
          <w:b/>
          <w:bCs/>
          <w:color w:val="000000"/>
          <w:sz w:val="32"/>
          <w:szCs w:val="32"/>
          <w:lang w:eastAsia="en-AU"/>
        </w:rPr>
      </w:pPr>
      <w:r w:rsidRPr="00023155">
        <w:rPr>
          <w:rFonts w:eastAsia="Times New Roman"/>
          <w:b/>
          <w:bCs/>
          <w:color w:val="000000"/>
          <w:sz w:val="32"/>
          <w:szCs w:val="32"/>
          <w:lang w:eastAsia="en-AU"/>
        </w:rPr>
        <w:t>Contents</w:t>
      </w:r>
    </w:p>
    <w:p w:rsidR="00023155" w:rsidRPr="00023155" w:rsidRDefault="00607847" w:rsidP="00023155">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023155" w:rsidRPr="00023155">
          <w:rPr>
            <w:rFonts w:eastAsia="Times New Roman"/>
            <w:color w:val="000000"/>
            <w:sz w:val="28"/>
            <w:szCs w:val="28"/>
            <w:lang w:eastAsia="en-AU"/>
          </w:rPr>
          <w:t>Part 1—Preliminary</w:t>
        </w:r>
      </w:hyperlink>
    </w:p>
    <w:p w:rsidR="00023155" w:rsidRPr="00023155" w:rsidRDefault="00607847" w:rsidP="0002315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023155" w:rsidRPr="00023155">
          <w:rPr>
            <w:rFonts w:eastAsia="Times New Roman"/>
            <w:color w:val="000000"/>
            <w:sz w:val="22"/>
            <w:lang w:eastAsia="en-AU"/>
          </w:rPr>
          <w:t>1</w:t>
        </w:r>
        <w:r w:rsidR="00023155" w:rsidRPr="00023155">
          <w:rPr>
            <w:rFonts w:eastAsia="Times New Roman"/>
            <w:color w:val="000000"/>
            <w:sz w:val="22"/>
            <w:lang w:eastAsia="en-AU"/>
          </w:rPr>
          <w:tab/>
          <w:t>Short title</w:t>
        </w:r>
      </w:hyperlink>
    </w:p>
    <w:p w:rsidR="00023155" w:rsidRPr="00023155" w:rsidRDefault="00607847" w:rsidP="0002315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023155" w:rsidRPr="00023155">
          <w:rPr>
            <w:rFonts w:eastAsia="Times New Roman"/>
            <w:color w:val="000000"/>
            <w:sz w:val="22"/>
            <w:lang w:eastAsia="en-AU"/>
          </w:rPr>
          <w:t>2</w:t>
        </w:r>
        <w:r w:rsidR="00023155" w:rsidRPr="00023155">
          <w:rPr>
            <w:rFonts w:eastAsia="Times New Roman"/>
            <w:color w:val="000000"/>
            <w:sz w:val="22"/>
            <w:lang w:eastAsia="en-AU"/>
          </w:rPr>
          <w:tab/>
          <w:t>Commencement</w:t>
        </w:r>
      </w:hyperlink>
    </w:p>
    <w:p w:rsidR="00023155" w:rsidRPr="00023155" w:rsidRDefault="00607847" w:rsidP="0002315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023155" w:rsidRPr="00023155">
          <w:rPr>
            <w:rFonts w:eastAsia="Times New Roman"/>
            <w:color w:val="000000"/>
            <w:sz w:val="22"/>
            <w:lang w:eastAsia="en-AU"/>
          </w:rPr>
          <w:t>3</w:t>
        </w:r>
        <w:r w:rsidR="00023155" w:rsidRPr="00023155">
          <w:rPr>
            <w:rFonts w:eastAsia="Times New Roman"/>
            <w:color w:val="000000"/>
            <w:sz w:val="22"/>
            <w:lang w:eastAsia="en-AU"/>
          </w:rPr>
          <w:tab/>
          <w:t>Variation provisions</w:t>
        </w:r>
      </w:hyperlink>
    </w:p>
    <w:p w:rsidR="00023155" w:rsidRPr="00023155" w:rsidRDefault="00607847" w:rsidP="00023155">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023155" w:rsidRPr="00023155">
          <w:rPr>
            <w:rFonts w:eastAsia="Times New Roman"/>
            <w:color w:val="000000"/>
            <w:sz w:val="28"/>
            <w:szCs w:val="28"/>
            <w:lang w:eastAsia="en-AU"/>
          </w:rPr>
          <w:t xml:space="preserve">Part 2—Variation of </w:t>
        </w:r>
        <w:r w:rsidR="00023155" w:rsidRPr="00023155">
          <w:rPr>
            <w:rFonts w:eastAsia="Times New Roman"/>
            <w:i/>
            <w:iCs/>
            <w:color w:val="000000"/>
            <w:sz w:val="28"/>
            <w:szCs w:val="28"/>
            <w:lang w:eastAsia="en-AU"/>
          </w:rPr>
          <w:t>Environment Protection Act 1993</w:t>
        </w:r>
      </w:hyperlink>
    </w:p>
    <w:p w:rsidR="00023155" w:rsidRPr="00023155" w:rsidRDefault="00607847" w:rsidP="0002315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023155" w:rsidRPr="00023155">
          <w:rPr>
            <w:rFonts w:eastAsia="Times New Roman"/>
            <w:color w:val="000000"/>
            <w:sz w:val="22"/>
            <w:lang w:eastAsia="en-AU"/>
          </w:rPr>
          <w:t>4</w:t>
        </w:r>
        <w:r w:rsidR="00023155" w:rsidRPr="00023155">
          <w:rPr>
            <w:rFonts w:eastAsia="Times New Roman"/>
            <w:color w:val="000000"/>
            <w:sz w:val="22"/>
            <w:lang w:eastAsia="en-AU"/>
          </w:rPr>
          <w:tab/>
          <w:t>Variation of Schedule 1 of the Act—Prescribed activities of environmental significance</w:t>
        </w:r>
      </w:hyperlink>
    </w:p>
    <w:p w:rsidR="00023155" w:rsidRPr="00023155" w:rsidRDefault="00607847" w:rsidP="00023155">
      <w:pPr>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7" w:history="1">
        <w:r w:rsidR="00023155" w:rsidRPr="00023155">
          <w:rPr>
            <w:rFonts w:eastAsia="Times New Roman"/>
            <w:color w:val="000000"/>
            <w:sz w:val="28"/>
            <w:szCs w:val="28"/>
            <w:lang w:eastAsia="en-AU"/>
          </w:rPr>
          <w:t>Schedule 1—Transitional provisions</w:t>
        </w:r>
      </w:hyperlink>
    </w:p>
    <w:p w:rsidR="00023155" w:rsidRPr="00023155" w:rsidRDefault="00607847" w:rsidP="0002315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 w:history="1">
        <w:r w:rsidR="00023155" w:rsidRPr="00023155">
          <w:rPr>
            <w:rFonts w:eastAsia="Times New Roman"/>
            <w:color w:val="000000"/>
            <w:sz w:val="22"/>
            <w:lang w:eastAsia="en-AU"/>
          </w:rPr>
          <w:t>1</w:t>
        </w:r>
        <w:r w:rsidR="00023155" w:rsidRPr="00023155">
          <w:rPr>
            <w:rFonts w:eastAsia="Times New Roman"/>
            <w:color w:val="000000"/>
            <w:sz w:val="22"/>
            <w:lang w:eastAsia="en-AU"/>
          </w:rPr>
          <w:tab/>
          <w:t>Transitional provision</w:t>
        </w:r>
      </w:hyperlink>
    </w:p>
    <w:p w:rsidR="00023155" w:rsidRPr="00023155" w:rsidRDefault="00023155" w:rsidP="00023155">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023155" w:rsidRPr="00023155" w:rsidRDefault="00023155" w:rsidP="00023155">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3" w:name="Elkera_Print_TOC1"/>
      <w:bookmarkStart w:id="24" w:name="Elkera_Print_BK1"/>
      <w:r w:rsidRPr="00023155">
        <w:rPr>
          <w:rFonts w:eastAsia="Times New Roman"/>
          <w:b/>
          <w:bCs/>
          <w:color w:val="000000"/>
          <w:sz w:val="32"/>
          <w:szCs w:val="32"/>
          <w:lang w:eastAsia="en-AU"/>
        </w:rPr>
        <w:t>Part 1—Preliminary</w:t>
      </w:r>
      <w:bookmarkEnd w:id="23"/>
      <w:bookmarkEnd w:id="24"/>
    </w:p>
    <w:p w:rsidR="00023155" w:rsidRPr="00023155" w:rsidRDefault="00023155" w:rsidP="0002315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5" w:name="Elkera_Print_TOC2"/>
      <w:bookmarkStart w:id="26" w:name="Elkera_Print_BK2"/>
      <w:r w:rsidRPr="00023155">
        <w:rPr>
          <w:rFonts w:eastAsia="Times New Roman"/>
          <w:b/>
          <w:bCs/>
          <w:color w:val="000000"/>
          <w:sz w:val="26"/>
          <w:szCs w:val="26"/>
          <w:lang w:eastAsia="en-AU"/>
        </w:rPr>
        <w:t>1—Short title</w:t>
      </w:r>
      <w:bookmarkEnd w:id="25"/>
      <w:bookmarkEnd w:id="26"/>
    </w:p>
    <w:p w:rsidR="00023155" w:rsidRPr="00023155" w:rsidRDefault="00023155" w:rsidP="00023155">
      <w:pPr>
        <w:keepLines/>
        <w:autoSpaceDE w:val="0"/>
        <w:autoSpaceDN w:val="0"/>
        <w:adjustRightInd w:val="0"/>
        <w:spacing w:before="120" w:after="0" w:line="240" w:lineRule="auto"/>
        <w:ind w:left="794"/>
        <w:jc w:val="left"/>
        <w:rPr>
          <w:rFonts w:eastAsia="Times New Roman"/>
          <w:color w:val="000000"/>
          <w:sz w:val="23"/>
          <w:szCs w:val="23"/>
          <w:lang w:eastAsia="en-AU"/>
        </w:rPr>
      </w:pPr>
      <w:r w:rsidRPr="00023155">
        <w:rPr>
          <w:rFonts w:eastAsia="Times New Roman"/>
          <w:color w:val="000000"/>
          <w:sz w:val="23"/>
          <w:szCs w:val="23"/>
          <w:lang w:eastAsia="en-AU"/>
        </w:rPr>
        <w:t xml:space="preserve">These regulations may be cited as the </w:t>
      </w:r>
      <w:r w:rsidRPr="00023155">
        <w:rPr>
          <w:rFonts w:eastAsia="Times New Roman"/>
          <w:i/>
          <w:iCs/>
          <w:color w:val="000000"/>
          <w:sz w:val="23"/>
          <w:szCs w:val="23"/>
          <w:lang w:eastAsia="en-AU"/>
        </w:rPr>
        <w:t>Environment Protection (Variation of Act, Schedule 1) Regulations 2020</w:t>
      </w:r>
      <w:r w:rsidRPr="00023155">
        <w:rPr>
          <w:rFonts w:eastAsia="Times New Roman"/>
          <w:color w:val="000000"/>
          <w:sz w:val="23"/>
          <w:szCs w:val="23"/>
          <w:lang w:eastAsia="en-AU"/>
        </w:rPr>
        <w:t>.</w:t>
      </w:r>
    </w:p>
    <w:p w:rsidR="00023155" w:rsidRPr="00023155" w:rsidRDefault="00023155" w:rsidP="0002315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7" w:name="Elkera_Print_TOC3"/>
      <w:bookmarkStart w:id="28" w:name="Elkera_Print_BK3"/>
      <w:r w:rsidRPr="00023155">
        <w:rPr>
          <w:rFonts w:eastAsia="Times New Roman"/>
          <w:b/>
          <w:bCs/>
          <w:color w:val="000000"/>
          <w:sz w:val="26"/>
          <w:szCs w:val="26"/>
          <w:lang w:eastAsia="en-AU"/>
        </w:rPr>
        <w:t>2—Commencement</w:t>
      </w:r>
      <w:bookmarkEnd w:id="27"/>
      <w:bookmarkEnd w:id="28"/>
    </w:p>
    <w:p w:rsidR="00023155" w:rsidRPr="00023155" w:rsidRDefault="00023155" w:rsidP="00023155">
      <w:pPr>
        <w:keepLines/>
        <w:autoSpaceDE w:val="0"/>
        <w:autoSpaceDN w:val="0"/>
        <w:adjustRightInd w:val="0"/>
        <w:spacing w:before="120" w:after="0" w:line="240" w:lineRule="auto"/>
        <w:ind w:left="794"/>
        <w:jc w:val="left"/>
        <w:rPr>
          <w:rFonts w:eastAsia="Times New Roman"/>
          <w:color w:val="000000"/>
          <w:sz w:val="23"/>
          <w:szCs w:val="23"/>
          <w:lang w:eastAsia="en-AU"/>
        </w:rPr>
      </w:pPr>
      <w:r w:rsidRPr="00023155">
        <w:rPr>
          <w:rFonts w:eastAsia="Times New Roman"/>
          <w:color w:val="000000"/>
          <w:sz w:val="23"/>
          <w:szCs w:val="23"/>
          <w:lang w:eastAsia="en-AU"/>
        </w:rPr>
        <w:t>These regulations come into operation on 1 April 2021.</w:t>
      </w:r>
    </w:p>
    <w:p w:rsidR="00023155" w:rsidRPr="00023155" w:rsidRDefault="00023155" w:rsidP="0002315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9" w:name="Elkera_Print_TOC4"/>
      <w:bookmarkStart w:id="30" w:name="Elkera_Print_BK4"/>
      <w:r w:rsidRPr="00023155">
        <w:rPr>
          <w:rFonts w:eastAsia="Times New Roman"/>
          <w:b/>
          <w:bCs/>
          <w:color w:val="000000"/>
          <w:sz w:val="26"/>
          <w:szCs w:val="26"/>
          <w:lang w:eastAsia="en-AU"/>
        </w:rPr>
        <w:t>3—Variation provisions</w:t>
      </w:r>
      <w:bookmarkEnd w:id="29"/>
      <w:bookmarkEnd w:id="30"/>
    </w:p>
    <w:p w:rsidR="00023155" w:rsidRPr="00023155" w:rsidRDefault="00023155" w:rsidP="00023155">
      <w:pPr>
        <w:keepLines/>
        <w:autoSpaceDE w:val="0"/>
        <w:autoSpaceDN w:val="0"/>
        <w:adjustRightInd w:val="0"/>
        <w:spacing w:before="120" w:after="0" w:line="240" w:lineRule="auto"/>
        <w:ind w:left="794"/>
        <w:jc w:val="left"/>
        <w:rPr>
          <w:rFonts w:eastAsia="Times New Roman"/>
          <w:color w:val="000000"/>
          <w:sz w:val="23"/>
          <w:szCs w:val="23"/>
          <w:lang w:eastAsia="en-AU"/>
        </w:rPr>
      </w:pPr>
      <w:r w:rsidRPr="00023155">
        <w:rPr>
          <w:rFonts w:eastAsia="Times New Roman"/>
          <w:color w:val="000000"/>
          <w:sz w:val="23"/>
          <w:szCs w:val="23"/>
          <w:lang w:eastAsia="en-AU"/>
        </w:rPr>
        <w:t>In these regulations, a provision under a heading referring to the variation of a specified Act varies the Act so specified.</w:t>
      </w:r>
    </w:p>
    <w:p w:rsidR="00023155" w:rsidRPr="00023155" w:rsidRDefault="00023155" w:rsidP="00023155">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31" w:name="Elkera_Print_TOC5"/>
      <w:bookmarkStart w:id="32" w:name="Elkera_Print_BK5"/>
      <w:r w:rsidRPr="00023155">
        <w:rPr>
          <w:rFonts w:eastAsia="Times New Roman"/>
          <w:b/>
          <w:bCs/>
          <w:color w:val="000000"/>
          <w:sz w:val="32"/>
          <w:szCs w:val="32"/>
          <w:lang w:eastAsia="en-AU"/>
        </w:rPr>
        <w:t xml:space="preserve">Part 2—Variation of </w:t>
      </w:r>
      <w:r w:rsidRPr="00023155">
        <w:rPr>
          <w:rFonts w:eastAsia="Times New Roman"/>
          <w:b/>
          <w:bCs/>
          <w:i/>
          <w:iCs/>
          <w:color w:val="000000"/>
          <w:sz w:val="32"/>
          <w:szCs w:val="32"/>
          <w:lang w:eastAsia="en-AU"/>
        </w:rPr>
        <w:t>Environment Protection Act 1993</w:t>
      </w:r>
      <w:bookmarkEnd w:id="31"/>
      <w:bookmarkEnd w:id="32"/>
    </w:p>
    <w:p w:rsidR="00023155" w:rsidRPr="00023155" w:rsidRDefault="00023155" w:rsidP="0002315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3" w:name="Elkera_Print_TOC6"/>
      <w:bookmarkStart w:id="34" w:name="Elkera_Print_BK6"/>
      <w:r w:rsidRPr="00023155">
        <w:rPr>
          <w:rFonts w:eastAsia="Times New Roman"/>
          <w:b/>
          <w:bCs/>
          <w:color w:val="000000"/>
          <w:sz w:val="26"/>
          <w:szCs w:val="26"/>
          <w:lang w:eastAsia="en-AU"/>
        </w:rPr>
        <w:t>4—Variation of Schedule 1 of the Act—Prescribed activities of environmental significance</w:t>
      </w:r>
      <w:bookmarkEnd w:id="33"/>
      <w:bookmarkEnd w:id="34"/>
    </w:p>
    <w:p w:rsidR="00023155" w:rsidRPr="00023155" w:rsidRDefault="00023155" w:rsidP="0002315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23155">
        <w:rPr>
          <w:rFonts w:eastAsia="Times New Roman"/>
          <w:color w:val="000000"/>
          <w:sz w:val="23"/>
          <w:szCs w:val="23"/>
          <w:lang w:eastAsia="en-AU"/>
        </w:rPr>
        <w:tab/>
        <w:t>(1)</w:t>
      </w:r>
      <w:r w:rsidRPr="00023155">
        <w:rPr>
          <w:rFonts w:eastAsia="Times New Roman"/>
          <w:color w:val="000000"/>
          <w:sz w:val="23"/>
          <w:szCs w:val="23"/>
          <w:lang w:eastAsia="en-AU"/>
        </w:rPr>
        <w:tab/>
        <w:t>Schedule 1, Part A, clause 1(2)—after paragraph (b) insert:</w:t>
      </w:r>
    </w:p>
    <w:p w:rsidR="00023155" w:rsidRPr="00023155" w:rsidRDefault="00023155" w:rsidP="00023155">
      <w:pPr>
        <w:keepLines/>
        <w:autoSpaceDE w:val="0"/>
        <w:autoSpaceDN w:val="0"/>
        <w:adjustRightInd w:val="0"/>
        <w:spacing w:before="120" w:after="0" w:line="240" w:lineRule="auto"/>
        <w:ind w:left="1985"/>
        <w:jc w:val="left"/>
        <w:rPr>
          <w:rFonts w:eastAsia="Times New Roman"/>
          <w:color w:val="000000"/>
          <w:sz w:val="23"/>
          <w:szCs w:val="23"/>
          <w:lang w:eastAsia="en-AU"/>
        </w:rPr>
      </w:pPr>
      <w:r w:rsidRPr="00023155">
        <w:rPr>
          <w:rFonts w:eastAsia="Times New Roman"/>
          <w:color w:val="000000"/>
          <w:sz w:val="23"/>
          <w:szCs w:val="23"/>
          <w:lang w:eastAsia="en-AU"/>
        </w:rPr>
        <w:t>or</w:t>
      </w:r>
    </w:p>
    <w:p w:rsidR="00023155" w:rsidRPr="00023155" w:rsidRDefault="00023155" w:rsidP="0002315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23155">
        <w:rPr>
          <w:rFonts w:eastAsia="Times New Roman"/>
          <w:color w:val="000000"/>
          <w:sz w:val="23"/>
          <w:szCs w:val="23"/>
          <w:lang w:eastAsia="en-AU"/>
        </w:rPr>
        <w:tab/>
        <w:t>(c)</w:t>
      </w:r>
      <w:r w:rsidRPr="00023155">
        <w:rPr>
          <w:rFonts w:eastAsia="Times New Roman"/>
          <w:color w:val="000000"/>
          <w:sz w:val="23"/>
          <w:szCs w:val="23"/>
          <w:lang w:eastAsia="en-AU"/>
        </w:rPr>
        <w:tab/>
        <w:t>works for the production of hydrogen with a production capacity of more than 100 tonnes per year.</w:t>
      </w:r>
    </w:p>
    <w:p w:rsidR="00023155" w:rsidRDefault="00023155">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rsidR="00023155" w:rsidRPr="00023155" w:rsidRDefault="00023155" w:rsidP="0002315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23155">
        <w:rPr>
          <w:rFonts w:eastAsia="Times New Roman"/>
          <w:color w:val="000000"/>
          <w:sz w:val="23"/>
          <w:szCs w:val="23"/>
          <w:lang w:eastAsia="en-AU"/>
        </w:rPr>
        <w:lastRenderedPageBreak/>
        <w:tab/>
        <w:t>(2)</w:t>
      </w:r>
      <w:r w:rsidRPr="00023155">
        <w:rPr>
          <w:rFonts w:eastAsia="Times New Roman"/>
          <w:color w:val="000000"/>
          <w:sz w:val="23"/>
          <w:szCs w:val="23"/>
          <w:lang w:eastAsia="en-AU"/>
        </w:rPr>
        <w:tab/>
        <w:t>Schedule 1, Part A, clause 5—after subclause (4) insert:</w:t>
      </w:r>
    </w:p>
    <w:p w:rsidR="00023155" w:rsidRPr="00023155" w:rsidRDefault="00023155" w:rsidP="0002315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23155">
        <w:rPr>
          <w:rFonts w:eastAsia="Times New Roman"/>
          <w:color w:val="000000"/>
          <w:sz w:val="23"/>
          <w:szCs w:val="23"/>
          <w:lang w:eastAsia="en-AU"/>
        </w:rPr>
        <w:tab/>
        <w:t>(5)</w:t>
      </w:r>
      <w:r w:rsidRPr="00023155">
        <w:rPr>
          <w:rFonts w:eastAsia="Times New Roman"/>
          <w:color w:val="000000"/>
          <w:sz w:val="23"/>
          <w:szCs w:val="23"/>
          <w:lang w:eastAsia="en-AU"/>
        </w:rPr>
        <w:tab/>
      </w:r>
      <w:r w:rsidRPr="00023155">
        <w:rPr>
          <w:rFonts w:eastAsia="Times New Roman"/>
          <w:b/>
          <w:bCs/>
          <w:color w:val="000000"/>
          <w:sz w:val="23"/>
          <w:szCs w:val="23"/>
          <w:lang w:eastAsia="en-AU"/>
        </w:rPr>
        <w:t>Poultry Farms—broiler</w:t>
      </w:r>
    </w:p>
    <w:p w:rsidR="00023155" w:rsidRPr="00023155" w:rsidRDefault="00023155" w:rsidP="00023155">
      <w:pPr>
        <w:keepLines/>
        <w:autoSpaceDE w:val="0"/>
        <w:autoSpaceDN w:val="0"/>
        <w:adjustRightInd w:val="0"/>
        <w:spacing w:before="120" w:after="0" w:line="240" w:lineRule="auto"/>
        <w:ind w:left="2382"/>
        <w:jc w:val="left"/>
        <w:rPr>
          <w:rFonts w:eastAsia="Times New Roman"/>
          <w:color w:val="000000"/>
          <w:sz w:val="23"/>
          <w:szCs w:val="23"/>
          <w:lang w:eastAsia="en-AU"/>
        </w:rPr>
      </w:pPr>
      <w:r w:rsidRPr="00023155">
        <w:rPr>
          <w:rFonts w:eastAsia="Times New Roman"/>
          <w:color w:val="000000"/>
          <w:sz w:val="23"/>
          <w:szCs w:val="23"/>
          <w:lang w:eastAsia="en-AU"/>
        </w:rPr>
        <w:t>the conduct of a broiler farm, being premises for the growing of poultry meat where the total area of the sheds or structures used to keep the poultry is 13 500 square metres or more.</w:t>
      </w:r>
    </w:p>
    <w:p w:rsidR="00023155" w:rsidRPr="00023155" w:rsidRDefault="00023155" w:rsidP="00023155">
      <w:pPr>
        <w:keepLines/>
        <w:autoSpaceDE w:val="0"/>
        <w:autoSpaceDN w:val="0"/>
        <w:adjustRightInd w:val="0"/>
        <w:spacing w:before="120" w:after="0" w:line="240" w:lineRule="auto"/>
        <w:ind w:left="2382"/>
        <w:jc w:val="left"/>
        <w:rPr>
          <w:rFonts w:eastAsia="Times New Roman"/>
          <w:color w:val="000000"/>
          <w:sz w:val="23"/>
          <w:szCs w:val="23"/>
          <w:lang w:eastAsia="en-AU"/>
        </w:rPr>
      </w:pPr>
      <w:r w:rsidRPr="00023155">
        <w:rPr>
          <w:rFonts w:eastAsia="Times New Roman"/>
          <w:color w:val="000000"/>
          <w:sz w:val="23"/>
          <w:szCs w:val="23"/>
          <w:lang w:eastAsia="en-AU"/>
        </w:rPr>
        <w:t>In this subclause—</w:t>
      </w:r>
    </w:p>
    <w:p w:rsidR="00023155" w:rsidRPr="00023155" w:rsidRDefault="00023155" w:rsidP="00023155">
      <w:pPr>
        <w:keepLines/>
        <w:autoSpaceDE w:val="0"/>
        <w:autoSpaceDN w:val="0"/>
        <w:adjustRightInd w:val="0"/>
        <w:spacing w:before="120" w:after="0" w:line="240" w:lineRule="auto"/>
        <w:ind w:left="2382"/>
        <w:jc w:val="left"/>
        <w:rPr>
          <w:rFonts w:eastAsia="Times New Roman"/>
          <w:color w:val="000000"/>
          <w:sz w:val="23"/>
          <w:szCs w:val="23"/>
          <w:lang w:eastAsia="en-AU"/>
        </w:rPr>
      </w:pPr>
      <w:r w:rsidRPr="00023155">
        <w:rPr>
          <w:rFonts w:eastAsia="Times New Roman"/>
          <w:b/>
          <w:bCs/>
          <w:i/>
          <w:iCs/>
          <w:color w:val="000000"/>
          <w:sz w:val="23"/>
          <w:szCs w:val="23"/>
          <w:lang w:eastAsia="en-AU"/>
        </w:rPr>
        <w:t>poultry</w:t>
      </w:r>
      <w:r w:rsidRPr="00023155">
        <w:rPr>
          <w:rFonts w:eastAsia="Times New Roman"/>
          <w:color w:val="000000"/>
          <w:sz w:val="23"/>
          <w:szCs w:val="23"/>
          <w:lang w:eastAsia="en-AU"/>
        </w:rPr>
        <w:t xml:space="preserve"> means chicken, turkey, guinea fowl, duck, geese, pheasants, quail, squab (pigeons), muttonbirds or other avian species but does not include ratites.</w:t>
      </w:r>
    </w:p>
    <w:p w:rsidR="00023155" w:rsidRPr="00023155" w:rsidRDefault="00023155" w:rsidP="0002315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23155">
        <w:rPr>
          <w:rFonts w:eastAsia="Times New Roman"/>
          <w:color w:val="000000"/>
          <w:sz w:val="23"/>
          <w:szCs w:val="23"/>
          <w:lang w:eastAsia="en-AU"/>
        </w:rPr>
        <w:tab/>
        <w:t>(3)</w:t>
      </w:r>
      <w:r w:rsidRPr="00023155">
        <w:rPr>
          <w:rFonts w:eastAsia="Times New Roman"/>
          <w:color w:val="000000"/>
          <w:sz w:val="23"/>
          <w:szCs w:val="23"/>
          <w:lang w:eastAsia="en-AU"/>
        </w:rPr>
        <w:tab/>
        <w:t>Schedule 1, Part A, clause 8—after subclause (8) insert:</w:t>
      </w:r>
    </w:p>
    <w:p w:rsidR="00023155" w:rsidRPr="00023155" w:rsidRDefault="00023155" w:rsidP="0002315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23155">
        <w:rPr>
          <w:rFonts w:eastAsia="Times New Roman"/>
          <w:color w:val="000000"/>
          <w:sz w:val="23"/>
          <w:szCs w:val="23"/>
          <w:lang w:eastAsia="en-AU"/>
        </w:rPr>
        <w:tab/>
        <w:t>(9)</w:t>
      </w:r>
      <w:r w:rsidRPr="00023155">
        <w:rPr>
          <w:rFonts w:eastAsia="Times New Roman"/>
          <w:color w:val="000000"/>
          <w:sz w:val="23"/>
          <w:szCs w:val="23"/>
          <w:lang w:eastAsia="en-AU"/>
        </w:rPr>
        <w:tab/>
      </w:r>
      <w:r w:rsidRPr="00023155">
        <w:rPr>
          <w:rFonts w:eastAsia="Times New Roman"/>
          <w:b/>
          <w:bCs/>
          <w:color w:val="000000"/>
          <w:sz w:val="23"/>
          <w:szCs w:val="23"/>
          <w:lang w:eastAsia="en-AU"/>
        </w:rPr>
        <w:t>Pumped hydroelectricity production works</w:t>
      </w:r>
    </w:p>
    <w:p w:rsidR="00023155" w:rsidRPr="00023155" w:rsidRDefault="00023155" w:rsidP="00023155">
      <w:pPr>
        <w:keepLines/>
        <w:autoSpaceDE w:val="0"/>
        <w:autoSpaceDN w:val="0"/>
        <w:adjustRightInd w:val="0"/>
        <w:spacing w:before="120" w:after="0" w:line="240" w:lineRule="auto"/>
        <w:ind w:left="2382"/>
        <w:jc w:val="left"/>
        <w:rPr>
          <w:rFonts w:eastAsia="Times New Roman"/>
          <w:color w:val="000000"/>
          <w:sz w:val="23"/>
          <w:szCs w:val="23"/>
          <w:lang w:eastAsia="en-AU"/>
        </w:rPr>
      </w:pPr>
      <w:r w:rsidRPr="00023155">
        <w:rPr>
          <w:rFonts w:eastAsia="Times New Roman"/>
          <w:color w:val="000000"/>
          <w:sz w:val="23"/>
          <w:szCs w:val="23"/>
          <w:lang w:eastAsia="en-AU"/>
        </w:rPr>
        <w:t>the conduct of works or a facility for the generation of electricity by means of passing water through a turbine with a total full</w:t>
      </w:r>
      <w:r w:rsidRPr="00023155">
        <w:rPr>
          <w:rFonts w:eastAsia="Times New Roman"/>
          <w:color w:val="000000"/>
          <w:sz w:val="23"/>
          <w:szCs w:val="23"/>
          <w:lang w:eastAsia="en-AU"/>
        </w:rPr>
        <w:noBreakHyphen/>
        <w:t>load sustained output capacity of 30 megawatts or more.</w:t>
      </w:r>
    </w:p>
    <w:p w:rsidR="00023155" w:rsidRPr="00023155" w:rsidRDefault="00023155" w:rsidP="00023155">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35" w:name="Elkera_Print_TOC7"/>
      <w:bookmarkStart w:id="36" w:name="Elkera_Print_BK7"/>
      <w:r w:rsidRPr="00023155">
        <w:rPr>
          <w:rFonts w:eastAsia="Times New Roman"/>
          <w:b/>
          <w:bCs/>
          <w:color w:val="000000"/>
          <w:sz w:val="32"/>
          <w:szCs w:val="32"/>
          <w:lang w:eastAsia="en-AU"/>
        </w:rPr>
        <w:t>Schedule 1—Transitional provisions</w:t>
      </w:r>
      <w:bookmarkEnd w:id="35"/>
      <w:bookmarkEnd w:id="36"/>
    </w:p>
    <w:p w:rsidR="00023155" w:rsidRPr="00023155" w:rsidRDefault="00023155" w:rsidP="0002315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7" w:name="Elkera_Print_TOC8"/>
      <w:bookmarkStart w:id="38" w:name="Elkera_Print_BK8"/>
      <w:r w:rsidRPr="00023155">
        <w:rPr>
          <w:rFonts w:eastAsia="Times New Roman"/>
          <w:b/>
          <w:bCs/>
          <w:color w:val="000000"/>
          <w:sz w:val="26"/>
          <w:szCs w:val="26"/>
          <w:lang w:eastAsia="en-AU"/>
        </w:rPr>
        <w:t>1—Transitional provision</w:t>
      </w:r>
      <w:bookmarkEnd w:id="37"/>
      <w:bookmarkEnd w:id="38"/>
    </w:p>
    <w:p w:rsidR="00023155" w:rsidRPr="00023155" w:rsidRDefault="00023155" w:rsidP="0002315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23155">
        <w:rPr>
          <w:rFonts w:eastAsia="Times New Roman"/>
          <w:color w:val="000000"/>
          <w:sz w:val="23"/>
          <w:szCs w:val="23"/>
          <w:lang w:eastAsia="en-AU"/>
        </w:rPr>
        <w:tab/>
        <w:t>(1)</w:t>
      </w:r>
      <w:r w:rsidRPr="00023155">
        <w:rPr>
          <w:rFonts w:eastAsia="Times New Roman"/>
          <w:color w:val="000000"/>
          <w:sz w:val="23"/>
          <w:szCs w:val="23"/>
          <w:lang w:eastAsia="en-AU"/>
        </w:rPr>
        <w:tab/>
        <w:t xml:space="preserve">The Authority must, despite Part 6 of the principal Act (except section 47(3)), grant a licence to a person to enable the person to conduct a broiler farm within the meaning of Schedule 1 Part A clause 5(5) of the principal Act as inserted by these regulations (to have effect from the commencement of this clause), if the applicant for the licence is, immediately before the commencement of this clause, an accredited poultry grower under the </w:t>
      </w:r>
      <w:hyperlink r:id="rId23" w:history="1">
        <w:r w:rsidRPr="00023155">
          <w:rPr>
            <w:rFonts w:eastAsia="Times New Roman"/>
            <w:i/>
            <w:iCs/>
            <w:color w:val="000000"/>
            <w:sz w:val="23"/>
            <w:szCs w:val="23"/>
            <w:lang w:eastAsia="en-AU"/>
          </w:rPr>
          <w:t>Primary Produce (Food Safety Schemes) (Meat) Regulations 2017</w:t>
        </w:r>
      </w:hyperlink>
      <w:r w:rsidRPr="00023155">
        <w:rPr>
          <w:rFonts w:eastAsia="Times New Roman"/>
          <w:color w:val="000000"/>
          <w:sz w:val="23"/>
          <w:szCs w:val="23"/>
          <w:lang w:eastAsia="en-AU"/>
        </w:rPr>
        <w:t xml:space="preserve"> in respect of the business of growing poultry at the broiler farm.</w:t>
      </w:r>
    </w:p>
    <w:p w:rsidR="00023155" w:rsidRPr="00023155" w:rsidRDefault="00023155" w:rsidP="0002315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23155">
        <w:rPr>
          <w:rFonts w:eastAsia="Times New Roman"/>
          <w:color w:val="000000"/>
          <w:sz w:val="23"/>
          <w:szCs w:val="23"/>
          <w:lang w:eastAsia="en-AU"/>
        </w:rPr>
        <w:tab/>
        <w:t>(2)</w:t>
      </w:r>
      <w:r w:rsidRPr="00023155">
        <w:rPr>
          <w:rFonts w:eastAsia="Times New Roman"/>
          <w:color w:val="000000"/>
          <w:sz w:val="23"/>
          <w:szCs w:val="23"/>
          <w:lang w:eastAsia="en-AU"/>
        </w:rPr>
        <w:tab/>
        <w:t>The Authority is not required to grant a licence pursuant to this clause except on application and payment of the appropriate application fee and authorisation fee under Part 6 of the principal Act.</w:t>
      </w:r>
    </w:p>
    <w:p w:rsidR="00023155" w:rsidRPr="00023155" w:rsidRDefault="00023155" w:rsidP="0002315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23155">
        <w:rPr>
          <w:rFonts w:eastAsia="Times New Roman"/>
          <w:color w:val="000000"/>
          <w:sz w:val="23"/>
          <w:szCs w:val="23"/>
          <w:lang w:eastAsia="en-AU"/>
        </w:rPr>
        <w:tab/>
        <w:t>(3)</w:t>
      </w:r>
      <w:r w:rsidRPr="00023155">
        <w:rPr>
          <w:rFonts w:eastAsia="Times New Roman"/>
          <w:color w:val="000000"/>
          <w:sz w:val="23"/>
          <w:szCs w:val="23"/>
          <w:lang w:eastAsia="en-AU"/>
        </w:rPr>
        <w:tab/>
        <w:t>A licence granted under this clause—</w:t>
      </w:r>
    </w:p>
    <w:p w:rsidR="00023155" w:rsidRPr="00023155" w:rsidRDefault="00023155" w:rsidP="0002315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23155">
        <w:rPr>
          <w:rFonts w:eastAsia="Times New Roman"/>
          <w:color w:val="000000"/>
          <w:sz w:val="23"/>
          <w:szCs w:val="23"/>
          <w:lang w:eastAsia="en-AU"/>
        </w:rPr>
        <w:tab/>
        <w:t>(a)</w:t>
      </w:r>
      <w:r w:rsidRPr="00023155">
        <w:rPr>
          <w:rFonts w:eastAsia="Times New Roman"/>
          <w:color w:val="000000"/>
          <w:sz w:val="23"/>
          <w:szCs w:val="23"/>
          <w:lang w:eastAsia="en-AU"/>
        </w:rPr>
        <w:tab/>
        <w:t>has effect for a term determined by the Authority; and</w:t>
      </w:r>
    </w:p>
    <w:p w:rsidR="00023155" w:rsidRPr="00023155" w:rsidRDefault="00023155" w:rsidP="0002315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23155">
        <w:rPr>
          <w:rFonts w:eastAsia="Times New Roman"/>
          <w:color w:val="000000"/>
          <w:sz w:val="23"/>
          <w:szCs w:val="23"/>
          <w:lang w:eastAsia="en-AU"/>
        </w:rPr>
        <w:tab/>
        <w:t>(b)</w:t>
      </w:r>
      <w:r w:rsidRPr="00023155">
        <w:rPr>
          <w:rFonts w:eastAsia="Times New Roman"/>
          <w:color w:val="000000"/>
          <w:sz w:val="23"/>
          <w:szCs w:val="23"/>
          <w:lang w:eastAsia="en-AU"/>
        </w:rPr>
        <w:tab/>
        <w:t>is—</w:t>
      </w:r>
    </w:p>
    <w:p w:rsidR="00023155" w:rsidRPr="00023155" w:rsidRDefault="00023155" w:rsidP="0002315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23155">
        <w:rPr>
          <w:rFonts w:eastAsia="Times New Roman"/>
          <w:color w:val="000000"/>
          <w:sz w:val="23"/>
          <w:szCs w:val="23"/>
          <w:lang w:eastAsia="en-AU"/>
        </w:rPr>
        <w:tab/>
        <w:t>(i)</w:t>
      </w:r>
      <w:r w:rsidRPr="00023155">
        <w:rPr>
          <w:rFonts w:eastAsia="Times New Roman"/>
          <w:color w:val="000000"/>
          <w:sz w:val="23"/>
          <w:szCs w:val="23"/>
          <w:lang w:eastAsia="en-AU"/>
        </w:rPr>
        <w:tab/>
        <w:t>except as specified in this clause—subject to the principal Act; and</w:t>
      </w:r>
    </w:p>
    <w:p w:rsidR="00023155" w:rsidRPr="00023155" w:rsidRDefault="00023155" w:rsidP="0002315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23155">
        <w:rPr>
          <w:rFonts w:eastAsia="Times New Roman"/>
          <w:color w:val="000000"/>
          <w:sz w:val="23"/>
          <w:szCs w:val="23"/>
          <w:lang w:eastAsia="en-AU"/>
        </w:rPr>
        <w:tab/>
        <w:t>(ii)</w:t>
      </w:r>
      <w:r w:rsidRPr="00023155">
        <w:rPr>
          <w:rFonts w:eastAsia="Times New Roman"/>
          <w:color w:val="000000"/>
          <w:sz w:val="23"/>
          <w:szCs w:val="23"/>
          <w:lang w:eastAsia="en-AU"/>
        </w:rPr>
        <w:tab/>
        <w:t>subject to any conditions of the licence imposed by the Authority under Part 6 of the Act and specified in the licence.</w:t>
      </w:r>
    </w:p>
    <w:p w:rsidR="00023155" w:rsidRPr="00023155" w:rsidRDefault="00023155" w:rsidP="0002315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23155">
        <w:rPr>
          <w:rFonts w:eastAsia="Times New Roman"/>
          <w:color w:val="000000"/>
          <w:sz w:val="23"/>
          <w:szCs w:val="23"/>
          <w:lang w:eastAsia="en-AU"/>
        </w:rPr>
        <w:tab/>
        <w:t>(4)</w:t>
      </w:r>
      <w:r w:rsidRPr="00023155">
        <w:rPr>
          <w:rFonts w:eastAsia="Times New Roman"/>
          <w:color w:val="000000"/>
          <w:sz w:val="23"/>
          <w:szCs w:val="23"/>
          <w:lang w:eastAsia="en-AU"/>
        </w:rPr>
        <w:tab/>
        <w:t>Public notice is not required to be given under Part 6 of the principal Act in respect of an application for the grant of a licence pursuant to this clause.</w:t>
      </w:r>
    </w:p>
    <w:p w:rsidR="00023155" w:rsidRPr="00023155" w:rsidRDefault="00023155" w:rsidP="0002315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23155">
        <w:rPr>
          <w:rFonts w:eastAsia="Times New Roman"/>
          <w:color w:val="000000"/>
          <w:sz w:val="23"/>
          <w:szCs w:val="23"/>
          <w:lang w:eastAsia="en-AU"/>
        </w:rPr>
        <w:tab/>
        <w:t>(5)</w:t>
      </w:r>
      <w:r w:rsidRPr="00023155">
        <w:rPr>
          <w:rFonts w:eastAsia="Times New Roman"/>
          <w:color w:val="000000"/>
          <w:sz w:val="23"/>
          <w:szCs w:val="23"/>
          <w:lang w:eastAsia="en-AU"/>
        </w:rPr>
        <w:tab/>
        <w:t>In this clause—</w:t>
      </w:r>
    </w:p>
    <w:p w:rsidR="00023155" w:rsidRPr="00023155" w:rsidRDefault="00023155" w:rsidP="00023155">
      <w:pPr>
        <w:keepLines/>
        <w:autoSpaceDE w:val="0"/>
        <w:autoSpaceDN w:val="0"/>
        <w:adjustRightInd w:val="0"/>
        <w:spacing w:before="120" w:after="0" w:line="240" w:lineRule="auto"/>
        <w:ind w:left="794"/>
        <w:jc w:val="left"/>
        <w:rPr>
          <w:rFonts w:eastAsia="Times New Roman"/>
          <w:color w:val="000000"/>
          <w:sz w:val="23"/>
          <w:szCs w:val="23"/>
          <w:lang w:eastAsia="en-AU"/>
        </w:rPr>
      </w:pPr>
      <w:r w:rsidRPr="00023155">
        <w:rPr>
          <w:rFonts w:eastAsia="Times New Roman"/>
          <w:b/>
          <w:bCs/>
          <w:i/>
          <w:iCs/>
          <w:color w:val="000000"/>
          <w:sz w:val="23"/>
          <w:szCs w:val="23"/>
          <w:lang w:eastAsia="en-AU"/>
        </w:rPr>
        <w:t>principal Act</w:t>
      </w:r>
      <w:r w:rsidRPr="00023155">
        <w:rPr>
          <w:rFonts w:eastAsia="Times New Roman"/>
          <w:color w:val="000000"/>
          <w:sz w:val="23"/>
          <w:szCs w:val="23"/>
          <w:lang w:eastAsia="en-AU"/>
        </w:rPr>
        <w:t xml:space="preserve"> means the </w:t>
      </w:r>
      <w:hyperlink r:id="rId24" w:history="1">
        <w:r w:rsidRPr="00023155">
          <w:rPr>
            <w:rFonts w:eastAsia="Times New Roman"/>
            <w:i/>
            <w:iCs/>
            <w:color w:val="000000"/>
            <w:sz w:val="23"/>
            <w:szCs w:val="23"/>
            <w:lang w:eastAsia="en-AU"/>
          </w:rPr>
          <w:t>Environment Protection Act 1993</w:t>
        </w:r>
      </w:hyperlink>
      <w:r w:rsidRPr="00023155">
        <w:rPr>
          <w:rFonts w:eastAsia="Times New Roman"/>
          <w:color w:val="000000"/>
          <w:sz w:val="23"/>
          <w:szCs w:val="23"/>
          <w:lang w:eastAsia="en-AU"/>
        </w:rPr>
        <w:t>.</w:t>
      </w:r>
    </w:p>
    <w:p w:rsidR="00023155" w:rsidRDefault="00023155">
      <w:pPr>
        <w:spacing w:after="0" w:line="240" w:lineRule="auto"/>
        <w:jc w:val="left"/>
        <w:rPr>
          <w:rFonts w:eastAsia="Times New Roman"/>
          <w:b/>
          <w:bCs/>
          <w:color w:val="000000"/>
          <w:sz w:val="20"/>
          <w:szCs w:val="20"/>
          <w:lang w:eastAsia="en-AU"/>
        </w:rPr>
      </w:pPr>
      <w:r>
        <w:rPr>
          <w:rFonts w:eastAsia="Times New Roman"/>
          <w:b/>
          <w:bCs/>
          <w:color w:val="000000"/>
          <w:sz w:val="20"/>
          <w:szCs w:val="20"/>
          <w:lang w:eastAsia="en-AU"/>
        </w:rPr>
        <w:br w:type="page"/>
      </w:r>
    </w:p>
    <w:p w:rsidR="00023155" w:rsidRPr="00023155" w:rsidRDefault="00023155" w:rsidP="00023155">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023155">
        <w:rPr>
          <w:rFonts w:eastAsia="Times New Roman"/>
          <w:b/>
          <w:bCs/>
          <w:color w:val="000000"/>
          <w:sz w:val="20"/>
          <w:szCs w:val="20"/>
          <w:lang w:eastAsia="en-AU"/>
        </w:rPr>
        <w:lastRenderedPageBreak/>
        <w:t>Note—</w:t>
      </w:r>
    </w:p>
    <w:p w:rsidR="00023155" w:rsidRPr="00023155" w:rsidRDefault="00023155" w:rsidP="00023155">
      <w:pPr>
        <w:keepLines/>
        <w:autoSpaceDE w:val="0"/>
        <w:autoSpaceDN w:val="0"/>
        <w:adjustRightInd w:val="0"/>
        <w:spacing w:before="120" w:after="0" w:line="240" w:lineRule="auto"/>
        <w:ind w:left="794"/>
        <w:jc w:val="left"/>
        <w:rPr>
          <w:rFonts w:eastAsia="Times New Roman"/>
          <w:color w:val="000000"/>
          <w:sz w:val="20"/>
          <w:szCs w:val="20"/>
          <w:lang w:eastAsia="en-AU"/>
        </w:rPr>
      </w:pPr>
      <w:r w:rsidRPr="00023155">
        <w:rPr>
          <w:rFonts w:eastAsia="Times New Roman"/>
          <w:color w:val="000000"/>
          <w:sz w:val="20"/>
          <w:szCs w:val="20"/>
          <w:lang w:eastAsia="en-AU"/>
        </w:rPr>
        <w:t xml:space="preserve">As required by section 10AA(2) of the </w:t>
      </w:r>
      <w:hyperlink r:id="rId25" w:history="1">
        <w:r w:rsidRPr="00023155">
          <w:rPr>
            <w:rFonts w:eastAsia="Times New Roman"/>
            <w:i/>
            <w:iCs/>
            <w:color w:val="000000"/>
            <w:sz w:val="20"/>
            <w:szCs w:val="20"/>
            <w:lang w:eastAsia="en-AU"/>
          </w:rPr>
          <w:t>Subordinate Legislation Act 1978</w:t>
        </w:r>
      </w:hyperlink>
      <w:r w:rsidRPr="00023155">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023155" w:rsidRPr="00023155" w:rsidRDefault="00023155" w:rsidP="00023155">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023155">
        <w:rPr>
          <w:rFonts w:eastAsia="Times New Roman"/>
          <w:b/>
          <w:bCs/>
          <w:color w:val="000000"/>
          <w:sz w:val="26"/>
          <w:szCs w:val="26"/>
          <w:lang w:eastAsia="en-AU"/>
        </w:rPr>
        <w:t>Made by the Governor</w:t>
      </w:r>
    </w:p>
    <w:p w:rsidR="00023155" w:rsidRPr="00023155" w:rsidRDefault="00023155" w:rsidP="00023155">
      <w:pPr>
        <w:keepNext/>
        <w:keepLines/>
        <w:autoSpaceDE w:val="0"/>
        <w:autoSpaceDN w:val="0"/>
        <w:adjustRightInd w:val="0"/>
        <w:spacing w:before="120" w:after="0" w:line="240" w:lineRule="auto"/>
        <w:jc w:val="left"/>
        <w:rPr>
          <w:rFonts w:eastAsia="Times New Roman"/>
          <w:color w:val="000000"/>
          <w:sz w:val="23"/>
          <w:szCs w:val="23"/>
          <w:lang w:eastAsia="en-AU"/>
        </w:rPr>
      </w:pPr>
      <w:r w:rsidRPr="00023155">
        <w:rPr>
          <w:rFonts w:eastAsia="Times New Roman"/>
          <w:color w:val="000000"/>
          <w:sz w:val="23"/>
          <w:szCs w:val="23"/>
          <w:lang w:eastAsia="en-AU"/>
        </w:rPr>
        <w:t>with the advice and consent of the Executive Council</w:t>
      </w:r>
    </w:p>
    <w:p w:rsidR="00023155" w:rsidRPr="00023155" w:rsidRDefault="00023155" w:rsidP="00023155">
      <w:pPr>
        <w:keepNext/>
        <w:keepLines/>
        <w:autoSpaceDE w:val="0"/>
        <w:autoSpaceDN w:val="0"/>
        <w:adjustRightInd w:val="0"/>
        <w:spacing w:after="0" w:line="240" w:lineRule="auto"/>
        <w:jc w:val="left"/>
        <w:rPr>
          <w:rFonts w:eastAsia="Times New Roman"/>
          <w:color w:val="000000"/>
          <w:sz w:val="23"/>
          <w:szCs w:val="23"/>
          <w:lang w:eastAsia="en-AU"/>
        </w:rPr>
      </w:pPr>
      <w:r w:rsidRPr="00023155">
        <w:rPr>
          <w:rFonts w:eastAsia="Times New Roman"/>
          <w:color w:val="000000"/>
          <w:sz w:val="23"/>
          <w:szCs w:val="23"/>
          <w:lang w:eastAsia="en-AU"/>
        </w:rPr>
        <w:t>on</w:t>
      </w:r>
      <w:r>
        <w:rPr>
          <w:rFonts w:eastAsia="Times New Roman"/>
          <w:color w:val="000000"/>
          <w:sz w:val="23"/>
          <w:szCs w:val="23"/>
          <w:lang w:eastAsia="en-AU"/>
        </w:rPr>
        <w:t xml:space="preserve"> 17 December 2020</w:t>
      </w:r>
    </w:p>
    <w:p w:rsidR="00023155" w:rsidRDefault="00023155" w:rsidP="00023155">
      <w:pPr>
        <w:keepNext/>
        <w:keepLines/>
        <w:autoSpaceDE w:val="0"/>
        <w:autoSpaceDN w:val="0"/>
        <w:adjustRightInd w:val="0"/>
        <w:spacing w:before="120" w:line="240" w:lineRule="auto"/>
        <w:jc w:val="left"/>
        <w:rPr>
          <w:rFonts w:eastAsia="Times New Roman"/>
          <w:color w:val="000000"/>
          <w:sz w:val="23"/>
          <w:szCs w:val="23"/>
          <w:lang w:eastAsia="en-AU"/>
        </w:rPr>
      </w:pPr>
      <w:r w:rsidRPr="00023155">
        <w:rPr>
          <w:rFonts w:eastAsia="Times New Roman"/>
          <w:color w:val="000000"/>
          <w:sz w:val="23"/>
          <w:szCs w:val="23"/>
          <w:lang w:eastAsia="en-AU"/>
        </w:rPr>
        <w:t>No </w:t>
      </w:r>
      <w:r>
        <w:rPr>
          <w:rFonts w:eastAsia="Times New Roman"/>
          <w:color w:val="000000"/>
          <w:sz w:val="23"/>
          <w:szCs w:val="23"/>
          <w:lang w:eastAsia="en-AU"/>
        </w:rPr>
        <w:t>311</w:t>
      </w:r>
      <w:r w:rsidRPr="00023155">
        <w:rPr>
          <w:rFonts w:eastAsia="Times New Roman"/>
          <w:color w:val="000000"/>
          <w:sz w:val="23"/>
          <w:szCs w:val="23"/>
          <w:lang w:eastAsia="en-AU"/>
        </w:rPr>
        <w:t> of </w:t>
      </w:r>
      <w:r>
        <w:rPr>
          <w:rFonts w:eastAsia="Times New Roman"/>
          <w:color w:val="000000"/>
          <w:sz w:val="23"/>
          <w:szCs w:val="23"/>
          <w:lang w:eastAsia="en-AU"/>
        </w:rPr>
        <w:t>2020</w:t>
      </w:r>
    </w:p>
    <w:p w:rsidR="00023155" w:rsidRDefault="00023155" w:rsidP="00023155">
      <w:pPr>
        <w:pBdr>
          <w:top w:val="single" w:sz="4" w:space="1" w:color="auto"/>
        </w:pBdr>
        <w:autoSpaceDE w:val="0"/>
        <w:autoSpaceDN w:val="0"/>
        <w:adjustRightInd w:val="0"/>
        <w:spacing w:before="100" w:after="0" w:line="14" w:lineRule="exact"/>
        <w:jc w:val="center"/>
        <w:rPr>
          <w:rFonts w:eastAsia="Times New Roman"/>
          <w:color w:val="000000"/>
          <w:sz w:val="23"/>
          <w:szCs w:val="23"/>
          <w:lang w:eastAsia="en-AU"/>
        </w:rPr>
      </w:pPr>
    </w:p>
    <w:p w:rsidR="0016463B" w:rsidRDefault="0016463B" w:rsidP="0016463B">
      <w:pPr>
        <w:pStyle w:val="GG-body"/>
      </w:pPr>
    </w:p>
    <w:p w:rsidR="00AE498D" w:rsidRDefault="00AE498D">
      <w:pPr>
        <w:spacing w:after="0" w:line="240" w:lineRule="auto"/>
        <w:jc w:val="left"/>
        <w:rPr>
          <w:rFonts w:eastAsia="Times New Roman"/>
          <w:szCs w:val="17"/>
        </w:rPr>
      </w:pPr>
      <w:r>
        <w:br w:type="page"/>
      </w:r>
    </w:p>
    <w:p w:rsidR="00BC1B76" w:rsidRDefault="00BC1B76" w:rsidP="00BC1B76">
      <w:pPr>
        <w:pStyle w:val="RegSpace"/>
        <w:rPr>
          <w:lang w:eastAsia="en-AU"/>
        </w:rPr>
      </w:pPr>
    </w:p>
    <w:p w:rsidR="00BC1B76" w:rsidRPr="00BC1B76" w:rsidRDefault="00BC1B76" w:rsidP="00BC1B76">
      <w:pPr>
        <w:keepLines/>
        <w:autoSpaceDE w:val="0"/>
        <w:autoSpaceDN w:val="0"/>
        <w:adjustRightInd w:val="0"/>
        <w:spacing w:before="240" w:after="0" w:line="240" w:lineRule="auto"/>
        <w:jc w:val="left"/>
        <w:rPr>
          <w:rFonts w:eastAsia="Times New Roman"/>
          <w:color w:val="000000"/>
          <w:sz w:val="28"/>
          <w:szCs w:val="28"/>
          <w:lang w:eastAsia="en-AU"/>
        </w:rPr>
      </w:pPr>
      <w:r w:rsidRPr="00BC1B76">
        <w:rPr>
          <w:rFonts w:eastAsia="Times New Roman"/>
          <w:color w:val="000000"/>
          <w:sz w:val="28"/>
          <w:szCs w:val="28"/>
          <w:lang w:eastAsia="en-AU"/>
        </w:rPr>
        <w:t>South Australia</w:t>
      </w:r>
    </w:p>
    <w:p w:rsidR="00BC1B76" w:rsidRPr="00BC1B76" w:rsidRDefault="00BC1B76" w:rsidP="00046B75">
      <w:pPr>
        <w:pStyle w:val="Heading3"/>
        <w:rPr>
          <w:lang w:eastAsia="en-AU"/>
        </w:rPr>
      </w:pPr>
      <w:bookmarkStart w:id="39" w:name="_Toc59098930"/>
      <w:r w:rsidRPr="00BC1B76">
        <w:rPr>
          <w:lang w:eastAsia="en-AU"/>
        </w:rPr>
        <w:t>Environment Protection (Environmental Authorisations—Fees) Variation Regulations 2020</w:t>
      </w:r>
      <w:bookmarkEnd w:id="39"/>
    </w:p>
    <w:p w:rsidR="00BC1B76" w:rsidRPr="00BC1B76" w:rsidRDefault="00BC1B76" w:rsidP="00BC1B76">
      <w:pPr>
        <w:keepLines/>
        <w:autoSpaceDE w:val="0"/>
        <w:autoSpaceDN w:val="0"/>
        <w:adjustRightInd w:val="0"/>
        <w:spacing w:before="80" w:after="240" w:line="240" w:lineRule="auto"/>
        <w:jc w:val="left"/>
        <w:rPr>
          <w:rFonts w:eastAsia="Times New Roman"/>
          <w:color w:val="000000"/>
          <w:sz w:val="24"/>
          <w:szCs w:val="24"/>
          <w:lang w:eastAsia="en-AU"/>
        </w:rPr>
      </w:pPr>
      <w:r w:rsidRPr="00BC1B76">
        <w:rPr>
          <w:rFonts w:eastAsia="Times New Roman"/>
          <w:color w:val="000000"/>
          <w:sz w:val="24"/>
          <w:szCs w:val="24"/>
          <w:lang w:eastAsia="en-AU"/>
        </w:rPr>
        <w:t xml:space="preserve">under the </w:t>
      </w:r>
      <w:r w:rsidRPr="00BC1B76">
        <w:rPr>
          <w:rFonts w:eastAsia="Times New Roman"/>
          <w:i/>
          <w:iCs/>
          <w:color w:val="000000"/>
          <w:sz w:val="24"/>
          <w:szCs w:val="24"/>
          <w:lang w:eastAsia="en-AU"/>
        </w:rPr>
        <w:t>Environment Protection Act 1993</w:t>
      </w:r>
    </w:p>
    <w:p w:rsidR="00BC1B76" w:rsidRPr="00BC1B76" w:rsidRDefault="00BC1B76" w:rsidP="00BC1B76">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BC1B76" w:rsidRPr="00BC1B76" w:rsidRDefault="00BC1B76" w:rsidP="00BC1B76">
      <w:pPr>
        <w:keepLines/>
        <w:autoSpaceDE w:val="0"/>
        <w:autoSpaceDN w:val="0"/>
        <w:adjustRightInd w:val="0"/>
        <w:spacing w:before="120" w:after="0" w:line="240" w:lineRule="auto"/>
        <w:jc w:val="left"/>
        <w:rPr>
          <w:rFonts w:eastAsia="Times New Roman"/>
          <w:b/>
          <w:bCs/>
          <w:color w:val="000000"/>
          <w:sz w:val="32"/>
          <w:szCs w:val="32"/>
          <w:lang w:eastAsia="en-AU"/>
        </w:rPr>
      </w:pPr>
      <w:r w:rsidRPr="00BC1B76">
        <w:rPr>
          <w:rFonts w:eastAsia="Times New Roman"/>
          <w:b/>
          <w:bCs/>
          <w:color w:val="000000"/>
          <w:sz w:val="32"/>
          <w:szCs w:val="32"/>
          <w:lang w:eastAsia="en-AU"/>
        </w:rPr>
        <w:t>Contents</w:t>
      </w:r>
    </w:p>
    <w:p w:rsidR="00BC1B76" w:rsidRPr="00BC1B76" w:rsidRDefault="00607847" w:rsidP="00BC1B76">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BC1B76" w:rsidRPr="00BC1B76">
          <w:rPr>
            <w:rFonts w:eastAsia="Times New Roman"/>
            <w:color w:val="000000"/>
            <w:sz w:val="28"/>
            <w:szCs w:val="28"/>
            <w:lang w:eastAsia="en-AU"/>
          </w:rPr>
          <w:t>Part 1—Preliminary</w:t>
        </w:r>
      </w:hyperlink>
    </w:p>
    <w:p w:rsidR="00BC1B76" w:rsidRPr="00BC1B76" w:rsidRDefault="00607847" w:rsidP="00BC1B7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BC1B76" w:rsidRPr="00BC1B76">
          <w:rPr>
            <w:rFonts w:eastAsia="Times New Roman"/>
            <w:color w:val="000000"/>
            <w:sz w:val="22"/>
            <w:lang w:eastAsia="en-AU"/>
          </w:rPr>
          <w:t>1</w:t>
        </w:r>
        <w:r w:rsidR="00BC1B76" w:rsidRPr="00BC1B76">
          <w:rPr>
            <w:rFonts w:eastAsia="Times New Roman"/>
            <w:color w:val="000000"/>
            <w:sz w:val="22"/>
            <w:lang w:eastAsia="en-AU"/>
          </w:rPr>
          <w:tab/>
          <w:t>Short title</w:t>
        </w:r>
      </w:hyperlink>
    </w:p>
    <w:p w:rsidR="00BC1B76" w:rsidRPr="00BC1B76" w:rsidRDefault="00607847" w:rsidP="00BC1B7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BC1B76" w:rsidRPr="00BC1B76">
          <w:rPr>
            <w:rFonts w:eastAsia="Times New Roman"/>
            <w:color w:val="000000"/>
            <w:sz w:val="22"/>
            <w:lang w:eastAsia="en-AU"/>
          </w:rPr>
          <w:t>2</w:t>
        </w:r>
        <w:r w:rsidR="00BC1B76" w:rsidRPr="00BC1B76">
          <w:rPr>
            <w:rFonts w:eastAsia="Times New Roman"/>
            <w:color w:val="000000"/>
            <w:sz w:val="22"/>
            <w:lang w:eastAsia="en-AU"/>
          </w:rPr>
          <w:tab/>
          <w:t>Commencement</w:t>
        </w:r>
      </w:hyperlink>
    </w:p>
    <w:p w:rsidR="00BC1B76" w:rsidRPr="00BC1B76" w:rsidRDefault="00607847" w:rsidP="00BC1B7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BC1B76" w:rsidRPr="00BC1B76">
          <w:rPr>
            <w:rFonts w:eastAsia="Times New Roman"/>
            <w:color w:val="000000"/>
            <w:sz w:val="22"/>
            <w:lang w:eastAsia="en-AU"/>
          </w:rPr>
          <w:t>3</w:t>
        </w:r>
        <w:r w:rsidR="00BC1B76" w:rsidRPr="00BC1B76">
          <w:rPr>
            <w:rFonts w:eastAsia="Times New Roman"/>
            <w:color w:val="000000"/>
            <w:sz w:val="22"/>
            <w:lang w:eastAsia="en-AU"/>
          </w:rPr>
          <w:tab/>
          <w:t>Variation provisions</w:t>
        </w:r>
      </w:hyperlink>
    </w:p>
    <w:p w:rsidR="00BC1B76" w:rsidRPr="00BC1B76" w:rsidRDefault="00607847" w:rsidP="00BC1B76">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BC1B76" w:rsidRPr="00BC1B76">
          <w:rPr>
            <w:rFonts w:eastAsia="Times New Roman"/>
            <w:color w:val="000000"/>
            <w:sz w:val="28"/>
            <w:szCs w:val="28"/>
            <w:lang w:eastAsia="en-AU"/>
          </w:rPr>
          <w:t xml:space="preserve">Part 2—Variation of </w:t>
        </w:r>
        <w:r w:rsidR="00BC1B76" w:rsidRPr="00BC1B76">
          <w:rPr>
            <w:rFonts w:eastAsia="Times New Roman"/>
            <w:i/>
            <w:iCs/>
            <w:color w:val="000000"/>
            <w:sz w:val="28"/>
            <w:szCs w:val="28"/>
            <w:lang w:eastAsia="en-AU"/>
          </w:rPr>
          <w:t>Environment Protection Regulations 2009</w:t>
        </w:r>
      </w:hyperlink>
    </w:p>
    <w:p w:rsidR="00BC1B76" w:rsidRPr="00BC1B76" w:rsidRDefault="00607847" w:rsidP="00BC1B7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BC1B76" w:rsidRPr="00BC1B76">
          <w:rPr>
            <w:rFonts w:eastAsia="Times New Roman"/>
            <w:color w:val="000000"/>
            <w:sz w:val="22"/>
            <w:lang w:eastAsia="en-AU"/>
          </w:rPr>
          <w:t>4</w:t>
        </w:r>
        <w:r w:rsidR="00BC1B76" w:rsidRPr="00BC1B76">
          <w:rPr>
            <w:rFonts w:eastAsia="Times New Roman"/>
            <w:color w:val="000000"/>
            <w:sz w:val="22"/>
            <w:lang w:eastAsia="en-AU"/>
          </w:rPr>
          <w:tab/>
          <w:t>Variation of Schedule 2—Environmental authorisations—application and authorisation fees</w:t>
        </w:r>
      </w:hyperlink>
    </w:p>
    <w:p w:rsidR="00BC1B76" w:rsidRPr="00BC1B76" w:rsidRDefault="00BC1B76" w:rsidP="00BC1B76">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BC1B76" w:rsidRPr="00BC1B76" w:rsidRDefault="00BC1B76" w:rsidP="00BC1B7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BC1B76">
        <w:rPr>
          <w:rFonts w:eastAsia="Times New Roman"/>
          <w:b/>
          <w:bCs/>
          <w:color w:val="000000"/>
          <w:sz w:val="32"/>
          <w:szCs w:val="32"/>
          <w:lang w:eastAsia="en-AU"/>
        </w:rPr>
        <w:t>Part 1—Preliminary</w:t>
      </w:r>
    </w:p>
    <w:p w:rsidR="00BC1B76" w:rsidRPr="00BC1B76" w:rsidRDefault="00BC1B76" w:rsidP="00BC1B7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C1B76">
        <w:rPr>
          <w:rFonts w:eastAsia="Times New Roman"/>
          <w:b/>
          <w:bCs/>
          <w:color w:val="000000"/>
          <w:sz w:val="26"/>
          <w:szCs w:val="26"/>
          <w:lang w:eastAsia="en-AU"/>
        </w:rPr>
        <w:t>1—Short title</w:t>
      </w:r>
    </w:p>
    <w:p w:rsidR="00BC1B76" w:rsidRPr="00BC1B76" w:rsidRDefault="00BC1B76" w:rsidP="00BC1B76">
      <w:pPr>
        <w:keepLines/>
        <w:autoSpaceDE w:val="0"/>
        <w:autoSpaceDN w:val="0"/>
        <w:adjustRightInd w:val="0"/>
        <w:spacing w:before="120" w:after="0" w:line="240" w:lineRule="auto"/>
        <w:ind w:left="794"/>
        <w:jc w:val="left"/>
        <w:rPr>
          <w:rFonts w:eastAsia="Times New Roman"/>
          <w:color w:val="000000"/>
          <w:sz w:val="23"/>
          <w:szCs w:val="23"/>
          <w:lang w:eastAsia="en-AU"/>
        </w:rPr>
      </w:pPr>
      <w:r w:rsidRPr="00BC1B76">
        <w:rPr>
          <w:rFonts w:eastAsia="Times New Roman"/>
          <w:color w:val="000000"/>
          <w:sz w:val="23"/>
          <w:szCs w:val="23"/>
          <w:lang w:eastAsia="en-AU"/>
        </w:rPr>
        <w:t xml:space="preserve">These regulations may be cited as the </w:t>
      </w:r>
      <w:r w:rsidRPr="00BC1B76">
        <w:rPr>
          <w:rFonts w:eastAsia="Times New Roman"/>
          <w:i/>
          <w:iCs/>
          <w:color w:val="000000"/>
          <w:sz w:val="23"/>
          <w:szCs w:val="23"/>
          <w:lang w:eastAsia="en-AU"/>
        </w:rPr>
        <w:t>Environment Protection (Environmental Authorisations—Fees) Variation Regulations 2020</w:t>
      </w:r>
      <w:r w:rsidRPr="00BC1B76">
        <w:rPr>
          <w:rFonts w:eastAsia="Times New Roman"/>
          <w:color w:val="000000"/>
          <w:sz w:val="23"/>
          <w:szCs w:val="23"/>
          <w:lang w:eastAsia="en-AU"/>
        </w:rPr>
        <w:t>.</w:t>
      </w:r>
    </w:p>
    <w:p w:rsidR="00BC1B76" w:rsidRPr="00BC1B76" w:rsidRDefault="00BC1B76" w:rsidP="00BC1B7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C1B76">
        <w:rPr>
          <w:rFonts w:eastAsia="Times New Roman"/>
          <w:b/>
          <w:bCs/>
          <w:color w:val="000000"/>
          <w:sz w:val="26"/>
          <w:szCs w:val="26"/>
          <w:lang w:eastAsia="en-AU"/>
        </w:rPr>
        <w:t>2—Commencement</w:t>
      </w:r>
    </w:p>
    <w:p w:rsidR="00BC1B76" w:rsidRPr="00BC1B76" w:rsidRDefault="00BC1B76" w:rsidP="00BC1B76">
      <w:pPr>
        <w:keepLines/>
        <w:autoSpaceDE w:val="0"/>
        <w:autoSpaceDN w:val="0"/>
        <w:adjustRightInd w:val="0"/>
        <w:spacing w:before="120" w:after="0" w:line="240" w:lineRule="auto"/>
        <w:ind w:left="794"/>
        <w:jc w:val="left"/>
        <w:rPr>
          <w:rFonts w:eastAsia="Times New Roman"/>
          <w:color w:val="000000"/>
          <w:sz w:val="23"/>
          <w:szCs w:val="23"/>
          <w:lang w:eastAsia="en-AU"/>
        </w:rPr>
      </w:pPr>
      <w:r w:rsidRPr="00BC1B76">
        <w:rPr>
          <w:rFonts w:eastAsia="Times New Roman"/>
          <w:color w:val="000000"/>
          <w:sz w:val="23"/>
          <w:szCs w:val="23"/>
          <w:lang w:eastAsia="en-AU"/>
        </w:rPr>
        <w:t>These regulations come into operation on 1 April 2021.</w:t>
      </w:r>
    </w:p>
    <w:p w:rsidR="00BC1B76" w:rsidRPr="00BC1B76" w:rsidRDefault="00BC1B76" w:rsidP="00BC1B7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C1B76">
        <w:rPr>
          <w:rFonts w:eastAsia="Times New Roman"/>
          <w:b/>
          <w:bCs/>
          <w:color w:val="000000"/>
          <w:sz w:val="26"/>
          <w:szCs w:val="26"/>
          <w:lang w:eastAsia="en-AU"/>
        </w:rPr>
        <w:t>3—Variation provisions</w:t>
      </w:r>
    </w:p>
    <w:p w:rsidR="00BC1B76" w:rsidRPr="00BC1B76" w:rsidRDefault="00BC1B76" w:rsidP="00BC1B76">
      <w:pPr>
        <w:keepLines/>
        <w:autoSpaceDE w:val="0"/>
        <w:autoSpaceDN w:val="0"/>
        <w:adjustRightInd w:val="0"/>
        <w:spacing w:before="120" w:after="0" w:line="240" w:lineRule="auto"/>
        <w:ind w:left="794"/>
        <w:jc w:val="left"/>
        <w:rPr>
          <w:rFonts w:eastAsia="Times New Roman"/>
          <w:color w:val="000000"/>
          <w:sz w:val="23"/>
          <w:szCs w:val="23"/>
          <w:lang w:eastAsia="en-AU"/>
        </w:rPr>
      </w:pPr>
      <w:r w:rsidRPr="00BC1B76">
        <w:rPr>
          <w:rFonts w:eastAsia="Times New Roman"/>
          <w:color w:val="000000"/>
          <w:sz w:val="23"/>
          <w:szCs w:val="23"/>
          <w:lang w:eastAsia="en-AU"/>
        </w:rPr>
        <w:t>In these regulations, a provision under a heading referring to the variation of specified regulations varies the regulations so specified.</w:t>
      </w:r>
    </w:p>
    <w:p w:rsidR="00BC1B76" w:rsidRPr="00BC1B76" w:rsidRDefault="00BC1B76" w:rsidP="00BC1B7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BC1B76">
        <w:rPr>
          <w:rFonts w:eastAsia="Times New Roman"/>
          <w:b/>
          <w:bCs/>
          <w:color w:val="000000"/>
          <w:sz w:val="32"/>
          <w:szCs w:val="32"/>
          <w:lang w:eastAsia="en-AU"/>
        </w:rPr>
        <w:t xml:space="preserve">Part 2—Variation of </w:t>
      </w:r>
      <w:r w:rsidRPr="00BC1B76">
        <w:rPr>
          <w:rFonts w:eastAsia="Times New Roman"/>
          <w:b/>
          <w:bCs/>
          <w:i/>
          <w:iCs/>
          <w:color w:val="000000"/>
          <w:sz w:val="32"/>
          <w:szCs w:val="32"/>
          <w:lang w:eastAsia="en-AU"/>
        </w:rPr>
        <w:t>Environment Protection Regulations 2009</w:t>
      </w:r>
    </w:p>
    <w:p w:rsidR="00BC1B76" w:rsidRPr="00BC1B76" w:rsidRDefault="00BC1B76" w:rsidP="00BC1B7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C1B76">
        <w:rPr>
          <w:rFonts w:eastAsia="Times New Roman"/>
          <w:b/>
          <w:bCs/>
          <w:color w:val="000000"/>
          <w:sz w:val="26"/>
          <w:szCs w:val="26"/>
          <w:lang w:eastAsia="en-AU"/>
        </w:rPr>
        <w:t>4—Variation of Schedule 2—Environmental authorisations—application and authorisation fees</w:t>
      </w:r>
    </w:p>
    <w:p w:rsidR="00BC1B76" w:rsidRPr="00BC1B76" w:rsidRDefault="00BC1B76" w:rsidP="00BC1B7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C1B76">
        <w:rPr>
          <w:rFonts w:eastAsia="Times New Roman"/>
          <w:color w:val="000000"/>
          <w:sz w:val="23"/>
          <w:szCs w:val="23"/>
          <w:lang w:eastAsia="en-AU"/>
        </w:rPr>
        <w:tab/>
        <w:t>(1)</w:t>
      </w:r>
      <w:r w:rsidRPr="00BC1B76">
        <w:rPr>
          <w:rFonts w:eastAsia="Times New Roman"/>
          <w:color w:val="000000"/>
          <w:sz w:val="23"/>
          <w:szCs w:val="23"/>
          <w:lang w:eastAsia="en-AU"/>
        </w:rPr>
        <w:tab/>
        <w:t>Schedule 2, clause 8(2)—after paragraph (h) insert:</w:t>
      </w:r>
    </w:p>
    <w:p w:rsidR="00BC1B76" w:rsidRPr="00BC1B76" w:rsidRDefault="00BC1B76" w:rsidP="00BC1B7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C1B76">
        <w:rPr>
          <w:rFonts w:eastAsia="Times New Roman"/>
          <w:color w:val="000000"/>
          <w:sz w:val="23"/>
          <w:szCs w:val="23"/>
          <w:lang w:eastAsia="en-AU"/>
        </w:rPr>
        <w:tab/>
        <w:t>(i)</w:t>
      </w:r>
      <w:r w:rsidRPr="00BC1B76">
        <w:rPr>
          <w:rFonts w:eastAsia="Times New Roman"/>
          <w:color w:val="000000"/>
          <w:sz w:val="23"/>
          <w:szCs w:val="23"/>
          <w:lang w:eastAsia="en-AU"/>
        </w:rPr>
        <w:tab/>
        <w:t>for an activity specified in clause 8(9) of Schedule 1 Part A of the Act (Pumped hydroelectricity production works) both of the following measures:</w:t>
      </w:r>
    </w:p>
    <w:p w:rsidR="00B46EAA" w:rsidRDefault="00B46EAA">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rsidR="00BC1B76" w:rsidRPr="00BC1B76" w:rsidRDefault="00BC1B76" w:rsidP="00BC1B7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C1B76">
        <w:rPr>
          <w:rFonts w:eastAsia="Times New Roman"/>
          <w:color w:val="000000"/>
          <w:sz w:val="23"/>
          <w:szCs w:val="23"/>
          <w:lang w:eastAsia="en-AU"/>
        </w:rPr>
        <w:lastRenderedPageBreak/>
        <w:tab/>
        <w:t>(i)</w:t>
      </w:r>
      <w:r w:rsidRPr="00BC1B76">
        <w:rPr>
          <w:rFonts w:eastAsia="Times New Roman"/>
          <w:color w:val="000000"/>
          <w:sz w:val="23"/>
          <w:szCs w:val="23"/>
          <w:lang w:eastAsia="en-AU"/>
        </w:rPr>
        <w:tab/>
        <w:t>a lining system for the water reservoir at the works or facility (for example, high density polyethylene lining or a lining with an equivalent level of impermeability) for preventing the contamination of surrounding land and waters from the storage of water used in the production of hydroelectricity;</w:t>
      </w:r>
    </w:p>
    <w:p w:rsidR="00BC1B76" w:rsidRPr="00BC1B76" w:rsidRDefault="00BC1B76" w:rsidP="00BC1B7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C1B76">
        <w:rPr>
          <w:rFonts w:eastAsia="Times New Roman"/>
          <w:color w:val="000000"/>
          <w:sz w:val="23"/>
          <w:szCs w:val="23"/>
          <w:lang w:eastAsia="en-AU"/>
        </w:rPr>
        <w:tab/>
        <w:t>(ii)</w:t>
      </w:r>
      <w:r w:rsidRPr="00BC1B76">
        <w:rPr>
          <w:rFonts w:eastAsia="Times New Roman"/>
          <w:color w:val="000000"/>
          <w:sz w:val="23"/>
          <w:szCs w:val="23"/>
          <w:lang w:eastAsia="en-AU"/>
        </w:rPr>
        <w:tab/>
        <w:t>a system enabling the detection of leakage of water into surrounding land or waters from the water reservoir at the works or facility used to store water used in the production of hydroelectricity.</w:t>
      </w:r>
    </w:p>
    <w:p w:rsidR="00BC1B76" w:rsidRPr="00BC1B76" w:rsidRDefault="00BC1B76" w:rsidP="00BC1B7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C1B76">
        <w:rPr>
          <w:rFonts w:eastAsia="Times New Roman"/>
          <w:color w:val="000000"/>
          <w:sz w:val="23"/>
          <w:szCs w:val="23"/>
          <w:lang w:eastAsia="en-AU"/>
        </w:rPr>
        <w:tab/>
        <w:t>(2)</w:t>
      </w:r>
      <w:r w:rsidRPr="00BC1B76">
        <w:rPr>
          <w:rFonts w:eastAsia="Times New Roman"/>
          <w:color w:val="000000"/>
          <w:sz w:val="23"/>
          <w:szCs w:val="23"/>
          <w:lang w:eastAsia="en-AU"/>
        </w:rPr>
        <w:tab/>
        <w:t>Schedule 2, clause 8—after subclause (2) insert:</w:t>
      </w:r>
    </w:p>
    <w:p w:rsidR="00BC1B76" w:rsidRPr="00BC1B76" w:rsidRDefault="00BC1B76" w:rsidP="00BC1B76">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40" w:name="ida738edd2_ffeb_4301_aa35_12ca5f8065"/>
      <w:r w:rsidRPr="00BC1B76">
        <w:rPr>
          <w:rFonts w:eastAsia="Times New Roman"/>
          <w:color w:val="000000"/>
          <w:sz w:val="23"/>
          <w:szCs w:val="23"/>
          <w:lang w:eastAsia="en-AU"/>
        </w:rPr>
        <w:tab/>
        <w:t>(3)</w:t>
      </w:r>
      <w:r w:rsidRPr="00BC1B76">
        <w:rPr>
          <w:rFonts w:eastAsia="Times New Roman"/>
          <w:color w:val="000000"/>
          <w:sz w:val="23"/>
          <w:szCs w:val="23"/>
          <w:lang w:eastAsia="en-AU"/>
        </w:rPr>
        <w:tab/>
        <w:t>For the purposes of the item relating to clause 8(9) of the Act in the table in clause 9 of this Part—</w:t>
      </w:r>
      <w:bookmarkEnd w:id="40"/>
    </w:p>
    <w:p w:rsidR="00BC1B76" w:rsidRPr="00BC1B76" w:rsidRDefault="00BC1B76" w:rsidP="00BC1B76">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BC1B76">
        <w:rPr>
          <w:rFonts w:eastAsia="Times New Roman"/>
          <w:b/>
          <w:bCs/>
          <w:i/>
          <w:iCs/>
          <w:color w:val="000000"/>
          <w:sz w:val="23"/>
          <w:szCs w:val="23"/>
          <w:lang w:eastAsia="en-AU"/>
        </w:rPr>
        <w:t>category 1 pumped hydroelectricity works or facility</w:t>
      </w:r>
      <w:r w:rsidRPr="00BC1B76">
        <w:rPr>
          <w:rFonts w:eastAsia="Times New Roman"/>
          <w:color w:val="000000"/>
          <w:sz w:val="23"/>
          <w:szCs w:val="23"/>
          <w:lang w:eastAsia="en-AU"/>
        </w:rPr>
        <w:t xml:space="preserve"> means a pumped hydroelectricity works or facility—</w:t>
      </w:r>
    </w:p>
    <w:p w:rsidR="00BC1B76" w:rsidRPr="00BC1B76" w:rsidRDefault="00BC1B76" w:rsidP="00BC1B7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C1B76">
        <w:rPr>
          <w:rFonts w:eastAsia="Times New Roman"/>
          <w:color w:val="000000"/>
          <w:sz w:val="23"/>
          <w:szCs w:val="23"/>
          <w:lang w:eastAsia="en-AU"/>
        </w:rPr>
        <w:tab/>
        <w:t>(a)</w:t>
      </w:r>
      <w:r w:rsidRPr="00BC1B76">
        <w:rPr>
          <w:rFonts w:eastAsia="Times New Roman"/>
          <w:color w:val="000000"/>
          <w:sz w:val="23"/>
          <w:szCs w:val="23"/>
          <w:lang w:eastAsia="en-AU"/>
        </w:rPr>
        <w:tab/>
        <w:t>at which the water used in the hydroelectricity production process has a salinity of 1 200 milligrams of total dissolved solids per litre or more; and</w:t>
      </w:r>
    </w:p>
    <w:p w:rsidR="00BC1B76" w:rsidRPr="00BC1B76" w:rsidRDefault="00BC1B76" w:rsidP="00BC1B7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C1B76">
        <w:rPr>
          <w:rFonts w:eastAsia="Times New Roman"/>
          <w:color w:val="000000"/>
          <w:sz w:val="23"/>
          <w:szCs w:val="23"/>
          <w:lang w:eastAsia="en-AU"/>
        </w:rPr>
        <w:tab/>
        <w:t>(b)</w:t>
      </w:r>
      <w:r w:rsidRPr="00BC1B76">
        <w:rPr>
          <w:rFonts w:eastAsia="Times New Roman"/>
          <w:color w:val="000000"/>
          <w:sz w:val="23"/>
          <w:szCs w:val="23"/>
          <w:lang w:eastAsia="en-AU"/>
        </w:rPr>
        <w:tab/>
        <w:t>in respect of which the Authority has determined, in accordance with guidelines issued by the Authority, that there is, or is reasonable potential for, acid rock drainage into nearby underground, surface or marine waters as a result of the hydroelectricity production process at the works or facility;</w:t>
      </w:r>
    </w:p>
    <w:p w:rsidR="00BC1B76" w:rsidRPr="00BC1B76" w:rsidRDefault="00BC1B76" w:rsidP="00BC1B76">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BC1B76">
        <w:rPr>
          <w:rFonts w:eastAsia="Times New Roman"/>
          <w:b/>
          <w:bCs/>
          <w:i/>
          <w:iCs/>
          <w:color w:val="000000"/>
          <w:sz w:val="23"/>
          <w:szCs w:val="23"/>
          <w:lang w:eastAsia="en-AU"/>
        </w:rPr>
        <w:t>category 2 pumped hydroelectricity works or facility</w:t>
      </w:r>
      <w:r w:rsidRPr="00BC1B76">
        <w:rPr>
          <w:rFonts w:eastAsia="Times New Roman"/>
          <w:color w:val="000000"/>
          <w:sz w:val="23"/>
          <w:szCs w:val="23"/>
          <w:lang w:eastAsia="en-AU"/>
        </w:rPr>
        <w:t xml:space="preserve"> means a pumped hydroelectricity works or facility—</w:t>
      </w:r>
    </w:p>
    <w:p w:rsidR="00BC1B76" w:rsidRPr="00BC1B76" w:rsidRDefault="00BC1B76" w:rsidP="00BC1B7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C1B76">
        <w:rPr>
          <w:rFonts w:eastAsia="Times New Roman"/>
          <w:color w:val="000000"/>
          <w:sz w:val="23"/>
          <w:szCs w:val="23"/>
          <w:lang w:eastAsia="en-AU"/>
        </w:rPr>
        <w:tab/>
        <w:t>(a)</w:t>
      </w:r>
      <w:r w:rsidRPr="00BC1B76">
        <w:rPr>
          <w:rFonts w:eastAsia="Times New Roman"/>
          <w:color w:val="000000"/>
          <w:sz w:val="23"/>
          <w:szCs w:val="23"/>
          <w:lang w:eastAsia="en-AU"/>
        </w:rPr>
        <w:tab/>
        <w:t>at which the water used in the hydroelectricity production process has a salinity of less than 1 200 milligrams of total dissolved solids per litre; and</w:t>
      </w:r>
    </w:p>
    <w:p w:rsidR="00BC1B76" w:rsidRPr="00BC1B76" w:rsidRDefault="00BC1B76" w:rsidP="00BC1B7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C1B76">
        <w:rPr>
          <w:rFonts w:eastAsia="Times New Roman"/>
          <w:color w:val="000000"/>
          <w:sz w:val="23"/>
          <w:szCs w:val="23"/>
          <w:lang w:eastAsia="en-AU"/>
        </w:rPr>
        <w:tab/>
        <w:t>(b)</w:t>
      </w:r>
      <w:r w:rsidRPr="00BC1B76">
        <w:rPr>
          <w:rFonts w:eastAsia="Times New Roman"/>
          <w:color w:val="000000"/>
          <w:sz w:val="23"/>
          <w:szCs w:val="23"/>
          <w:lang w:eastAsia="en-AU"/>
        </w:rPr>
        <w:tab/>
        <w:t>in respect of which the Authority has determined, in accordance with guidelines issued by the Authority, that there is, or is reasonable potential for, acid rock drainage into nearby underground, surface or marine waters as a result of the hydroelectricity production process at the works or facility.</w:t>
      </w:r>
    </w:p>
    <w:p w:rsidR="00BC1B76" w:rsidRPr="00BC1B76" w:rsidRDefault="00BC1B76" w:rsidP="00BC1B76">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C1B76">
        <w:rPr>
          <w:rFonts w:eastAsia="Times New Roman"/>
          <w:color w:val="000000"/>
          <w:sz w:val="23"/>
          <w:szCs w:val="23"/>
          <w:lang w:eastAsia="en-AU"/>
        </w:rPr>
        <w:tab/>
        <w:t>(4)</w:t>
      </w:r>
      <w:r w:rsidRPr="00BC1B76">
        <w:rPr>
          <w:rFonts w:eastAsia="Times New Roman"/>
          <w:color w:val="000000"/>
          <w:sz w:val="23"/>
          <w:szCs w:val="23"/>
          <w:lang w:eastAsia="en-AU"/>
        </w:rPr>
        <w:tab/>
        <w:t xml:space="preserve">In </w:t>
      </w:r>
      <w:hyperlink w:anchor="ida738edd2_ffeb_4301_aa35_12ca5f8065" w:history="1">
        <w:r w:rsidRPr="00BC1B76">
          <w:rPr>
            <w:rFonts w:eastAsia="Times New Roman"/>
            <w:color w:val="000000"/>
            <w:sz w:val="23"/>
            <w:szCs w:val="23"/>
            <w:lang w:eastAsia="en-AU"/>
          </w:rPr>
          <w:t>subclause (3)</w:t>
        </w:r>
      </w:hyperlink>
      <w:r w:rsidRPr="00BC1B76">
        <w:rPr>
          <w:rFonts w:eastAsia="Times New Roman"/>
          <w:color w:val="000000"/>
          <w:sz w:val="23"/>
          <w:szCs w:val="23"/>
          <w:lang w:eastAsia="en-AU"/>
        </w:rPr>
        <w:t>—</w:t>
      </w:r>
    </w:p>
    <w:p w:rsidR="00BC1B76" w:rsidRPr="00BC1B76" w:rsidRDefault="00BC1B76" w:rsidP="00BC1B76">
      <w:pPr>
        <w:keepLines/>
        <w:autoSpaceDE w:val="0"/>
        <w:autoSpaceDN w:val="0"/>
        <w:adjustRightInd w:val="0"/>
        <w:spacing w:before="120" w:after="0" w:line="240" w:lineRule="auto"/>
        <w:ind w:left="2382"/>
        <w:jc w:val="left"/>
        <w:rPr>
          <w:rFonts w:eastAsia="Times New Roman"/>
          <w:color w:val="000000"/>
          <w:sz w:val="23"/>
          <w:szCs w:val="23"/>
          <w:lang w:eastAsia="en-AU"/>
        </w:rPr>
      </w:pPr>
      <w:r w:rsidRPr="00BC1B76">
        <w:rPr>
          <w:rFonts w:eastAsia="Times New Roman"/>
          <w:b/>
          <w:bCs/>
          <w:i/>
          <w:iCs/>
          <w:color w:val="000000"/>
          <w:sz w:val="23"/>
          <w:szCs w:val="23"/>
          <w:lang w:eastAsia="en-AU"/>
        </w:rPr>
        <w:t>surface waters</w:t>
      </w:r>
      <w:r w:rsidRPr="00BC1B76">
        <w:rPr>
          <w:rFonts w:eastAsia="Times New Roman"/>
          <w:color w:val="000000"/>
          <w:sz w:val="23"/>
          <w:szCs w:val="23"/>
          <w:lang w:eastAsia="en-AU"/>
        </w:rPr>
        <w:t xml:space="preserve"> means waters other than underground waters;</w:t>
      </w:r>
    </w:p>
    <w:p w:rsidR="00BC1B76" w:rsidRPr="00BC1B76" w:rsidRDefault="00BC1B76" w:rsidP="00BC1B76">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BC1B76">
        <w:rPr>
          <w:rFonts w:eastAsia="Times New Roman"/>
          <w:b/>
          <w:bCs/>
          <w:i/>
          <w:iCs/>
          <w:color w:val="000000"/>
          <w:sz w:val="23"/>
          <w:szCs w:val="23"/>
          <w:lang w:eastAsia="en-AU"/>
        </w:rPr>
        <w:t>underground waters</w:t>
      </w:r>
      <w:r w:rsidRPr="00BC1B76">
        <w:rPr>
          <w:rFonts w:eastAsia="Times New Roman"/>
          <w:color w:val="000000"/>
          <w:sz w:val="23"/>
          <w:szCs w:val="23"/>
          <w:lang w:eastAsia="en-AU"/>
        </w:rPr>
        <w:t xml:space="preserve"> means—</w:t>
      </w:r>
    </w:p>
    <w:p w:rsidR="00BC1B76" w:rsidRPr="00BC1B76" w:rsidRDefault="00BC1B76" w:rsidP="00BC1B7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C1B76">
        <w:rPr>
          <w:rFonts w:eastAsia="Times New Roman"/>
          <w:color w:val="000000"/>
          <w:sz w:val="23"/>
          <w:szCs w:val="23"/>
          <w:lang w:eastAsia="en-AU"/>
        </w:rPr>
        <w:tab/>
        <w:t>(a)</w:t>
      </w:r>
      <w:r w:rsidRPr="00BC1B76">
        <w:rPr>
          <w:rFonts w:eastAsia="Times New Roman"/>
          <w:color w:val="000000"/>
          <w:sz w:val="23"/>
          <w:szCs w:val="23"/>
          <w:lang w:eastAsia="en-AU"/>
        </w:rPr>
        <w:tab/>
        <w:t>waters occurring naturally under the ground; or</w:t>
      </w:r>
    </w:p>
    <w:p w:rsidR="00BC1B76" w:rsidRPr="00BC1B76" w:rsidRDefault="00BC1B76" w:rsidP="00BC1B7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C1B76">
        <w:rPr>
          <w:rFonts w:eastAsia="Times New Roman"/>
          <w:color w:val="000000"/>
          <w:sz w:val="23"/>
          <w:szCs w:val="23"/>
          <w:lang w:eastAsia="en-AU"/>
        </w:rPr>
        <w:tab/>
        <w:t>(b)</w:t>
      </w:r>
      <w:r w:rsidRPr="00BC1B76">
        <w:rPr>
          <w:rFonts w:eastAsia="Times New Roman"/>
          <w:color w:val="000000"/>
          <w:sz w:val="23"/>
          <w:szCs w:val="23"/>
          <w:lang w:eastAsia="en-AU"/>
        </w:rPr>
        <w:tab/>
        <w:t>waters introduced to an aquifer or other area under the ground including water pumped, diverted or released into a well for storage underground.</w:t>
      </w:r>
    </w:p>
    <w:p w:rsidR="00B46EAA" w:rsidRDefault="00B46EAA">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rsidR="00BC1B76" w:rsidRPr="00BC1B76" w:rsidRDefault="00BC1B76" w:rsidP="00BC1B7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C1B76">
        <w:rPr>
          <w:rFonts w:eastAsia="Times New Roman"/>
          <w:color w:val="000000"/>
          <w:sz w:val="23"/>
          <w:szCs w:val="23"/>
          <w:lang w:eastAsia="en-AU"/>
        </w:rPr>
        <w:lastRenderedPageBreak/>
        <w:tab/>
        <w:t>(3)</w:t>
      </w:r>
      <w:r w:rsidRPr="00BC1B76">
        <w:rPr>
          <w:rFonts w:eastAsia="Times New Roman"/>
          <w:color w:val="000000"/>
          <w:sz w:val="23"/>
          <w:szCs w:val="23"/>
          <w:lang w:eastAsia="en-AU"/>
        </w:rPr>
        <w:tab/>
        <w:t>Schedule 2, clause 9, table, entry relating to clause 1 (Petroleum and chemical)—after the item relating to clause 1(2)(b) insert:</w:t>
      </w:r>
    </w:p>
    <w:p w:rsidR="00BC1B76" w:rsidRPr="00BC1B76" w:rsidRDefault="00BC1B76" w:rsidP="00BC1B76">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1444"/>
        <w:gridCol w:w="4693"/>
        <w:gridCol w:w="1061"/>
      </w:tblGrid>
      <w:tr w:rsidR="00BC1B76" w:rsidRPr="00BC1B76" w:rsidTr="00046B75">
        <w:trPr>
          <w:cantSplit/>
        </w:trPr>
        <w:tc>
          <w:tcPr>
            <w:tcW w:w="1444"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left"/>
              <w:rPr>
                <w:rFonts w:eastAsia="Times New Roman"/>
                <w:color w:val="000000"/>
                <w:sz w:val="20"/>
                <w:szCs w:val="20"/>
                <w:lang w:eastAsia="en-AU"/>
              </w:rPr>
            </w:pPr>
            <w:r w:rsidRPr="00BC1B76">
              <w:rPr>
                <w:rFonts w:eastAsia="Times New Roman"/>
                <w:color w:val="000000"/>
                <w:sz w:val="20"/>
                <w:szCs w:val="20"/>
                <w:lang w:eastAsia="en-AU"/>
              </w:rPr>
              <w:t>cl 1(2)(c)</w:t>
            </w:r>
          </w:p>
        </w:tc>
        <w:tc>
          <w:tcPr>
            <w:tcW w:w="4693"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left"/>
              <w:rPr>
                <w:rFonts w:eastAsia="Times New Roman"/>
                <w:color w:val="000000"/>
                <w:sz w:val="20"/>
                <w:szCs w:val="20"/>
                <w:lang w:eastAsia="en-AU"/>
              </w:rPr>
            </w:pPr>
            <w:r w:rsidRPr="00BC1B76">
              <w:rPr>
                <w:rFonts w:eastAsia="Times New Roman"/>
                <w:color w:val="000000"/>
                <w:sz w:val="20"/>
                <w:szCs w:val="20"/>
                <w:lang w:eastAsia="en-AU"/>
              </w:rPr>
              <w:t>Chemical works (hydrogen production)</w:t>
            </w:r>
          </w:p>
        </w:tc>
        <w:tc>
          <w:tcPr>
            <w:tcW w:w="1061"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right"/>
              <w:rPr>
                <w:rFonts w:eastAsia="Times New Roman"/>
                <w:color w:val="000000"/>
                <w:sz w:val="20"/>
                <w:szCs w:val="20"/>
                <w:lang w:eastAsia="en-AU"/>
              </w:rPr>
            </w:pPr>
            <w:r w:rsidRPr="00BC1B76">
              <w:rPr>
                <w:rFonts w:eastAsia="Times New Roman"/>
                <w:color w:val="000000"/>
                <w:sz w:val="20"/>
                <w:szCs w:val="20"/>
                <w:lang w:eastAsia="en-AU"/>
              </w:rPr>
              <w:t>8</w:t>
            </w:r>
          </w:p>
        </w:tc>
      </w:tr>
    </w:tbl>
    <w:p w:rsidR="00BC1B76" w:rsidRPr="00BC1B76" w:rsidRDefault="00BC1B76" w:rsidP="00BC1B7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C1B76">
        <w:rPr>
          <w:rFonts w:eastAsia="Times New Roman"/>
          <w:color w:val="000000"/>
          <w:sz w:val="23"/>
          <w:szCs w:val="23"/>
          <w:lang w:eastAsia="en-AU"/>
        </w:rPr>
        <w:tab/>
        <w:t>(4)</w:t>
      </w:r>
      <w:r w:rsidRPr="00BC1B76">
        <w:rPr>
          <w:rFonts w:eastAsia="Times New Roman"/>
          <w:color w:val="000000"/>
          <w:sz w:val="23"/>
          <w:szCs w:val="23"/>
          <w:lang w:eastAsia="en-AU"/>
        </w:rPr>
        <w:tab/>
        <w:t>Schedule 2, clause 9, table, entry relating to clause 5 (Animal husbandry, aquaculture and other activities)—after the item relating to clause 5(4) insert:</w:t>
      </w:r>
    </w:p>
    <w:p w:rsidR="00BC1B76" w:rsidRPr="00BC1B76" w:rsidRDefault="00BC1B76" w:rsidP="00BC1B76">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1444"/>
        <w:gridCol w:w="4693"/>
        <w:gridCol w:w="1061"/>
      </w:tblGrid>
      <w:tr w:rsidR="00BC1B76" w:rsidRPr="00BC1B76" w:rsidTr="00046B75">
        <w:trPr>
          <w:cantSplit/>
        </w:trPr>
        <w:tc>
          <w:tcPr>
            <w:tcW w:w="1444"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left"/>
              <w:rPr>
                <w:rFonts w:eastAsia="Times New Roman"/>
                <w:color w:val="000000"/>
                <w:sz w:val="20"/>
                <w:szCs w:val="20"/>
                <w:lang w:eastAsia="en-AU"/>
              </w:rPr>
            </w:pPr>
            <w:r w:rsidRPr="00BC1B76">
              <w:rPr>
                <w:rFonts w:eastAsia="Times New Roman"/>
                <w:color w:val="000000"/>
                <w:sz w:val="20"/>
                <w:szCs w:val="20"/>
                <w:lang w:eastAsia="en-AU"/>
              </w:rPr>
              <w:t>cl 5(5)</w:t>
            </w:r>
          </w:p>
        </w:tc>
        <w:tc>
          <w:tcPr>
            <w:tcW w:w="4693"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left"/>
              <w:rPr>
                <w:rFonts w:eastAsia="Times New Roman"/>
                <w:color w:val="000000"/>
                <w:sz w:val="20"/>
                <w:szCs w:val="20"/>
                <w:lang w:eastAsia="en-AU"/>
              </w:rPr>
            </w:pPr>
            <w:r w:rsidRPr="00BC1B76">
              <w:rPr>
                <w:rFonts w:eastAsia="Times New Roman"/>
                <w:color w:val="000000"/>
                <w:sz w:val="20"/>
                <w:szCs w:val="20"/>
                <w:lang w:eastAsia="en-AU"/>
              </w:rPr>
              <w:t>Poultry farm comprising a broiler farm—</w:t>
            </w:r>
          </w:p>
        </w:tc>
        <w:tc>
          <w:tcPr>
            <w:tcW w:w="1061"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right"/>
              <w:rPr>
                <w:rFonts w:eastAsia="Times New Roman"/>
                <w:color w:val="000000"/>
                <w:sz w:val="20"/>
                <w:szCs w:val="20"/>
                <w:lang w:eastAsia="en-AU"/>
              </w:rPr>
            </w:pPr>
          </w:p>
        </w:tc>
      </w:tr>
      <w:tr w:rsidR="00BC1B76" w:rsidRPr="00BC1B76" w:rsidTr="00046B75">
        <w:trPr>
          <w:cantSplit/>
        </w:trPr>
        <w:tc>
          <w:tcPr>
            <w:tcW w:w="1444"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left"/>
              <w:rPr>
                <w:rFonts w:eastAsia="Times New Roman"/>
                <w:color w:val="000000"/>
                <w:sz w:val="20"/>
                <w:szCs w:val="20"/>
                <w:lang w:eastAsia="en-AU"/>
              </w:rPr>
            </w:pPr>
          </w:p>
        </w:tc>
        <w:tc>
          <w:tcPr>
            <w:tcW w:w="4693" w:type="dxa"/>
            <w:tcBorders>
              <w:top w:val="nil"/>
              <w:left w:val="nil"/>
              <w:bottom w:val="nil"/>
              <w:right w:val="nil"/>
            </w:tcBorders>
          </w:tcPr>
          <w:p w:rsidR="00BC1B76" w:rsidRPr="00BC1B76" w:rsidRDefault="00BC1B76" w:rsidP="00BC1B7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C1B76">
              <w:rPr>
                <w:rFonts w:eastAsia="Times New Roman"/>
                <w:color w:val="000000"/>
                <w:sz w:val="20"/>
                <w:szCs w:val="20"/>
                <w:lang w:eastAsia="en-AU"/>
              </w:rPr>
              <w:tab/>
              <w:t>(a)</w:t>
            </w:r>
            <w:r w:rsidRPr="00BC1B76">
              <w:rPr>
                <w:rFonts w:eastAsia="Times New Roman"/>
                <w:color w:val="000000"/>
                <w:sz w:val="20"/>
                <w:szCs w:val="20"/>
                <w:lang w:eastAsia="en-AU"/>
              </w:rPr>
              <w:tab/>
              <w:t>where the total area of the sheds or structures used to keep the poultry is 13 500 square metres or more but less than 27 000 square metres</w:t>
            </w:r>
          </w:p>
        </w:tc>
        <w:tc>
          <w:tcPr>
            <w:tcW w:w="1061"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right"/>
              <w:rPr>
                <w:rFonts w:eastAsia="Times New Roman"/>
                <w:color w:val="000000"/>
                <w:sz w:val="20"/>
                <w:szCs w:val="20"/>
                <w:lang w:eastAsia="en-AU"/>
              </w:rPr>
            </w:pPr>
            <w:r w:rsidRPr="00BC1B76">
              <w:rPr>
                <w:rFonts w:eastAsia="Times New Roman"/>
                <w:color w:val="000000"/>
                <w:sz w:val="20"/>
                <w:szCs w:val="20"/>
                <w:lang w:eastAsia="en-AU"/>
              </w:rPr>
              <w:t>2</w:t>
            </w:r>
          </w:p>
        </w:tc>
      </w:tr>
      <w:tr w:rsidR="00BC1B76" w:rsidRPr="00BC1B76" w:rsidTr="00046B75">
        <w:trPr>
          <w:cantSplit/>
        </w:trPr>
        <w:tc>
          <w:tcPr>
            <w:tcW w:w="1444"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left"/>
              <w:rPr>
                <w:rFonts w:eastAsia="Times New Roman"/>
                <w:color w:val="000000"/>
                <w:sz w:val="20"/>
                <w:szCs w:val="20"/>
                <w:lang w:eastAsia="en-AU"/>
              </w:rPr>
            </w:pPr>
          </w:p>
        </w:tc>
        <w:tc>
          <w:tcPr>
            <w:tcW w:w="4693" w:type="dxa"/>
            <w:tcBorders>
              <w:top w:val="nil"/>
              <w:left w:val="nil"/>
              <w:bottom w:val="nil"/>
              <w:right w:val="nil"/>
            </w:tcBorders>
          </w:tcPr>
          <w:p w:rsidR="00BC1B76" w:rsidRPr="00BC1B76" w:rsidRDefault="00BC1B76" w:rsidP="00BC1B7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C1B76">
              <w:rPr>
                <w:rFonts w:eastAsia="Times New Roman"/>
                <w:color w:val="000000"/>
                <w:sz w:val="20"/>
                <w:szCs w:val="20"/>
                <w:lang w:eastAsia="en-AU"/>
              </w:rPr>
              <w:tab/>
              <w:t>(b)</w:t>
            </w:r>
            <w:r w:rsidRPr="00BC1B76">
              <w:rPr>
                <w:rFonts w:eastAsia="Times New Roman"/>
                <w:color w:val="000000"/>
                <w:sz w:val="20"/>
                <w:szCs w:val="20"/>
                <w:lang w:eastAsia="en-AU"/>
              </w:rPr>
              <w:tab/>
              <w:t>where the total area of the sheds or structures used to keep the poultry is 27 000 square metres or more but less than 54 000 square metres</w:t>
            </w:r>
          </w:p>
        </w:tc>
        <w:tc>
          <w:tcPr>
            <w:tcW w:w="1061"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right"/>
              <w:rPr>
                <w:rFonts w:eastAsia="Times New Roman"/>
                <w:color w:val="000000"/>
                <w:sz w:val="20"/>
                <w:szCs w:val="20"/>
                <w:lang w:eastAsia="en-AU"/>
              </w:rPr>
            </w:pPr>
            <w:r w:rsidRPr="00BC1B76">
              <w:rPr>
                <w:rFonts w:eastAsia="Times New Roman"/>
                <w:color w:val="000000"/>
                <w:sz w:val="20"/>
                <w:szCs w:val="20"/>
                <w:lang w:eastAsia="en-AU"/>
              </w:rPr>
              <w:t>3</w:t>
            </w:r>
          </w:p>
        </w:tc>
      </w:tr>
      <w:tr w:rsidR="00BC1B76" w:rsidRPr="00BC1B76" w:rsidTr="00046B75">
        <w:trPr>
          <w:cantSplit/>
        </w:trPr>
        <w:tc>
          <w:tcPr>
            <w:tcW w:w="1444"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left"/>
              <w:rPr>
                <w:rFonts w:eastAsia="Times New Roman"/>
                <w:color w:val="000000"/>
                <w:sz w:val="20"/>
                <w:szCs w:val="20"/>
                <w:lang w:eastAsia="en-AU"/>
              </w:rPr>
            </w:pPr>
          </w:p>
        </w:tc>
        <w:tc>
          <w:tcPr>
            <w:tcW w:w="4693" w:type="dxa"/>
            <w:tcBorders>
              <w:top w:val="nil"/>
              <w:left w:val="nil"/>
              <w:bottom w:val="nil"/>
              <w:right w:val="nil"/>
            </w:tcBorders>
          </w:tcPr>
          <w:p w:rsidR="00BC1B76" w:rsidRPr="00BC1B76" w:rsidRDefault="00BC1B76" w:rsidP="00BC1B7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C1B76">
              <w:rPr>
                <w:rFonts w:eastAsia="Times New Roman"/>
                <w:color w:val="000000"/>
                <w:sz w:val="20"/>
                <w:szCs w:val="20"/>
                <w:lang w:eastAsia="en-AU"/>
              </w:rPr>
              <w:tab/>
              <w:t>(c)</w:t>
            </w:r>
            <w:r w:rsidRPr="00BC1B76">
              <w:rPr>
                <w:rFonts w:eastAsia="Times New Roman"/>
                <w:color w:val="000000"/>
                <w:sz w:val="20"/>
                <w:szCs w:val="20"/>
                <w:lang w:eastAsia="en-AU"/>
              </w:rPr>
              <w:tab/>
              <w:t>where the total area of the sheds or structures used to keep the poultry is 54 000 square metres or more</w:t>
            </w:r>
          </w:p>
        </w:tc>
        <w:tc>
          <w:tcPr>
            <w:tcW w:w="1061"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right"/>
              <w:rPr>
                <w:rFonts w:eastAsia="Times New Roman"/>
                <w:color w:val="000000"/>
                <w:sz w:val="20"/>
                <w:szCs w:val="20"/>
                <w:lang w:eastAsia="en-AU"/>
              </w:rPr>
            </w:pPr>
            <w:r w:rsidRPr="00BC1B76">
              <w:rPr>
                <w:rFonts w:eastAsia="Times New Roman"/>
                <w:color w:val="000000"/>
                <w:sz w:val="20"/>
                <w:szCs w:val="20"/>
                <w:lang w:eastAsia="en-AU"/>
              </w:rPr>
              <w:t>4</w:t>
            </w:r>
          </w:p>
        </w:tc>
      </w:tr>
    </w:tbl>
    <w:p w:rsidR="00BC1B76" w:rsidRPr="00BC1B76" w:rsidRDefault="00BC1B76" w:rsidP="00BC1B7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C1B76">
        <w:rPr>
          <w:rFonts w:eastAsia="Times New Roman"/>
          <w:color w:val="000000"/>
          <w:sz w:val="23"/>
          <w:szCs w:val="23"/>
          <w:lang w:eastAsia="en-AU"/>
        </w:rPr>
        <w:tab/>
        <w:t>(5)</w:t>
      </w:r>
      <w:r w:rsidRPr="00BC1B76">
        <w:rPr>
          <w:rFonts w:eastAsia="Times New Roman"/>
          <w:color w:val="000000"/>
          <w:sz w:val="23"/>
          <w:szCs w:val="23"/>
          <w:lang w:eastAsia="en-AU"/>
        </w:rPr>
        <w:tab/>
        <w:t>Schedule 2, clause 9, table, entry relating to clause 8 (Other)—after the item relating to clause 8(8) insert:</w:t>
      </w:r>
    </w:p>
    <w:p w:rsidR="00BC1B76" w:rsidRPr="00BC1B76" w:rsidRDefault="00BC1B76" w:rsidP="00BC1B76">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1444"/>
        <w:gridCol w:w="4693"/>
        <w:gridCol w:w="1061"/>
      </w:tblGrid>
      <w:tr w:rsidR="00BC1B76" w:rsidRPr="00BC1B76" w:rsidTr="00046B75">
        <w:trPr>
          <w:cantSplit/>
        </w:trPr>
        <w:tc>
          <w:tcPr>
            <w:tcW w:w="1444"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left"/>
              <w:rPr>
                <w:rFonts w:eastAsia="Times New Roman"/>
                <w:color w:val="000000"/>
                <w:sz w:val="20"/>
                <w:szCs w:val="20"/>
                <w:lang w:eastAsia="en-AU"/>
              </w:rPr>
            </w:pPr>
            <w:r w:rsidRPr="00BC1B76">
              <w:rPr>
                <w:rFonts w:eastAsia="Times New Roman"/>
                <w:color w:val="000000"/>
                <w:sz w:val="20"/>
                <w:szCs w:val="20"/>
                <w:lang w:eastAsia="en-AU"/>
              </w:rPr>
              <w:t>cl 8(9)</w:t>
            </w:r>
          </w:p>
        </w:tc>
        <w:tc>
          <w:tcPr>
            <w:tcW w:w="4693"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left"/>
              <w:rPr>
                <w:rFonts w:eastAsia="Times New Roman"/>
                <w:color w:val="000000"/>
                <w:sz w:val="20"/>
                <w:szCs w:val="20"/>
                <w:lang w:eastAsia="en-AU"/>
              </w:rPr>
            </w:pPr>
            <w:r w:rsidRPr="00BC1B76">
              <w:rPr>
                <w:rFonts w:eastAsia="Times New Roman"/>
                <w:color w:val="000000"/>
                <w:sz w:val="20"/>
                <w:szCs w:val="20"/>
                <w:lang w:eastAsia="en-AU"/>
              </w:rPr>
              <w:t>Pumped hydroelectricity production works comprising—</w:t>
            </w:r>
          </w:p>
        </w:tc>
        <w:tc>
          <w:tcPr>
            <w:tcW w:w="1061"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right"/>
              <w:rPr>
                <w:rFonts w:eastAsia="Times New Roman"/>
                <w:color w:val="000000"/>
                <w:sz w:val="20"/>
                <w:szCs w:val="20"/>
                <w:lang w:eastAsia="en-AU"/>
              </w:rPr>
            </w:pPr>
          </w:p>
        </w:tc>
      </w:tr>
      <w:tr w:rsidR="00BC1B76" w:rsidRPr="00BC1B76" w:rsidTr="00046B75">
        <w:trPr>
          <w:cantSplit/>
        </w:trPr>
        <w:tc>
          <w:tcPr>
            <w:tcW w:w="1444"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left"/>
              <w:rPr>
                <w:rFonts w:eastAsia="Times New Roman"/>
                <w:color w:val="000000"/>
                <w:sz w:val="20"/>
                <w:szCs w:val="20"/>
                <w:lang w:eastAsia="en-AU"/>
              </w:rPr>
            </w:pPr>
          </w:p>
        </w:tc>
        <w:tc>
          <w:tcPr>
            <w:tcW w:w="4693" w:type="dxa"/>
            <w:tcBorders>
              <w:top w:val="nil"/>
              <w:left w:val="nil"/>
              <w:bottom w:val="nil"/>
              <w:right w:val="nil"/>
            </w:tcBorders>
          </w:tcPr>
          <w:p w:rsidR="00BC1B76" w:rsidRPr="00BC1B76" w:rsidRDefault="00BC1B76" w:rsidP="00BC1B7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C1B76">
              <w:rPr>
                <w:rFonts w:eastAsia="Times New Roman"/>
                <w:color w:val="000000"/>
                <w:sz w:val="20"/>
                <w:szCs w:val="20"/>
                <w:lang w:eastAsia="en-AU"/>
              </w:rPr>
              <w:tab/>
              <w:t>(a)</w:t>
            </w:r>
            <w:r w:rsidRPr="00BC1B76">
              <w:rPr>
                <w:rFonts w:eastAsia="Times New Roman"/>
                <w:color w:val="000000"/>
                <w:sz w:val="20"/>
                <w:szCs w:val="20"/>
                <w:lang w:eastAsia="en-AU"/>
              </w:rPr>
              <w:tab/>
              <w:t>works or a facility located in whole or in part in a water protection area—</w:t>
            </w:r>
          </w:p>
        </w:tc>
        <w:tc>
          <w:tcPr>
            <w:tcW w:w="1061"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right"/>
              <w:rPr>
                <w:rFonts w:eastAsia="Times New Roman"/>
                <w:color w:val="000000"/>
                <w:sz w:val="20"/>
                <w:szCs w:val="20"/>
                <w:lang w:eastAsia="en-AU"/>
              </w:rPr>
            </w:pPr>
          </w:p>
        </w:tc>
      </w:tr>
      <w:tr w:rsidR="00BC1B76" w:rsidRPr="00BC1B76" w:rsidTr="00046B75">
        <w:trPr>
          <w:cantSplit/>
        </w:trPr>
        <w:tc>
          <w:tcPr>
            <w:tcW w:w="1444"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left"/>
              <w:rPr>
                <w:rFonts w:eastAsia="Times New Roman"/>
                <w:color w:val="000000"/>
                <w:sz w:val="20"/>
                <w:szCs w:val="20"/>
                <w:lang w:eastAsia="en-AU"/>
              </w:rPr>
            </w:pPr>
          </w:p>
        </w:tc>
        <w:tc>
          <w:tcPr>
            <w:tcW w:w="4693" w:type="dxa"/>
            <w:tcBorders>
              <w:top w:val="nil"/>
              <w:left w:val="nil"/>
              <w:bottom w:val="nil"/>
              <w:right w:val="nil"/>
            </w:tcBorders>
          </w:tcPr>
          <w:p w:rsidR="00BC1B76" w:rsidRPr="00BC1B76" w:rsidRDefault="00BC1B76" w:rsidP="00BC1B7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C1B76">
              <w:rPr>
                <w:rFonts w:eastAsia="Times New Roman"/>
                <w:color w:val="000000"/>
                <w:sz w:val="20"/>
                <w:szCs w:val="20"/>
                <w:lang w:eastAsia="en-AU"/>
              </w:rPr>
              <w:tab/>
              <w:t>(i)</w:t>
            </w:r>
            <w:r w:rsidRPr="00BC1B76">
              <w:rPr>
                <w:rFonts w:eastAsia="Times New Roman"/>
                <w:color w:val="000000"/>
                <w:sz w:val="20"/>
                <w:szCs w:val="20"/>
                <w:lang w:eastAsia="en-AU"/>
              </w:rPr>
              <w:tab/>
              <w:t>in the case of a category 1 pumped hydroelectricity works or facility—</w:t>
            </w:r>
          </w:p>
        </w:tc>
        <w:tc>
          <w:tcPr>
            <w:tcW w:w="1061"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right"/>
              <w:rPr>
                <w:rFonts w:eastAsia="Times New Roman"/>
                <w:color w:val="000000"/>
                <w:sz w:val="20"/>
                <w:szCs w:val="20"/>
                <w:lang w:eastAsia="en-AU"/>
              </w:rPr>
            </w:pPr>
          </w:p>
        </w:tc>
      </w:tr>
      <w:tr w:rsidR="00BC1B76" w:rsidRPr="00BC1B76" w:rsidTr="00046B75">
        <w:trPr>
          <w:cantSplit/>
        </w:trPr>
        <w:tc>
          <w:tcPr>
            <w:tcW w:w="1444"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left"/>
              <w:rPr>
                <w:rFonts w:eastAsia="Times New Roman"/>
                <w:color w:val="000000"/>
                <w:sz w:val="20"/>
                <w:szCs w:val="20"/>
                <w:lang w:eastAsia="en-AU"/>
              </w:rPr>
            </w:pPr>
          </w:p>
        </w:tc>
        <w:tc>
          <w:tcPr>
            <w:tcW w:w="4693" w:type="dxa"/>
            <w:tcBorders>
              <w:top w:val="nil"/>
              <w:left w:val="nil"/>
              <w:bottom w:val="nil"/>
              <w:right w:val="nil"/>
            </w:tcBorders>
          </w:tcPr>
          <w:p w:rsidR="00BC1B76" w:rsidRPr="00BC1B76" w:rsidRDefault="00BC1B76" w:rsidP="00BC1B7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BC1B76">
              <w:rPr>
                <w:rFonts w:eastAsia="Times New Roman"/>
                <w:color w:val="000000"/>
                <w:sz w:val="20"/>
                <w:szCs w:val="20"/>
                <w:lang w:eastAsia="en-AU"/>
              </w:rPr>
              <w:tab/>
              <w:t>(A)</w:t>
            </w:r>
            <w:r w:rsidRPr="00BC1B76">
              <w:rPr>
                <w:rFonts w:eastAsia="Times New Roman"/>
                <w:color w:val="000000"/>
                <w:sz w:val="20"/>
                <w:szCs w:val="20"/>
                <w:lang w:eastAsia="en-AU"/>
              </w:rPr>
              <w:tab/>
              <w:t>if the licensee satisfies the Authority of the existence of an effective prescribed environmental measure for the works or facility</w:t>
            </w:r>
          </w:p>
        </w:tc>
        <w:tc>
          <w:tcPr>
            <w:tcW w:w="1061"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right"/>
              <w:rPr>
                <w:rFonts w:eastAsia="Times New Roman"/>
                <w:color w:val="000000"/>
                <w:sz w:val="20"/>
                <w:szCs w:val="20"/>
                <w:lang w:eastAsia="en-AU"/>
              </w:rPr>
            </w:pPr>
            <w:r w:rsidRPr="00BC1B76">
              <w:rPr>
                <w:rFonts w:eastAsia="Times New Roman"/>
                <w:color w:val="000000"/>
                <w:sz w:val="20"/>
                <w:szCs w:val="20"/>
                <w:lang w:eastAsia="en-AU"/>
              </w:rPr>
              <w:t>26</w:t>
            </w:r>
          </w:p>
        </w:tc>
      </w:tr>
      <w:tr w:rsidR="00BC1B76" w:rsidRPr="00BC1B76" w:rsidTr="00046B75">
        <w:trPr>
          <w:cantSplit/>
        </w:trPr>
        <w:tc>
          <w:tcPr>
            <w:tcW w:w="1444"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left"/>
              <w:rPr>
                <w:rFonts w:eastAsia="Times New Roman"/>
                <w:color w:val="000000"/>
                <w:sz w:val="20"/>
                <w:szCs w:val="20"/>
                <w:lang w:eastAsia="en-AU"/>
              </w:rPr>
            </w:pPr>
          </w:p>
        </w:tc>
        <w:tc>
          <w:tcPr>
            <w:tcW w:w="4693" w:type="dxa"/>
            <w:tcBorders>
              <w:top w:val="nil"/>
              <w:left w:val="nil"/>
              <w:bottom w:val="nil"/>
              <w:right w:val="nil"/>
            </w:tcBorders>
          </w:tcPr>
          <w:p w:rsidR="00BC1B76" w:rsidRPr="00BC1B76" w:rsidRDefault="00BC1B76" w:rsidP="00BC1B7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BC1B76">
              <w:rPr>
                <w:rFonts w:eastAsia="Times New Roman"/>
                <w:color w:val="000000"/>
                <w:sz w:val="20"/>
                <w:szCs w:val="20"/>
                <w:lang w:eastAsia="en-AU"/>
              </w:rPr>
              <w:tab/>
              <w:t>(B)</w:t>
            </w:r>
            <w:r w:rsidRPr="00BC1B76">
              <w:rPr>
                <w:rFonts w:eastAsia="Times New Roman"/>
                <w:color w:val="000000"/>
                <w:sz w:val="20"/>
                <w:szCs w:val="20"/>
                <w:lang w:eastAsia="en-AU"/>
              </w:rPr>
              <w:tab/>
              <w:t>in any other case</w:t>
            </w:r>
          </w:p>
        </w:tc>
        <w:tc>
          <w:tcPr>
            <w:tcW w:w="1061"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right"/>
              <w:rPr>
                <w:rFonts w:eastAsia="Times New Roman"/>
                <w:color w:val="000000"/>
                <w:sz w:val="20"/>
                <w:szCs w:val="20"/>
                <w:lang w:eastAsia="en-AU"/>
              </w:rPr>
            </w:pPr>
            <w:r w:rsidRPr="00BC1B76">
              <w:rPr>
                <w:rFonts w:eastAsia="Times New Roman"/>
                <w:color w:val="000000"/>
                <w:sz w:val="20"/>
                <w:szCs w:val="20"/>
                <w:lang w:eastAsia="en-AU"/>
              </w:rPr>
              <w:t>37</w:t>
            </w:r>
          </w:p>
        </w:tc>
      </w:tr>
      <w:tr w:rsidR="00BC1B76" w:rsidRPr="00BC1B76" w:rsidTr="00046B75">
        <w:trPr>
          <w:cantSplit/>
        </w:trPr>
        <w:tc>
          <w:tcPr>
            <w:tcW w:w="1444"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left"/>
              <w:rPr>
                <w:rFonts w:eastAsia="Times New Roman"/>
                <w:color w:val="000000"/>
                <w:sz w:val="20"/>
                <w:szCs w:val="20"/>
                <w:lang w:eastAsia="en-AU"/>
              </w:rPr>
            </w:pPr>
          </w:p>
        </w:tc>
        <w:tc>
          <w:tcPr>
            <w:tcW w:w="4693" w:type="dxa"/>
            <w:tcBorders>
              <w:top w:val="nil"/>
              <w:left w:val="nil"/>
              <w:bottom w:val="nil"/>
              <w:right w:val="nil"/>
            </w:tcBorders>
          </w:tcPr>
          <w:p w:rsidR="00BC1B76" w:rsidRPr="00BC1B76" w:rsidRDefault="00BC1B76" w:rsidP="00BC1B7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C1B76">
              <w:rPr>
                <w:rFonts w:eastAsia="Times New Roman"/>
                <w:color w:val="000000"/>
                <w:sz w:val="20"/>
                <w:szCs w:val="20"/>
                <w:lang w:eastAsia="en-AU"/>
              </w:rPr>
              <w:tab/>
              <w:t>(ii)</w:t>
            </w:r>
            <w:r w:rsidRPr="00BC1B76">
              <w:rPr>
                <w:rFonts w:eastAsia="Times New Roman"/>
                <w:color w:val="000000"/>
                <w:sz w:val="20"/>
                <w:szCs w:val="20"/>
                <w:lang w:eastAsia="en-AU"/>
              </w:rPr>
              <w:tab/>
              <w:t>in the case of a category 2 pumped hydroelectricity works or facility—</w:t>
            </w:r>
          </w:p>
        </w:tc>
        <w:tc>
          <w:tcPr>
            <w:tcW w:w="1061"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right"/>
              <w:rPr>
                <w:rFonts w:eastAsia="Times New Roman"/>
                <w:color w:val="000000"/>
                <w:sz w:val="20"/>
                <w:szCs w:val="20"/>
                <w:lang w:eastAsia="en-AU"/>
              </w:rPr>
            </w:pPr>
          </w:p>
        </w:tc>
      </w:tr>
      <w:tr w:rsidR="00BC1B76" w:rsidRPr="00BC1B76" w:rsidTr="00046B75">
        <w:trPr>
          <w:cantSplit/>
        </w:trPr>
        <w:tc>
          <w:tcPr>
            <w:tcW w:w="1444"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left"/>
              <w:rPr>
                <w:rFonts w:eastAsia="Times New Roman"/>
                <w:color w:val="000000"/>
                <w:sz w:val="20"/>
                <w:szCs w:val="20"/>
                <w:lang w:eastAsia="en-AU"/>
              </w:rPr>
            </w:pPr>
          </w:p>
        </w:tc>
        <w:tc>
          <w:tcPr>
            <w:tcW w:w="4693" w:type="dxa"/>
            <w:tcBorders>
              <w:top w:val="nil"/>
              <w:left w:val="nil"/>
              <w:bottom w:val="nil"/>
              <w:right w:val="nil"/>
            </w:tcBorders>
          </w:tcPr>
          <w:p w:rsidR="00BC1B76" w:rsidRPr="00BC1B76" w:rsidRDefault="00BC1B76" w:rsidP="00BC1B7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BC1B76">
              <w:rPr>
                <w:rFonts w:eastAsia="Times New Roman"/>
                <w:color w:val="000000"/>
                <w:sz w:val="20"/>
                <w:szCs w:val="20"/>
                <w:lang w:eastAsia="en-AU"/>
              </w:rPr>
              <w:tab/>
              <w:t>(A)</w:t>
            </w:r>
            <w:r w:rsidRPr="00BC1B76">
              <w:rPr>
                <w:rFonts w:eastAsia="Times New Roman"/>
                <w:color w:val="000000"/>
                <w:sz w:val="20"/>
                <w:szCs w:val="20"/>
                <w:lang w:eastAsia="en-AU"/>
              </w:rPr>
              <w:tab/>
              <w:t>if the licensee satisfies the Authority of the existence of an effective prescribed environmental measure for the works or facility</w:t>
            </w:r>
          </w:p>
        </w:tc>
        <w:tc>
          <w:tcPr>
            <w:tcW w:w="1061"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right"/>
              <w:rPr>
                <w:rFonts w:eastAsia="Times New Roman"/>
                <w:color w:val="000000"/>
                <w:sz w:val="20"/>
                <w:szCs w:val="20"/>
                <w:lang w:eastAsia="en-AU"/>
              </w:rPr>
            </w:pPr>
            <w:r w:rsidRPr="00BC1B76">
              <w:rPr>
                <w:rFonts w:eastAsia="Times New Roman"/>
                <w:color w:val="000000"/>
                <w:sz w:val="20"/>
                <w:szCs w:val="20"/>
                <w:lang w:eastAsia="en-AU"/>
              </w:rPr>
              <w:t>23</w:t>
            </w:r>
          </w:p>
        </w:tc>
      </w:tr>
      <w:tr w:rsidR="00BC1B76" w:rsidRPr="00BC1B76" w:rsidTr="00046B75">
        <w:trPr>
          <w:cantSplit/>
        </w:trPr>
        <w:tc>
          <w:tcPr>
            <w:tcW w:w="1444"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left"/>
              <w:rPr>
                <w:rFonts w:eastAsia="Times New Roman"/>
                <w:color w:val="000000"/>
                <w:sz w:val="20"/>
                <w:szCs w:val="20"/>
                <w:lang w:eastAsia="en-AU"/>
              </w:rPr>
            </w:pPr>
          </w:p>
        </w:tc>
        <w:tc>
          <w:tcPr>
            <w:tcW w:w="4693" w:type="dxa"/>
            <w:tcBorders>
              <w:top w:val="nil"/>
              <w:left w:val="nil"/>
              <w:bottom w:val="nil"/>
              <w:right w:val="nil"/>
            </w:tcBorders>
          </w:tcPr>
          <w:p w:rsidR="00BC1B76" w:rsidRPr="00BC1B76" w:rsidRDefault="00BC1B76" w:rsidP="00BC1B7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BC1B76">
              <w:rPr>
                <w:rFonts w:eastAsia="Times New Roman"/>
                <w:color w:val="000000"/>
                <w:sz w:val="20"/>
                <w:szCs w:val="20"/>
                <w:lang w:eastAsia="en-AU"/>
              </w:rPr>
              <w:tab/>
              <w:t>(B)</w:t>
            </w:r>
            <w:r w:rsidRPr="00BC1B76">
              <w:rPr>
                <w:rFonts w:eastAsia="Times New Roman"/>
                <w:color w:val="000000"/>
                <w:sz w:val="20"/>
                <w:szCs w:val="20"/>
                <w:lang w:eastAsia="en-AU"/>
              </w:rPr>
              <w:tab/>
              <w:t>in any other case</w:t>
            </w:r>
          </w:p>
        </w:tc>
        <w:tc>
          <w:tcPr>
            <w:tcW w:w="1061"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right"/>
              <w:rPr>
                <w:rFonts w:eastAsia="Times New Roman"/>
                <w:color w:val="000000"/>
                <w:sz w:val="20"/>
                <w:szCs w:val="20"/>
                <w:lang w:eastAsia="en-AU"/>
              </w:rPr>
            </w:pPr>
            <w:r w:rsidRPr="00BC1B76">
              <w:rPr>
                <w:rFonts w:eastAsia="Times New Roman"/>
                <w:color w:val="000000"/>
                <w:sz w:val="20"/>
                <w:szCs w:val="20"/>
                <w:lang w:eastAsia="en-AU"/>
              </w:rPr>
              <w:t>34</w:t>
            </w:r>
          </w:p>
        </w:tc>
      </w:tr>
      <w:tr w:rsidR="00BC1B76" w:rsidRPr="00BC1B76" w:rsidTr="00046B75">
        <w:trPr>
          <w:cantSplit/>
        </w:trPr>
        <w:tc>
          <w:tcPr>
            <w:tcW w:w="1444"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left"/>
              <w:rPr>
                <w:rFonts w:eastAsia="Times New Roman"/>
                <w:color w:val="000000"/>
                <w:sz w:val="20"/>
                <w:szCs w:val="20"/>
                <w:lang w:eastAsia="en-AU"/>
              </w:rPr>
            </w:pPr>
          </w:p>
        </w:tc>
        <w:tc>
          <w:tcPr>
            <w:tcW w:w="4693" w:type="dxa"/>
            <w:tcBorders>
              <w:top w:val="nil"/>
              <w:left w:val="nil"/>
              <w:bottom w:val="nil"/>
              <w:right w:val="nil"/>
            </w:tcBorders>
          </w:tcPr>
          <w:p w:rsidR="00BC1B76" w:rsidRPr="00BC1B76" w:rsidRDefault="00BC1B76" w:rsidP="00BC1B7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C1B76">
              <w:rPr>
                <w:rFonts w:eastAsia="Times New Roman"/>
                <w:color w:val="000000"/>
                <w:sz w:val="20"/>
                <w:szCs w:val="20"/>
                <w:lang w:eastAsia="en-AU"/>
              </w:rPr>
              <w:tab/>
              <w:t>(iii)</w:t>
            </w:r>
            <w:r w:rsidRPr="00BC1B76">
              <w:rPr>
                <w:rFonts w:eastAsia="Times New Roman"/>
                <w:color w:val="000000"/>
                <w:sz w:val="20"/>
                <w:szCs w:val="20"/>
                <w:lang w:eastAsia="en-AU"/>
              </w:rPr>
              <w:tab/>
              <w:t>in the case of a pumped hydroelectricity works or facility (other than a category 1 or category 2 pumped hydroelectricity works or facility) at which the water used in the hydroelectricity production process has a salinity of 1 200 milligrams of total dissolved solids per litre or more—</w:t>
            </w:r>
          </w:p>
        </w:tc>
        <w:tc>
          <w:tcPr>
            <w:tcW w:w="1061"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right"/>
              <w:rPr>
                <w:rFonts w:eastAsia="Times New Roman"/>
                <w:color w:val="000000"/>
                <w:sz w:val="20"/>
                <w:szCs w:val="20"/>
                <w:lang w:eastAsia="en-AU"/>
              </w:rPr>
            </w:pPr>
          </w:p>
        </w:tc>
      </w:tr>
    </w:tbl>
    <w:p w:rsidR="00B46EAA" w:rsidRDefault="00B46EAA">
      <w:r>
        <w:br w:type="page"/>
      </w:r>
    </w:p>
    <w:tbl>
      <w:tblPr>
        <w:tblW w:w="0" w:type="auto"/>
        <w:tblInd w:w="1648" w:type="dxa"/>
        <w:tblLayout w:type="fixed"/>
        <w:tblCellMar>
          <w:left w:w="60" w:type="dxa"/>
          <w:right w:w="60" w:type="dxa"/>
        </w:tblCellMar>
        <w:tblLook w:val="0000" w:firstRow="0" w:lastRow="0" w:firstColumn="0" w:lastColumn="0" w:noHBand="0" w:noVBand="0"/>
      </w:tblPr>
      <w:tblGrid>
        <w:gridCol w:w="1444"/>
        <w:gridCol w:w="4693"/>
        <w:gridCol w:w="1061"/>
      </w:tblGrid>
      <w:tr w:rsidR="00BC1B76" w:rsidRPr="00BC1B76" w:rsidTr="00046B75">
        <w:trPr>
          <w:cantSplit/>
        </w:trPr>
        <w:tc>
          <w:tcPr>
            <w:tcW w:w="1444"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left"/>
              <w:rPr>
                <w:rFonts w:eastAsia="Times New Roman"/>
                <w:color w:val="000000"/>
                <w:sz w:val="20"/>
                <w:szCs w:val="20"/>
                <w:lang w:eastAsia="en-AU"/>
              </w:rPr>
            </w:pPr>
          </w:p>
        </w:tc>
        <w:tc>
          <w:tcPr>
            <w:tcW w:w="4693" w:type="dxa"/>
            <w:tcBorders>
              <w:top w:val="nil"/>
              <w:left w:val="nil"/>
              <w:bottom w:val="nil"/>
              <w:right w:val="nil"/>
            </w:tcBorders>
          </w:tcPr>
          <w:p w:rsidR="00BC1B76" w:rsidRPr="00BC1B76" w:rsidRDefault="00BC1B76" w:rsidP="00BC1B7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BC1B76">
              <w:rPr>
                <w:rFonts w:eastAsia="Times New Roman"/>
                <w:color w:val="000000"/>
                <w:sz w:val="20"/>
                <w:szCs w:val="20"/>
                <w:lang w:eastAsia="en-AU"/>
              </w:rPr>
              <w:tab/>
              <w:t>(A)</w:t>
            </w:r>
            <w:r w:rsidRPr="00BC1B76">
              <w:rPr>
                <w:rFonts w:eastAsia="Times New Roman"/>
                <w:color w:val="000000"/>
                <w:sz w:val="20"/>
                <w:szCs w:val="20"/>
                <w:lang w:eastAsia="en-AU"/>
              </w:rPr>
              <w:tab/>
              <w:t>if the licensee satisfies the Authority of the existence of an effective prescribed environmental measure for the works or facility</w:t>
            </w:r>
          </w:p>
        </w:tc>
        <w:tc>
          <w:tcPr>
            <w:tcW w:w="1061"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right"/>
              <w:rPr>
                <w:rFonts w:eastAsia="Times New Roman"/>
                <w:color w:val="000000"/>
                <w:sz w:val="20"/>
                <w:szCs w:val="20"/>
                <w:lang w:eastAsia="en-AU"/>
              </w:rPr>
            </w:pPr>
            <w:r w:rsidRPr="00BC1B76">
              <w:rPr>
                <w:rFonts w:eastAsia="Times New Roman"/>
                <w:color w:val="000000"/>
                <w:sz w:val="20"/>
                <w:szCs w:val="20"/>
                <w:lang w:eastAsia="en-AU"/>
              </w:rPr>
              <w:t>15</w:t>
            </w:r>
          </w:p>
        </w:tc>
      </w:tr>
      <w:tr w:rsidR="00BC1B76" w:rsidRPr="00BC1B76" w:rsidTr="00046B75">
        <w:trPr>
          <w:cantSplit/>
        </w:trPr>
        <w:tc>
          <w:tcPr>
            <w:tcW w:w="1444"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left"/>
              <w:rPr>
                <w:rFonts w:eastAsia="Times New Roman"/>
                <w:color w:val="000000"/>
                <w:sz w:val="20"/>
                <w:szCs w:val="20"/>
                <w:lang w:eastAsia="en-AU"/>
              </w:rPr>
            </w:pPr>
          </w:p>
        </w:tc>
        <w:tc>
          <w:tcPr>
            <w:tcW w:w="4693" w:type="dxa"/>
            <w:tcBorders>
              <w:top w:val="nil"/>
              <w:left w:val="nil"/>
              <w:bottom w:val="nil"/>
              <w:right w:val="nil"/>
            </w:tcBorders>
          </w:tcPr>
          <w:p w:rsidR="00BC1B76" w:rsidRPr="00BC1B76" w:rsidRDefault="00BC1B76" w:rsidP="00BC1B7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BC1B76">
              <w:rPr>
                <w:rFonts w:eastAsia="Times New Roman"/>
                <w:color w:val="000000"/>
                <w:sz w:val="20"/>
                <w:szCs w:val="20"/>
                <w:lang w:eastAsia="en-AU"/>
              </w:rPr>
              <w:tab/>
              <w:t>(B)</w:t>
            </w:r>
            <w:r w:rsidRPr="00BC1B76">
              <w:rPr>
                <w:rFonts w:eastAsia="Times New Roman"/>
                <w:color w:val="000000"/>
                <w:sz w:val="20"/>
                <w:szCs w:val="20"/>
                <w:lang w:eastAsia="en-AU"/>
              </w:rPr>
              <w:tab/>
              <w:t>if the licensee satisfies the Authority that a prescribed environmental measure is not required for the works or facility</w:t>
            </w:r>
          </w:p>
        </w:tc>
        <w:tc>
          <w:tcPr>
            <w:tcW w:w="1061"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right"/>
              <w:rPr>
                <w:rFonts w:eastAsia="Times New Roman"/>
                <w:color w:val="000000"/>
                <w:sz w:val="20"/>
                <w:szCs w:val="20"/>
                <w:lang w:eastAsia="en-AU"/>
              </w:rPr>
            </w:pPr>
            <w:r w:rsidRPr="00BC1B76">
              <w:rPr>
                <w:rFonts w:eastAsia="Times New Roman"/>
                <w:color w:val="000000"/>
                <w:sz w:val="20"/>
                <w:szCs w:val="20"/>
                <w:lang w:eastAsia="en-AU"/>
              </w:rPr>
              <w:t>15</w:t>
            </w:r>
          </w:p>
        </w:tc>
      </w:tr>
      <w:tr w:rsidR="00BC1B76" w:rsidRPr="00BC1B76" w:rsidTr="00046B75">
        <w:trPr>
          <w:cantSplit/>
        </w:trPr>
        <w:tc>
          <w:tcPr>
            <w:tcW w:w="1444"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left"/>
              <w:rPr>
                <w:rFonts w:eastAsia="Times New Roman"/>
                <w:color w:val="000000"/>
                <w:sz w:val="20"/>
                <w:szCs w:val="20"/>
                <w:lang w:eastAsia="en-AU"/>
              </w:rPr>
            </w:pPr>
          </w:p>
        </w:tc>
        <w:tc>
          <w:tcPr>
            <w:tcW w:w="4693" w:type="dxa"/>
            <w:tcBorders>
              <w:top w:val="nil"/>
              <w:left w:val="nil"/>
              <w:bottom w:val="nil"/>
              <w:right w:val="nil"/>
            </w:tcBorders>
          </w:tcPr>
          <w:p w:rsidR="00BC1B76" w:rsidRPr="00BC1B76" w:rsidRDefault="00BC1B76" w:rsidP="00BC1B7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BC1B76">
              <w:rPr>
                <w:rFonts w:eastAsia="Times New Roman"/>
                <w:color w:val="000000"/>
                <w:sz w:val="20"/>
                <w:szCs w:val="20"/>
                <w:lang w:eastAsia="en-AU"/>
              </w:rPr>
              <w:tab/>
              <w:t>(C)</w:t>
            </w:r>
            <w:r w:rsidRPr="00BC1B76">
              <w:rPr>
                <w:rFonts w:eastAsia="Times New Roman"/>
                <w:color w:val="000000"/>
                <w:sz w:val="20"/>
                <w:szCs w:val="20"/>
                <w:lang w:eastAsia="en-AU"/>
              </w:rPr>
              <w:tab/>
              <w:t>in any other case</w:t>
            </w:r>
          </w:p>
        </w:tc>
        <w:tc>
          <w:tcPr>
            <w:tcW w:w="1061"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right"/>
              <w:rPr>
                <w:rFonts w:eastAsia="Times New Roman"/>
                <w:color w:val="000000"/>
                <w:sz w:val="20"/>
                <w:szCs w:val="20"/>
                <w:lang w:eastAsia="en-AU"/>
              </w:rPr>
            </w:pPr>
            <w:r w:rsidRPr="00BC1B76">
              <w:rPr>
                <w:rFonts w:eastAsia="Times New Roman"/>
                <w:color w:val="000000"/>
                <w:sz w:val="20"/>
                <w:szCs w:val="20"/>
                <w:lang w:eastAsia="en-AU"/>
              </w:rPr>
              <w:t>26</w:t>
            </w:r>
          </w:p>
        </w:tc>
      </w:tr>
      <w:tr w:rsidR="00BC1B76" w:rsidRPr="00BC1B76" w:rsidTr="00046B75">
        <w:trPr>
          <w:cantSplit/>
        </w:trPr>
        <w:tc>
          <w:tcPr>
            <w:tcW w:w="1444"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left"/>
              <w:rPr>
                <w:rFonts w:eastAsia="Times New Roman"/>
                <w:color w:val="000000"/>
                <w:sz w:val="20"/>
                <w:szCs w:val="20"/>
                <w:lang w:eastAsia="en-AU"/>
              </w:rPr>
            </w:pPr>
          </w:p>
        </w:tc>
        <w:tc>
          <w:tcPr>
            <w:tcW w:w="4693" w:type="dxa"/>
            <w:tcBorders>
              <w:top w:val="nil"/>
              <w:left w:val="nil"/>
              <w:bottom w:val="nil"/>
              <w:right w:val="nil"/>
            </w:tcBorders>
          </w:tcPr>
          <w:p w:rsidR="00BC1B76" w:rsidRPr="00BC1B76" w:rsidRDefault="00BC1B76" w:rsidP="00BC1B7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C1B76">
              <w:rPr>
                <w:rFonts w:eastAsia="Times New Roman"/>
                <w:color w:val="000000"/>
                <w:sz w:val="20"/>
                <w:szCs w:val="20"/>
                <w:lang w:eastAsia="en-AU"/>
              </w:rPr>
              <w:tab/>
              <w:t>(iv)</w:t>
            </w:r>
            <w:r w:rsidRPr="00BC1B76">
              <w:rPr>
                <w:rFonts w:eastAsia="Times New Roman"/>
                <w:color w:val="000000"/>
                <w:sz w:val="20"/>
                <w:szCs w:val="20"/>
                <w:lang w:eastAsia="en-AU"/>
              </w:rPr>
              <w:tab/>
              <w:t>in the case of a pumped hydroelectricity works or facility (other than a category 1 or category 2 pumped hydroelectricity works or facility) at which the water used in the hydroelectricity production process has a salinity of less than 1 200 milligrams of total dissolved solids per litre—</w:t>
            </w:r>
          </w:p>
        </w:tc>
        <w:tc>
          <w:tcPr>
            <w:tcW w:w="1061"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right"/>
              <w:rPr>
                <w:rFonts w:eastAsia="Times New Roman"/>
                <w:color w:val="000000"/>
                <w:sz w:val="20"/>
                <w:szCs w:val="20"/>
                <w:lang w:eastAsia="en-AU"/>
              </w:rPr>
            </w:pPr>
          </w:p>
        </w:tc>
      </w:tr>
      <w:tr w:rsidR="00BC1B76" w:rsidRPr="00BC1B76" w:rsidTr="00046B75">
        <w:trPr>
          <w:cantSplit/>
        </w:trPr>
        <w:tc>
          <w:tcPr>
            <w:tcW w:w="1444"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left"/>
              <w:rPr>
                <w:rFonts w:eastAsia="Times New Roman"/>
                <w:color w:val="000000"/>
                <w:sz w:val="20"/>
                <w:szCs w:val="20"/>
                <w:lang w:eastAsia="en-AU"/>
              </w:rPr>
            </w:pPr>
          </w:p>
        </w:tc>
        <w:tc>
          <w:tcPr>
            <w:tcW w:w="4693" w:type="dxa"/>
            <w:tcBorders>
              <w:top w:val="nil"/>
              <w:left w:val="nil"/>
              <w:bottom w:val="nil"/>
              <w:right w:val="nil"/>
            </w:tcBorders>
          </w:tcPr>
          <w:p w:rsidR="00BC1B76" w:rsidRPr="00BC1B76" w:rsidRDefault="00BC1B76" w:rsidP="00BC1B7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BC1B76">
              <w:rPr>
                <w:rFonts w:eastAsia="Times New Roman"/>
                <w:color w:val="000000"/>
                <w:sz w:val="20"/>
                <w:szCs w:val="20"/>
                <w:lang w:eastAsia="en-AU"/>
              </w:rPr>
              <w:tab/>
              <w:t>(A)</w:t>
            </w:r>
            <w:r w:rsidRPr="00BC1B76">
              <w:rPr>
                <w:rFonts w:eastAsia="Times New Roman"/>
                <w:color w:val="000000"/>
                <w:sz w:val="20"/>
                <w:szCs w:val="20"/>
                <w:lang w:eastAsia="en-AU"/>
              </w:rPr>
              <w:tab/>
              <w:t>if the licensee satisfies the Authority of the existence of an effective prescribed environmental measure for the works or facility</w:t>
            </w:r>
          </w:p>
        </w:tc>
        <w:tc>
          <w:tcPr>
            <w:tcW w:w="1061"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right"/>
              <w:rPr>
                <w:rFonts w:eastAsia="Times New Roman"/>
                <w:color w:val="000000"/>
                <w:sz w:val="20"/>
                <w:szCs w:val="20"/>
                <w:lang w:eastAsia="en-AU"/>
              </w:rPr>
            </w:pPr>
            <w:r w:rsidRPr="00BC1B76">
              <w:rPr>
                <w:rFonts w:eastAsia="Times New Roman"/>
                <w:color w:val="000000"/>
                <w:sz w:val="20"/>
                <w:szCs w:val="20"/>
                <w:lang w:eastAsia="en-AU"/>
              </w:rPr>
              <w:t>12</w:t>
            </w:r>
          </w:p>
        </w:tc>
      </w:tr>
      <w:tr w:rsidR="00BC1B76" w:rsidRPr="00BC1B76" w:rsidTr="00046B75">
        <w:trPr>
          <w:cantSplit/>
        </w:trPr>
        <w:tc>
          <w:tcPr>
            <w:tcW w:w="1444"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left"/>
              <w:rPr>
                <w:rFonts w:eastAsia="Times New Roman"/>
                <w:color w:val="000000"/>
                <w:sz w:val="20"/>
                <w:szCs w:val="20"/>
                <w:lang w:eastAsia="en-AU"/>
              </w:rPr>
            </w:pPr>
          </w:p>
        </w:tc>
        <w:tc>
          <w:tcPr>
            <w:tcW w:w="4693" w:type="dxa"/>
            <w:tcBorders>
              <w:top w:val="nil"/>
              <w:left w:val="nil"/>
              <w:bottom w:val="nil"/>
              <w:right w:val="nil"/>
            </w:tcBorders>
          </w:tcPr>
          <w:p w:rsidR="00BC1B76" w:rsidRPr="00BC1B76" w:rsidRDefault="00BC1B76" w:rsidP="00BC1B7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BC1B76">
              <w:rPr>
                <w:rFonts w:eastAsia="Times New Roman"/>
                <w:color w:val="000000"/>
                <w:sz w:val="20"/>
                <w:szCs w:val="20"/>
                <w:lang w:eastAsia="en-AU"/>
              </w:rPr>
              <w:tab/>
              <w:t>(B)</w:t>
            </w:r>
            <w:r w:rsidRPr="00BC1B76">
              <w:rPr>
                <w:rFonts w:eastAsia="Times New Roman"/>
                <w:color w:val="000000"/>
                <w:sz w:val="20"/>
                <w:szCs w:val="20"/>
                <w:lang w:eastAsia="en-AU"/>
              </w:rPr>
              <w:tab/>
              <w:t>if the licensee satisfies the Authority that a prescribed environmental measure is not required for the works or facility</w:t>
            </w:r>
          </w:p>
        </w:tc>
        <w:tc>
          <w:tcPr>
            <w:tcW w:w="1061"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right"/>
              <w:rPr>
                <w:rFonts w:eastAsia="Times New Roman"/>
                <w:color w:val="000000"/>
                <w:sz w:val="20"/>
                <w:szCs w:val="20"/>
                <w:lang w:eastAsia="en-AU"/>
              </w:rPr>
            </w:pPr>
            <w:r w:rsidRPr="00BC1B76">
              <w:rPr>
                <w:rFonts w:eastAsia="Times New Roman"/>
                <w:color w:val="000000"/>
                <w:sz w:val="20"/>
                <w:szCs w:val="20"/>
                <w:lang w:eastAsia="en-AU"/>
              </w:rPr>
              <w:t>12</w:t>
            </w:r>
          </w:p>
        </w:tc>
      </w:tr>
      <w:tr w:rsidR="00BC1B76" w:rsidRPr="00BC1B76" w:rsidTr="00046B75">
        <w:trPr>
          <w:cantSplit/>
        </w:trPr>
        <w:tc>
          <w:tcPr>
            <w:tcW w:w="1444"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left"/>
              <w:rPr>
                <w:rFonts w:eastAsia="Times New Roman"/>
                <w:color w:val="000000"/>
                <w:sz w:val="20"/>
                <w:szCs w:val="20"/>
                <w:lang w:eastAsia="en-AU"/>
              </w:rPr>
            </w:pPr>
          </w:p>
        </w:tc>
        <w:tc>
          <w:tcPr>
            <w:tcW w:w="4693" w:type="dxa"/>
            <w:tcBorders>
              <w:top w:val="nil"/>
              <w:left w:val="nil"/>
              <w:bottom w:val="nil"/>
              <w:right w:val="nil"/>
            </w:tcBorders>
          </w:tcPr>
          <w:p w:rsidR="00BC1B76" w:rsidRPr="00BC1B76" w:rsidRDefault="00BC1B76" w:rsidP="00BC1B7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BC1B76">
              <w:rPr>
                <w:rFonts w:eastAsia="Times New Roman"/>
                <w:color w:val="000000"/>
                <w:sz w:val="20"/>
                <w:szCs w:val="20"/>
                <w:lang w:eastAsia="en-AU"/>
              </w:rPr>
              <w:tab/>
              <w:t>(C)</w:t>
            </w:r>
            <w:r w:rsidRPr="00BC1B76">
              <w:rPr>
                <w:rFonts w:eastAsia="Times New Roman"/>
                <w:color w:val="000000"/>
                <w:sz w:val="20"/>
                <w:szCs w:val="20"/>
                <w:lang w:eastAsia="en-AU"/>
              </w:rPr>
              <w:tab/>
              <w:t>in any other case</w:t>
            </w:r>
          </w:p>
        </w:tc>
        <w:tc>
          <w:tcPr>
            <w:tcW w:w="1061"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right"/>
              <w:rPr>
                <w:rFonts w:eastAsia="Times New Roman"/>
                <w:color w:val="000000"/>
                <w:sz w:val="20"/>
                <w:szCs w:val="20"/>
                <w:lang w:eastAsia="en-AU"/>
              </w:rPr>
            </w:pPr>
            <w:r w:rsidRPr="00BC1B76">
              <w:rPr>
                <w:rFonts w:eastAsia="Times New Roman"/>
                <w:color w:val="000000"/>
                <w:sz w:val="20"/>
                <w:szCs w:val="20"/>
                <w:lang w:eastAsia="en-AU"/>
              </w:rPr>
              <w:t>23</w:t>
            </w:r>
          </w:p>
        </w:tc>
      </w:tr>
      <w:tr w:rsidR="00BC1B76" w:rsidRPr="00BC1B76" w:rsidTr="00046B75">
        <w:trPr>
          <w:cantSplit/>
        </w:trPr>
        <w:tc>
          <w:tcPr>
            <w:tcW w:w="1444"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left"/>
              <w:rPr>
                <w:rFonts w:eastAsia="Times New Roman"/>
                <w:color w:val="000000"/>
                <w:sz w:val="20"/>
                <w:szCs w:val="20"/>
                <w:lang w:eastAsia="en-AU"/>
              </w:rPr>
            </w:pPr>
          </w:p>
        </w:tc>
        <w:tc>
          <w:tcPr>
            <w:tcW w:w="4693" w:type="dxa"/>
            <w:tcBorders>
              <w:top w:val="nil"/>
              <w:left w:val="nil"/>
              <w:bottom w:val="nil"/>
              <w:right w:val="nil"/>
            </w:tcBorders>
          </w:tcPr>
          <w:p w:rsidR="00BC1B76" w:rsidRPr="00BC1B76" w:rsidRDefault="00BC1B76" w:rsidP="00BC1B7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C1B76">
              <w:rPr>
                <w:rFonts w:eastAsia="Times New Roman"/>
                <w:color w:val="000000"/>
                <w:sz w:val="20"/>
                <w:szCs w:val="20"/>
                <w:lang w:eastAsia="en-AU"/>
              </w:rPr>
              <w:tab/>
              <w:t>(b)</w:t>
            </w:r>
            <w:r w:rsidRPr="00BC1B76">
              <w:rPr>
                <w:rFonts w:eastAsia="Times New Roman"/>
                <w:color w:val="000000"/>
                <w:sz w:val="20"/>
                <w:szCs w:val="20"/>
                <w:lang w:eastAsia="en-AU"/>
              </w:rPr>
              <w:tab/>
              <w:t>works or a facility located outside a water protection area—</w:t>
            </w:r>
          </w:p>
        </w:tc>
        <w:tc>
          <w:tcPr>
            <w:tcW w:w="1061"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right"/>
              <w:rPr>
                <w:rFonts w:eastAsia="Times New Roman"/>
                <w:color w:val="000000"/>
                <w:sz w:val="20"/>
                <w:szCs w:val="20"/>
                <w:lang w:eastAsia="en-AU"/>
              </w:rPr>
            </w:pPr>
          </w:p>
        </w:tc>
      </w:tr>
      <w:tr w:rsidR="00BC1B76" w:rsidRPr="00BC1B76" w:rsidTr="00046B75">
        <w:trPr>
          <w:cantSplit/>
        </w:trPr>
        <w:tc>
          <w:tcPr>
            <w:tcW w:w="1444"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left"/>
              <w:rPr>
                <w:rFonts w:eastAsia="Times New Roman"/>
                <w:color w:val="000000"/>
                <w:sz w:val="20"/>
                <w:szCs w:val="20"/>
                <w:lang w:eastAsia="en-AU"/>
              </w:rPr>
            </w:pPr>
          </w:p>
        </w:tc>
        <w:tc>
          <w:tcPr>
            <w:tcW w:w="4693" w:type="dxa"/>
            <w:tcBorders>
              <w:top w:val="nil"/>
              <w:left w:val="nil"/>
              <w:bottom w:val="nil"/>
              <w:right w:val="nil"/>
            </w:tcBorders>
          </w:tcPr>
          <w:p w:rsidR="00BC1B76" w:rsidRPr="00BC1B76" w:rsidRDefault="00BC1B76" w:rsidP="00BC1B7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C1B76">
              <w:rPr>
                <w:rFonts w:eastAsia="Times New Roman"/>
                <w:color w:val="000000"/>
                <w:sz w:val="20"/>
                <w:szCs w:val="20"/>
                <w:lang w:eastAsia="en-AU"/>
              </w:rPr>
              <w:tab/>
              <w:t>(i)</w:t>
            </w:r>
            <w:r w:rsidRPr="00BC1B76">
              <w:rPr>
                <w:rFonts w:eastAsia="Times New Roman"/>
                <w:color w:val="000000"/>
                <w:sz w:val="20"/>
                <w:szCs w:val="20"/>
                <w:lang w:eastAsia="en-AU"/>
              </w:rPr>
              <w:tab/>
              <w:t>in the case of a category 1 pumped hydroelectricity works or facility—</w:t>
            </w:r>
          </w:p>
        </w:tc>
        <w:tc>
          <w:tcPr>
            <w:tcW w:w="1061"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right"/>
              <w:rPr>
                <w:rFonts w:eastAsia="Times New Roman"/>
                <w:color w:val="000000"/>
                <w:sz w:val="20"/>
                <w:szCs w:val="20"/>
                <w:lang w:eastAsia="en-AU"/>
              </w:rPr>
            </w:pPr>
          </w:p>
        </w:tc>
      </w:tr>
      <w:tr w:rsidR="00BC1B76" w:rsidRPr="00BC1B76" w:rsidTr="00046B75">
        <w:trPr>
          <w:cantSplit/>
        </w:trPr>
        <w:tc>
          <w:tcPr>
            <w:tcW w:w="1444"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left"/>
              <w:rPr>
                <w:rFonts w:eastAsia="Times New Roman"/>
                <w:color w:val="000000"/>
                <w:sz w:val="20"/>
                <w:szCs w:val="20"/>
                <w:lang w:eastAsia="en-AU"/>
              </w:rPr>
            </w:pPr>
          </w:p>
        </w:tc>
        <w:tc>
          <w:tcPr>
            <w:tcW w:w="4693" w:type="dxa"/>
            <w:tcBorders>
              <w:top w:val="nil"/>
              <w:left w:val="nil"/>
              <w:bottom w:val="nil"/>
              <w:right w:val="nil"/>
            </w:tcBorders>
          </w:tcPr>
          <w:p w:rsidR="00BC1B76" w:rsidRPr="00BC1B76" w:rsidRDefault="00BC1B76" w:rsidP="00BC1B7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BC1B76">
              <w:rPr>
                <w:rFonts w:eastAsia="Times New Roman"/>
                <w:color w:val="000000"/>
                <w:sz w:val="20"/>
                <w:szCs w:val="20"/>
                <w:lang w:eastAsia="en-AU"/>
              </w:rPr>
              <w:tab/>
              <w:t>(A)</w:t>
            </w:r>
            <w:r w:rsidRPr="00BC1B76">
              <w:rPr>
                <w:rFonts w:eastAsia="Times New Roman"/>
                <w:color w:val="000000"/>
                <w:sz w:val="20"/>
                <w:szCs w:val="20"/>
                <w:lang w:eastAsia="en-AU"/>
              </w:rPr>
              <w:tab/>
              <w:t>if the licensee satisfies the Authority of the existence of an effective prescribed environmental measure for the works or facility</w:t>
            </w:r>
          </w:p>
        </w:tc>
        <w:tc>
          <w:tcPr>
            <w:tcW w:w="1061"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right"/>
              <w:rPr>
                <w:rFonts w:eastAsia="Times New Roman"/>
                <w:color w:val="000000"/>
                <w:sz w:val="20"/>
                <w:szCs w:val="20"/>
                <w:lang w:eastAsia="en-AU"/>
              </w:rPr>
            </w:pPr>
            <w:r w:rsidRPr="00BC1B76">
              <w:rPr>
                <w:rFonts w:eastAsia="Times New Roman"/>
                <w:color w:val="000000"/>
                <w:sz w:val="20"/>
                <w:szCs w:val="20"/>
                <w:lang w:eastAsia="en-AU"/>
              </w:rPr>
              <w:t>23</w:t>
            </w:r>
          </w:p>
        </w:tc>
      </w:tr>
      <w:tr w:rsidR="00BC1B76" w:rsidRPr="00BC1B76" w:rsidTr="00046B75">
        <w:trPr>
          <w:cantSplit/>
        </w:trPr>
        <w:tc>
          <w:tcPr>
            <w:tcW w:w="1444"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left"/>
              <w:rPr>
                <w:rFonts w:eastAsia="Times New Roman"/>
                <w:color w:val="000000"/>
                <w:sz w:val="20"/>
                <w:szCs w:val="20"/>
                <w:lang w:eastAsia="en-AU"/>
              </w:rPr>
            </w:pPr>
          </w:p>
        </w:tc>
        <w:tc>
          <w:tcPr>
            <w:tcW w:w="4693" w:type="dxa"/>
            <w:tcBorders>
              <w:top w:val="nil"/>
              <w:left w:val="nil"/>
              <w:bottom w:val="nil"/>
              <w:right w:val="nil"/>
            </w:tcBorders>
          </w:tcPr>
          <w:p w:rsidR="00BC1B76" w:rsidRPr="00BC1B76" w:rsidRDefault="00BC1B76" w:rsidP="00BC1B7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BC1B76">
              <w:rPr>
                <w:rFonts w:eastAsia="Times New Roman"/>
                <w:color w:val="000000"/>
                <w:sz w:val="20"/>
                <w:szCs w:val="20"/>
                <w:lang w:eastAsia="en-AU"/>
              </w:rPr>
              <w:tab/>
              <w:t>(B)</w:t>
            </w:r>
            <w:r w:rsidRPr="00BC1B76">
              <w:rPr>
                <w:rFonts w:eastAsia="Times New Roman"/>
                <w:color w:val="000000"/>
                <w:sz w:val="20"/>
                <w:szCs w:val="20"/>
                <w:lang w:eastAsia="en-AU"/>
              </w:rPr>
              <w:tab/>
              <w:t>in any other case</w:t>
            </w:r>
          </w:p>
        </w:tc>
        <w:tc>
          <w:tcPr>
            <w:tcW w:w="1061"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right"/>
              <w:rPr>
                <w:rFonts w:eastAsia="Times New Roman"/>
                <w:color w:val="000000"/>
                <w:sz w:val="20"/>
                <w:szCs w:val="20"/>
                <w:lang w:eastAsia="en-AU"/>
              </w:rPr>
            </w:pPr>
            <w:r w:rsidRPr="00BC1B76">
              <w:rPr>
                <w:rFonts w:eastAsia="Times New Roman"/>
                <w:color w:val="000000"/>
                <w:sz w:val="20"/>
                <w:szCs w:val="20"/>
                <w:lang w:eastAsia="en-AU"/>
              </w:rPr>
              <w:t>34</w:t>
            </w:r>
          </w:p>
        </w:tc>
      </w:tr>
      <w:tr w:rsidR="00BC1B76" w:rsidRPr="00BC1B76" w:rsidTr="00046B75">
        <w:trPr>
          <w:cantSplit/>
        </w:trPr>
        <w:tc>
          <w:tcPr>
            <w:tcW w:w="1444"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left"/>
              <w:rPr>
                <w:rFonts w:eastAsia="Times New Roman"/>
                <w:color w:val="000000"/>
                <w:sz w:val="20"/>
                <w:szCs w:val="20"/>
                <w:lang w:eastAsia="en-AU"/>
              </w:rPr>
            </w:pPr>
          </w:p>
        </w:tc>
        <w:tc>
          <w:tcPr>
            <w:tcW w:w="4693" w:type="dxa"/>
            <w:tcBorders>
              <w:top w:val="nil"/>
              <w:left w:val="nil"/>
              <w:bottom w:val="nil"/>
              <w:right w:val="nil"/>
            </w:tcBorders>
          </w:tcPr>
          <w:p w:rsidR="00BC1B76" w:rsidRPr="00BC1B76" w:rsidRDefault="00BC1B76" w:rsidP="00BC1B7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C1B76">
              <w:rPr>
                <w:rFonts w:eastAsia="Times New Roman"/>
                <w:color w:val="000000"/>
                <w:sz w:val="20"/>
                <w:szCs w:val="20"/>
                <w:lang w:eastAsia="en-AU"/>
              </w:rPr>
              <w:tab/>
              <w:t>(ii)</w:t>
            </w:r>
            <w:r w:rsidRPr="00BC1B76">
              <w:rPr>
                <w:rFonts w:eastAsia="Times New Roman"/>
                <w:color w:val="000000"/>
                <w:sz w:val="20"/>
                <w:szCs w:val="20"/>
                <w:lang w:eastAsia="en-AU"/>
              </w:rPr>
              <w:tab/>
              <w:t>in the case of a category 2 pumped hydroelectricity works or facility—</w:t>
            </w:r>
          </w:p>
        </w:tc>
        <w:tc>
          <w:tcPr>
            <w:tcW w:w="1061"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right"/>
              <w:rPr>
                <w:rFonts w:eastAsia="Times New Roman"/>
                <w:color w:val="000000"/>
                <w:sz w:val="20"/>
                <w:szCs w:val="20"/>
                <w:lang w:eastAsia="en-AU"/>
              </w:rPr>
            </w:pPr>
          </w:p>
        </w:tc>
      </w:tr>
      <w:tr w:rsidR="00BC1B76" w:rsidRPr="00BC1B76" w:rsidTr="00046B75">
        <w:trPr>
          <w:cantSplit/>
        </w:trPr>
        <w:tc>
          <w:tcPr>
            <w:tcW w:w="1444"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left"/>
              <w:rPr>
                <w:rFonts w:eastAsia="Times New Roman"/>
                <w:color w:val="000000"/>
                <w:sz w:val="20"/>
                <w:szCs w:val="20"/>
                <w:lang w:eastAsia="en-AU"/>
              </w:rPr>
            </w:pPr>
          </w:p>
        </w:tc>
        <w:tc>
          <w:tcPr>
            <w:tcW w:w="4693" w:type="dxa"/>
            <w:tcBorders>
              <w:top w:val="nil"/>
              <w:left w:val="nil"/>
              <w:bottom w:val="nil"/>
              <w:right w:val="nil"/>
            </w:tcBorders>
          </w:tcPr>
          <w:p w:rsidR="00BC1B76" w:rsidRPr="00BC1B76" w:rsidRDefault="00BC1B76" w:rsidP="00BC1B7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BC1B76">
              <w:rPr>
                <w:rFonts w:eastAsia="Times New Roman"/>
                <w:color w:val="000000"/>
                <w:sz w:val="20"/>
                <w:szCs w:val="20"/>
                <w:lang w:eastAsia="en-AU"/>
              </w:rPr>
              <w:tab/>
              <w:t>(A)</w:t>
            </w:r>
            <w:r w:rsidRPr="00BC1B76">
              <w:rPr>
                <w:rFonts w:eastAsia="Times New Roman"/>
                <w:color w:val="000000"/>
                <w:sz w:val="20"/>
                <w:szCs w:val="20"/>
                <w:lang w:eastAsia="en-AU"/>
              </w:rPr>
              <w:tab/>
              <w:t>if the licensee satisfies the Authority of the existence of an effective prescribed environmental measure for the works or facility</w:t>
            </w:r>
          </w:p>
        </w:tc>
        <w:tc>
          <w:tcPr>
            <w:tcW w:w="1061"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right"/>
              <w:rPr>
                <w:rFonts w:eastAsia="Times New Roman"/>
                <w:color w:val="000000"/>
                <w:sz w:val="20"/>
                <w:szCs w:val="20"/>
                <w:lang w:eastAsia="en-AU"/>
              </w:rPr>
            </w:pPr>
            <w:r w:rsidRPr="00BC1B76">
              <w:rPr>
                <w:rFonts w:eastAsia="Times New Roman"/>
                <w:color w:val="000000"/>
                <w:sz w:val="20"/>
                <w:szCs w:val="20"/>
                <w:lang w:eastAsia="en-AU"/>
              </w:rPr>
              <w:t>20</w:t>
            </w:r>
          </w:p>
        </w:tc>
      </w:tr>
      <w:tr w:rsidR="00BC1B76" w:rsidRPr="00BC1B76" w:rsidTr="00046B75">
        <w:trPr>
          <w:cantSplit/>
        </w:trPr>
        <w:tc>
          <w:tcPr>
            <w:tcW w:w="1444"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left"/>
              <w:rPr>
                <w:rFonts w:eastAsia="Times New Roman"/>
                <w:color w:val="000000"/>
                <w:sz w:val="20"/>
                <w:szCs w:val="20"/>
                <w:lang w:eastAsia="en-AU"/>
              </w:rPr>
            </w:pPr>
          </w:p>
        </w:tc>
        <w:tc>
          <w:tcPr>
            <w:tcW w:w="4693" w:type="dxa"/>
            <w:tcBorders>
              <w:top w:val="nil"/>
              <w:left w:val="nil"/>
              <w:bottom w:val="nil"/>
              <w:right w:val="nil"/>
            </w:tcBorders>
          </w:tcPr>
          <w:p w:rsidR="00BC1B76" w:rsidRPr="00BC1B76" w:rsidRDefault="00BC1B76" w:rsidP="00BC1B7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BC1B76">
              <w:rPr>
                <w:rFonts w:eastAsia="Times New Roman"/>
                <w:color w:val="000000"/>
                <w:sz w:val="20"/>
                <w:szCs w:val="20"/>
                <w:lang w:eastAsia="en-AU"/>
              </w:rPr>
              <w:tab/>
              <w:t>(B)</w:t>
            </w:r>
            <w:r w:rsidRPr="00BC1B76">
              <w:rPr>
                <w:rFonts w:eastAsia="Times New Roman"/>
                <w:color w:val="000000"/>
                <w:sz w:val="20"/>
                <w:szCs w:val="20"/>
                <w:lang w:eastAsia="en-AU"/>
              </w:rPr>
              <w:tab/>
              <w:t>in any other case</w:t>
            </w:r>
          </w:p>
        </w:tc>
        <w:tc>
          <w:tcPr>
            <w:tcW w:w="1061"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right"/>
              <w:rPr>
                <w:rFonts w:eastAsia="Times New Roman"/>
                <w:color w:val="000000"/>
                <w:sz w:val="20"/>
                <w:szCs w:val="20"/>
                <w:lang w:eastAsia="en-AU"/>
              </w:rPr>
            </w:pPr>
            <w:r w:rsidRPr="00BC1B76">
              <w:rPr>
                <w:rFonts w:eastAsia="Times New Roman"/>
                <w:color w:val="000000"/>
                <w:sz w:val="20"/>
                <w:szCs w:val="20"/>
                <w:lang w:eastAsia="en-AU"/>
              </w:rPr>
              <w:t>31</w:t>
            </w:r>
          </w:p>
        </w:tc>
      </w:tr>
      <w:tr w:rsidR="00BC1B76" w:rsidRPr="00BC1B76" w:rsidTr="00046B75">
        <w:trPr>
          <w:cantSplit/>
        </w:trPr>
        <w:tc>
          <w:tcPr>
            <w:tcW w:w="1444"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left"/>
              <w:rPr>
                <w:rFonts w:eastAsia="Times New Roman"/>
                <w:color w:val="000000"/>
                <w:sz w:val="20"/>
                <w:szCs w:val="20"/>
                <w:lang w:eastAsia="en-AU"/>
              </w:rPr>
            </w:pPr>
          </w:p>
        </w:tc>
        <w:tc>
          <w:tcPr>
            <w:tcW w:w="4693" w:type="dxa"/>
            <w:tcBorders>
              <w:top w:val="nil"/>
              <w:left w:val="nil"/>
              <w:bottom w:val="nil"/>
              <w:right w:val="nil"/>
            </w:tcBorders>
          </w:tcPr>
          <w:p w:rsidR="00BC1B76" w:rsidRPr="00BC1B76" w:rsidRDefault="00BC1B76" w:rsidP="00BC1B7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C1B76">
              <w:rPr>
                <w:rFonts w:eastAsia="Times New Roman"/>
                <w:color w:val="000000"/>
                <w:sz w:val="20"/>
                <w:szCs w:val="20"/>
                <w:lang w:eastAsia="en-AU"/>
              </w:rPr>
              <w:tab/>
              <w:t>(iii)</w:t>
            </w:r>
            <w:r w:rsidRPr="00BC1B76">
              <w:rPr>
                <w:rFonts w:eastAsia="Times New Roman"/>
                <w:color w:val="000000"/>
                <w:sz w:val="20"/>
                <w:szCs w:val="20"/>
                <w:lang w:eastAsia="en-AU"/>
              </w:rPr>
              <w:tab/>
              <w:t>in the case of a pumped hydroelectricity works or facility (other than a category 1 or category 2 pumped hydroelectricity works or facility) at which the water used in the hydroelectricity production process has a salinity of 1 200 milligrams of total dissolved solids per litre or more—</w:t>
            </w:r>
          </w:p>
        </w:tc>
        <w:tc>
          <w:tcPr>
            <w:tcW w:w="1061"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right"/>
              <w:rPr>
                <w:rFonts w:eastAsia="Times New Roman"/>
                <w:color w:val="000000"/>
                <w:sz w:val="20"/>
                <w:szCs w:val="20"/>
                <w:lang w:eastAsia="en-AU"/>
              </w:rPr>
            </w:pPr>
          </w:p>
        </w:tc>
      </w:tr>
      <w:tr w:rsidR="00BC1B76" w:rsidRPr="00BC1B76" w:rsidTr="00046B75">
        <w:trPr>
          <w:cantSplit/>
        </w:trPr>
        <w:tc>
          <w:tcPr>
            <w:tcW w:w="1444"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left"/>
              <w:rPr>
                <w:rFonts w:eastAsia="Times New Roman"/>
                <w:color w:val="000000"/>
                <w:sz w:val="20"/>
                <w:szCs w:val="20"/>
                <w:lang w:eastAsia="en-AU"/>
              </w:rPr>
            </w:pPr>
          </w:p>
        </w:tc>
        <w:tc>
          <w:tcPr>
            <w:tcW w:w="4693" w:type="dxa"/>
            <w:tcBorders>
              <w:top w:val="nil"/>
              <w:left w:val="nil"/>
              <w:bottom w:val="nil"/>
              <w:right w:val="nil"/>
            </w:tcBorders>
          </w:tcPr>
          <w:p w:rsidR="00BC1B76" w:rsidRPr="00BC1B76" w:rsidRDefault="00BC1B76" w:rsidP="00BC1B7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BC1B76">
              <w:rPr>
                <w:rFonts w:eastAsia="Times New Roman"/>
                <w:color w:val="000000"/>
                <w:sz w:val="20"/>
                <w:szCs w:val="20"/>
                <w:lang w:eastAsia="en-AU"/>
              </w:rPr>
              <w:tab/>
              <w:t>(A)</w:t>
            </w:r>
            <w:r w:rsidRPr="00BC1B76">
              <w:rPr>
                <w:rFonts w:eastAsia="Times New Roman"/>
                <w:color w:val="000000"/>
                <w:sz w:val="20"/>
                <w:szCs w:val="20"/>
                <w:lang w:eastAsia="en-AU"/>
              </w:rPr>
              <w:tab/>
              <w:t>if the licensee satisfies the Authority of the existence of an effective prescribed environmental measure for the works or facility</w:t>
            </w:r>
          </w:p>
        </w:tc>
        <w:tc>
          <w:tcPr>
            <w:tcW w:w="1061"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right"/>
              <w:rPr>
                <w:rFonts w:eastAsia="Times New Roman"/>
                <w:color w:val="000000"/>
                <w:sz w:val="20"/>
                <w:szCs w:val="20"/>
                <w:lang w:eastAsia="en-AU"/>
              </w:rPr>
            </w:pPr>
            <w:r w:rsidRPr="00BC1B76">
              <w:rPr>
                <w:rFonts w:eastAsia="Times New Roman"/>
                <w:color w:val="000000"/>
                <w:sz w:val="20"/>
                <w:szCs w:val="20"/>
                <w:lang w:eastAsia="en-AU"/>
              </w:rPr>
              <w:t>12</w:t>
            </w:r>
          </w:p>
        </w:tc>
      </w:tr>
      <w:tr w:rsidR="00BC1B76" w:rsidRPr="00BC1B76" w:rsidTr="00046B75">
        <w:trPr>
          <w:cantSplit/>
        </w:trPr>
        <w:tc>
          <w:tcPr>
            <w:tcW w:w="1444"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left"/>
              <w:rPr>
                <w:rFonts w:eastAsia="Times New Roman"/>
                <w:color w:val="000000"/>
                <w:sz w:val="20"/>
                <w:szCs w:val="20"/>
                <w:lang w:eastAsia="en-AU"/>
              </w:rPr>
            </w:pPr>
          </w:p>
        </w:tc>
        <w:tc>
          <w:tcPr>
            <w:tcW w:w="4693" w:type="dxa"/>
            <w:tcBorders>
              <w:top w:val="nil"/>
              <w:left w:val="nil"/>
              <w:bottom w:val="nil"/>
              <w:right w:val="nil"/>
            </w:tcBorders>
          </w:tcPr>
          <w:p w:rsidR="00BC1B76" w:rsidRPr="00BC1B76" w:rsidRDefault="00BC1B76" w:rsidP="00BC1B7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BC1B76">
              <w:rPr>
                <w:rFonts w:eastAsia="Times New Roman"/>
                <w:color w:val="000000"/>
                <w:sz w:val="20"/>
                <w:szCs w:val="20"/>
                <w:lang w:eastAsia="en-AU"/>
              </w:rPr>
              <w:tab/>
              <w:t>(B)</w:t>
            </w:r>
            <w:r w:rsidRPr="00BC1B76">
              <w:rPr>
                <w:rFonts w:eastAsia="Times New Roman"/>
                <w:color w:val="000000"/>
                <w:sz w:val="20"/>
                <w:szCs w:val="20"/>
                <w:lang w:eastAsia="en-AU"/>
              </w:rPr>
              <w:tab/>
              <w:t>if the licensee satisfies the Authority that a prescribed environmental measure is not required for the works or facility</w:t>
            </w:r>
          </w:p>
        </w:tc>
        <w:tc>
          <w:tcPr>
            <w:tcW w:w="1061"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right"/>
              <w:rPr>
                <w:rFonts w:eastAsia="Times New Roman"/>
                <w:color w:val="000000"/>
                <w:sz w:val="20"/>
                <w:szCs w:val="20"/>
                <w:lang w:eastAsia="en-AU"/>
              </w:rPr>
            </w:pPr>
            <w:r w:rsidRPr="00BC1B76">
              <w:rPr>
                <w:rFonts w:eastAsia="Times New Roman"/>
                <w:color w:val="000000"/>
                <w:sz w:val="20"/>
                <w:szCs w:val="20"/>
                <w:lang w:eastAsia="en-AU"/>
              </w:rPr>
              <w:t>12</w:t>
            </w:r>
          </w:p>
        </w:tc>
      </w:tr>
      <w:tr w:rsidR="00BC1B76" w:rsidRPr="00BC1B76" w:rsidTr="00046B75">
        <w:trPr>
          <w:cantSplit/>
        </w:trPr>
        <w:tc>
          <w:tcPr>
            <w:tcW w:w="1444"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left"/>
              <w:rPr>
                <w:rFonts w:eastAsia="Times New Roman"/>
                <w:color w:val="000000"/>
                <w:sz w:val="20"/>
                <w:szCs w:val="20"/>
                <w:lang w:eastAsia="en-AU"/>
              </w:rPr>
            </w:pPr>
          </w:p>
        </w:tc>
        <w:tc>
          <w:tcPr>
            <w:tcW w:w="4693" w:type="dxa"/>
            <w:tcBorders>
              <w:top w:val="nil"/>
              <w:left w:val="nil"/>
              <w:bottom w:val="nil"/>
              <w:right w:val="nil"/>
            </w:tcBorders>
          </w:tcPr>
          <w:p w:rsidR="00BC1B76" w:rsidRPr="00BC1B76" w:rsidRDefault="00BC1B76" w:rsidP="00BC1B7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BC1B76">
              <w:rPr>
                <w:rFonts w:eastAsia="Times New Roman"/>
                <w:color w:val="000000"/>
                <w:sz w:val="20"/>
                <w:szCs w:val="20"/>
                <w:lang w:eastAsia="en-AU"/>
              </w:rPr>
              <w:tab/>
              <w:t>(C)</w:t>
            </w:r>
            <w:r w:rsidRPr="00BC1B76">
              <w:rPr>
                <w:rFonts w:eastAsia="Times New Roman"/>
                <w:color w:val="000000"/>
                <w:sz w:val="20"/>
                <w:szCs w:val="20"/>
                <w:lang w:eastAsia="en-AU"/>
              </w:rPr>
              <w:tab/>
              <w:t>in any other case</w:t>
            </w:r>
          </w:p>
        </w:tc>
        <w:tc>
          <w:tcPr>
            <w:tcW w:w="1061"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right"/>
              <w:rPr>
                <w:rFonts w:eastAsia="Times New Roman"/>
                <w:color w:val="000000"/>
                <w:sz w:val="20"/>
                <w:szCs w:val="20"/>
                <w:lang w:eastAsia="en-AU"/>
              </w:rPr>
            </w:pPr>
            <w:r w:rsidRPr="00BC1B76">
              <w:rPr>
                <w:rFonts w:eastAsia="Times New Roman"/>
                <w:color w:val="000000"/>
                <w:sz w:val="20"/>
                <w:szCs w:val="20"/>
                <w:lang w:eastAsia="en-AU"/>
              </w:rPr>
              <w:t>23</w:t>
            </w:r>
          </w:p>
        </w:tc>
      </w:tr>
      <w:tr w:rsidR="00BC1B76" w:rsidRPr="00BC1B76" w:rsidTr="00046B75">
        <w:trPr>
          <w:cantSplit/>
        </w:trPr>
        <w:tc>
          <w:tcPr>
            <w:tcW w:w="1444"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left"/>
              <w:rPr>
                <w:rFonts w:eastAsia="Times New Roman"/>
                <w:color w:val="000000"/>
                <w:sz w:val="20"/>
                <w:szCs w:val="20"/>
                <w:lang w:eastAsia="en-AU"/>
              </w:rPr>
            </w:pPr>
          </w:p>
        </w:tc>
        <w:tc>
          <w:tcPr>
            <w:tcW w:w="4693" w:type="dxa"/>
            <w:tcBorders>
              <w:top w:val="nil"/>
              <w:left w:val="nil"/>
              <w:bottom w:val="nil"/>
              <w:right w:val="nil"/>
            </w:tcBorders>
          </w:tcPr>
          <w:p w:rsidR="00BC1B76" w:rsidRPr="00BC1B76" w:rsidRDefault="00BC1B76" w:rsidP="00BC1B7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C1B76">
              <w:rPr>
                <w:rFonts w:eastAsia="Times New Roman"/>
                <w:color w:val="000000"/>
                <w:sz w:val="20"/>
                <w:szCs w:val="20"/>
                <w:lang w:eastAsia="en-AU"/>
              </w:rPr>
              <w:tab/>
              <w:t>(iv)</w:t>
            </w:r>
            <w:r w:rsidRPr="00BC1B76">
              <w:rPr>
                <w:rFonts w:eastAsia="Times New Roman"/>
                <w:color w:val="000000"/>
                <w:sz w:val="20"/>
                <w:szCs w:val="20"/>
                <w:lang w:eastAsia="en-AU"/>
              </w:rPr>
              <w:tab/>
              <w:t>in the case of a pumped hydroelectricity works or facility (other than a category 1 or category 2 pumped hydroelectricity works or facility) at which the water used in the hydroelectricity production process has a salinity of less than 1 200 milligrams of total dissolved solids per litre—</w:t>
            </w:r>
          </w:p>
        </w:tc>
        <w:tc>
          <w:tcPr>
            <w:tcW w:w="1061"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right"/>
              <w:rPr>
                <w:rFonts w:eastAsia="Times New Roman"/>
                <w:color w:val="000000"/>
                <w:sz w:val="20"/>
                <w:szCs w:val="20"/>
                <w:lang w:eastAsia="en-AU"/>
              </w:rPr>
            </w:pPr>
          </w:p>
        </w:tc>
      </w:tr>
      <w:tr w:rsidR="00BC1B76" w:rsidRPr="00BC1B76" w:rsidTr="00046B75">
        <w:trPr>
          <w:cantSplit/>
        </w:trPr>
        <w:tc>
          <w:tcPr>
            <w:tcW w:w="1444"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left"/>
              <w:rPr>
                <w:rFonts w:eastAsia="Times New Roman"/>
                <w:color w:val="000000"/>
                <w:sz w:val="20"/>
                <w:szCs w:val="20"/>
                <w:lang w:eastAsia="en-AU"/>
              </w:rPr>
            </w:pPr>
          </w:p>
        </w:tc>
        <w:tc>
          <w:tcPr>
            <w:tcW w:w="4693" w:type="dxa"/>
            <w:tcBorders>
              <w:top w:val="nil"/>
              <w:left w:val="nil"/>
              <w:bottom w:val="nil"/>
              <w:right w:val="nil"/>
            </w:tcBorders>
          </w:tcPr>
          <w:p w:rsidR="00BC1B76" w:rsidRPr="00BC1B76" w:rsidRDefault="00BC1B76" w:rsidP="00BC1B7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BC1B76">
              <w:rPr>
                <w:rFonts w:eastAsia="Times New Roman"/>
                <w:color w:val="000000"/>
                <w:sz w:val="20"/>
                <w:szCs w:val="20"/>
                <w:lang w:eastAsia="en-AU"/>
              </w:rPr>
              <w:tab/>
              <w:t>(A)</w:t>
            </w:r>
            <w:r w:rsidRPr="00BC1B76">
              <w:rPr>
                <w:rFonts w:eastAsia="Times New Roman"/>
                <w:color w:val="000000"/>
                <w:sz w:val="20"/>
                <w:szCs w:val="20"/>
                <w:lang w:eastAsia="en-AU"/>
              </w:rPr>
              <w:tab/>
              <w:t>if the licensee satisfies the Authority of the existence of an effective prescribed environmental measure for the works or facility</w:t>
            </w:r>
          </w:p>
        </w:tc>
        <w:tc>
          <w:tcPr>
            <w:tcW w:w="1061"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right"/>
              <w:rPr>
                <w:rFonts w:eastAsia="Times New Roman"/>
                <w:color w:val="000000"/>
                <w:sz w:val="20"/>
                <w:szCs w:val="20"/>
                <w:lang w:eastAsia="en-AU"/>
              </w:rPr>
            </w:pPr>
            <w:r w:rsidRPr="00BC1B76">
              <w:rPr>
                <w:rFonts w:eastAsia="Times New Roman"/>
                <w:color w:val="000000"/>
                <w:sz w:val="20"/>
                <w:szCs w:val="20"/>
                <w:lang w:eastAsia="en-AU"/>
              </w:rPr>
              <w:t>9</w:t>
            </w:r>
          </w:p>
        </w:tc>
      </w:tr>
      <w:tr w:rsidR="00BC1B76" w:rsidRPr="00BC1B76" w:rsidTr="00046B75">
        <w:trPr>
          <w:cantSplit/>
        </w:trPr>
        <w:tc>
          <w:tcPr>
            <w:tcW w:w="1444"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left"/>
              <w:rPr>
                <w:rFonts w:eastAsia="Times New Roman"/>
                <w:color w:val="000000"/>
                <w:sz w:val="20"/>
                <w:szCs w:val="20"/>
                <w:lang w:eastAsia="en-AU"/>
              </w:rPr>
            </w:pPr>
          </w:p>
        </w:tc>
        <w:tc>
          <w:tcPr>
            <w:tcW w:w="4693" w:type="dxa"/>
            <w:tcBorders>
              <w:top w:val="nil"/>
              <w:left w:val="nil"/>
              <w:bottom w:val="nil"/>
              <w:right w:val="nil"/>
            </w:tcBorders>
          </w:tcPr>
          <w:p w:rsidR="00BC1B76" w:rsidRPr="00BC1B76" w:rsidRDefault="00BC1B76" w:rsidP="00BC1B7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BC1B76">
              <w:rPr>
                <w:rFonts w:eastAsia="Times New Roman"/>
                <w:color w:val="000000"/>
                <w:sz w:val="20"/>
                <w:szCs w:val="20"/>
                <w:lang w:eastAsia="en-AU"/>
              </w:rPr>
              <w:tab/>
              <w:t>(B)</w:t>
            </w:r>
            <w:r w:rsidRPr="00BC1B76">
              <w:rPr>
                <w:rFonts w:eastAsia="Times New Roman"/>
                <w:color w:val="000000"/>
                <w:sz w:val="20"/>
                <w:szCs w:val="20"/>
                <w:lang w:eastAsia="en-AU"/>
              </w:rPr>
              <w:tab/>
              <w:t>if the licensee satisfies the Authority that a prescribed environmental measure is not required for the works or facility</w:t>
            </w:r>
          </w:p>
        </w:tc>
        <w:tc>
          <w:tcPr>
            <w:tcW w:w="1061"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right"/>
              <w:rPr>
                <w:rFonts w:eastAsia="Times New Roman"/>
                <w:color w:val="000000"/>
                <w:sz w:val="20"/>
                <w:szCs w:val="20"/>
                <w:lang w:eastAsia="en-AU"/>
              </w:rPr>
            </w:pPr>
            <w:r w:rsidRPr="00BC1B76">
              <w:rPr>
                <w:rFonts w:eastAsia="Times New Roman"/>
                <w:color w:val="000000"/>
                <w:sz w:val="20"/>
                <w:szCs w:val="20"/>
                <w:lang w:eastAsia="en-AU"/>
              </w:rPr>
              <w:t>9</w:t>
            </w:r>
          </w:p>
        </w:tc>
      </w:tr>
      <w:tr w:rsidR="00BC1B76" w:rsidRPr="00BC1B76" w:rsidTr="00046B75">
        <w:trPr>
          <w:cantSplit/>
        </w:trPr>
        <w:tc>
          <w:tcPr>
            <w:tcW w:w="1444"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left"/>
              <w:rPr>
                <w:rFonts w:eastAsia="Times New Roman"/>
                <w:color w:val="000000"/>
                <w:sz w:val="20"/>
                <w:szCs w:val="20"/>
                <w:lang w:eastAsia="en-AU"/>
              </w:rPr>
            </w:pPr>
          </w:p>
        </w:tc>
        <w:tc>
          <w:tcPr>
            <w:tcW w:w="4693" w:type="dxa"/>
            <w:tcBorders>
              <w:top w:val="nil"/>
              <w:left w:val="nil"/>
              <w:bottom w:val="nil"/>
              <w:right w:val="nil"/>
            </w:tcBorders>
          </w:tcPr>
          <w:p w:rsidR="00BC1B76" w:rsidRPr="00BC1B76" w:rsidRDefault="00BC1B76" w:rsidP="00BC1B7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BC1B76">
              <w:rPr>
                <w:rFonts w:eastAsia="Times New Roman"/>
                <w:color w:val="000000"/>
                <w:sz w:val="20"/>
                <w:szCs w:val="20"/>
                <w:lang w:eastAsia="en-AU"/>
              </w:rPr>
              <w:tab/>
              <w:t>(C)</w:t>
            </w:r>
            <w:r w:rsidRPr="00BC1B76">
              <w:rPr>
                <w:rFonts w:eastAsia="Times New Roman"/>
                <w:color w:val="000000"/>
                <w:sz w:val="20"/>
                <w:szCs w:val="20"/>
                <w:lang w:eastAsia="en-AU"/>
              </w:rPr>
              <w:tab/>
              <w:t>in any other case</w:t>
            </w:r>
          </w:p>
        </w:tc>
        <w:tc>
          <w:tcPr>
            <w:tcW w:w="1061" w:type="dxa"/>
            <w:tcBorders>
              <w:top w:val="nil"/>
              <w:left w:val="nil"/>
              <w:bottom w:val="nil"/>
              <w:right w:val="nil"/>
            </w:tcBorders>
          </w:tcPr>
          <w:p w:rsidR="00BC1B76" w:rsidRPr="00BC1B76" w:rsidRDefault="00BC1B76" w:rsidP="00BC1B76">
            <w:pPr>
              <w:keepLines/>
              <w:autoSpaceDE w:val="0"/>
              <w:autoSpaceDN w:val="0"/>
              <w:adjustRightInd w:val="0"/>
              <w:spacing w:before="120" w:after="0" w:line="240" w:lineRule="auto"/>
              <w:jc w:val="right"/>
              <w:rPr>
                <w:rFonts w:eastAsia="Times New Roman"/>
                <w:color w:val="000000"/>
                <w:sz w:val="20"/>
                <w:szCs w:val="20"/>
                <w:lang w:eastAsia="en-AU"/>
              </w:rPr>
            </w:pPr>
            <w:r w:rsidRPr="00BC1B76">
              <w:rPr>
                <w:rFonts w:eastAsia="Times New Roman"/>
                <w:color w:val="000000"/>
                <w:sz w:val="20"/>
                <w:szCs w:val="20"/>
                <w:lang w:eastAsia="en-AU"/>
              </w:rPr>
              <w:t>20</w:t>
            </w:r>
          </w:p>
        </w:tc>
      </w:tr>
    </w:tbl>
    <w:p w:rsidR="00BC1B76" w:rsidRPr="00BC1B76" w:rsidRDefault="00BC1B76" w:rsidP="00BC1B76">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BC1B76">
        <w:rPr>
          <w:rFonts w:eastAsia="Times New Roman"/>
          <w:b/>
          <w:bCs/>
          <w:color w:val="000000"/>
          <w:sz w:val="20"/>
          <w:szCs w:val="20"/>
          <w:lang w:eastAsia="en-AU"/>
        </w:rPr>
        <w:t>Note—</w:t>
      </w:r>
    </w:p>
    <w:p w:rsidR="00BC1B76" w:rsidRPr="00BC1B76" w:rsidRDefault="00BC1B76" w:rsidP="00BC1B76">
      <w:pPr>
        <w:keepLines/>
        <w:autoSpaceDE w:val="0"/>
        <w:autoSpaceDN w:val="0"/>
        <w:adjustRightInd w:val="0"/>
        <w:spacing w:before="120" w:after="0" w:line="240" w:lineRule="auto"/>
        <w:ind w:left="794"/>
        <w:jc w:val="left"/>
        <w:rPr>
          <w:rFonts w:eastAsia="Times New Roman"/>
          <w:color w:val="000000"/>
          <w:sz w:val="20"/>
          <w:szCs w:val="20"/>
          <w:lang w:eastAsia="en-AU"/>
        </w:rPr>
      </w:pPr>
      <w:r w:rsidRPr="00BC1B76">
        <w:rPr>
          <w:rFonts w:eastAsia="Times New Roman"/>
          <w:color w:val="000000"/>
          <w:sz w:val="20"/>
          <w:szCs w:val="20"/>
          <w:lang w:eastAsia="en-AU"/>
        </w:rPr>
        <w:t xml:space="preserve">As required by section 10AA(2) of the </w:t>
      </w:r>
      <w:hyperlink r:id="rId26" w:history="1">
        <w:r w:rsidRPr="00BC1B76">
          <w:rPr>
            <w:rFonts w:eastAsia="Times New Roman"/>
            <w:i/>
            <w:iCs/>
            <w:color w:val="000000"/>
            <w:sz w:val="20"/>
            <w:szCs w:val="20"/>
            <w:lang w:eastAsia="en-AU"/>
          </w:rPr>
          <w:t>Subordinate Legislation Act 1978</w:t>
        </w:r>
      </w:hyperlink>
      <w:r w:rsidRPr="00BC1B76">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BC1B76" w:rsidRPr="00BC1B76" w:rsidRDefault="00BC1B76" w:rsidP="00BC1B76">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BC1B76">
        <w:rPr>
          <w:rFonts w:eastAsia="Times New Roman"/>
          <w:b/>
          <w:bCs/>
          <w:color w:val="000000"/>
          <w:sz w:val="26"/>
          <w:szCs w:val="26"/>
          <w:lang w:eastAsia="en-AU"/>
        </w:rPr>
        <w:t>Made by the Governor</w:t>
      </w:r>
    </w:p>
    <w:p w:rsidR="00BC1B76" w:rsidRPr="00BC1B76" w:rsidRDefault="00BC1B76" w:rsidP="00BC1B76">
      <w:pPr>
        <w:keepNext/>
        <w:keepLines/>
        <w:autoSpaceDE w:val="0"/>
        <w:autoSpaceDN w:val="0"/>
        <w:adjustRightInd w:val="0"/>
        <w:spacing w:before="120" w:after="0" w:line="240" w:lineRule="auto"/>
        <w:jc w:val="left"/>
        <w:rPr>
          <w:rFonts w:eastAsia="Times New Roman"/>
          <w:color w:val="000000"/>
          <w:sz w:val="23"/>
          <w:szCs w:val="23"/>
          <w:lang w:eastAsia="en-AU"/>
        </w:rPr>
      </w:pPr>
      <w:r w:rsidRPr="00BC1B76">
        <w:rPr>
          <w:rFonts w:eastAsia="Times New Roman"/>
          <w:color w:val="000000"/>
          <w:sz w:val="23"/>
          <w:szCs w:val="23"/>
          <w:lang w:eastAsia="en-AU"/>
        </w:rPr>
        <w:t>with the advice and consent of the Executive Council</w:t>
      </w:r>
    </w:p>
    <w:p w:rsidR="00BC1B76" w:rsidRPr="00BC1B76" w:rsidRDefault="00BC1B76" w:rsidP="00BC1B76">
      <w:pPr>
        <w:keepNext/>
        <w:keepLines/>
        <w:autoSpaceDE w:val="0"/>
        <w:autoSpaceDN w:val="0"/>
        <w:adjustRightInd w:val="0"/>
        <w:spacing w:after="0" w:line="240" w:lineRule="auto"/>
        <w:jc w:val="left"/>
        <w:rPr>
          <w:rFonts w:eastAsia="Times New Roman"/>
          <w:color w:val="000000"/>
          <w:sz w:val="23"/>
          <w:szCs w:val="23"/>
          <w:lang w:eastAsia="en-AU"/>
        </w:rPr>
      </w:pPr>
      <w:r w:rsidRPr="00BC1B76">
        <w:rPr>
          <w:rFonts w:eastAsia="Times New Roman"/>
          <w:color w:val="000000"/>
          <w:sz w:val="23"/>
          <w:szCs w:val="23"/>
          <w:lang w:eastAsia="en-AU"/>
        </w:rPr>
        <w:t>on 17 December 2020</w:t>
      </w:r>
    </w:p>
    <w:p w:rsidR="00BC1B76" w:rsidRDefault="00BC1B76" w:rsidP="00BC1B76">
      <w:pPr>
        <w:keepNext/>
        <w:keepLines/>
        <w:autoSpaceDE w:val="0"/>
        <w:autoSpaceDN w:val="0"/>
        <w:adjustRightInd w:val="0"/>
        <w:spacing w:before="120" w:line="240" w:lineRule="auto"/>
        <w:jc w:val="left"/>
        <w:rPr>
          <w:rFonts w:eastAsia="Times New Roman"/>
          <w:color w:val="000000"/>
          <w:sz w:val="23"/>
          <w:szCs w:val="23"/>
          <w:lang w:eastAsia="en-AU"/>
        </w:rPr>
      </w:pPr>
      <w:r w:rsidRPr="00BC1B76">
        <w:rPr>
          <w:rFonts w:eastAsia="Times New Roman"/>
          <w:color w:val="000000"/>
          <w:sz w:val="23"/>
          <w:szCs w:val="23"/>
          <w:lang w:eastAsia="en-AU"/>
        </w:rPr>
        <w:t>No 312 of 2020</w:t>
      </w:r>
    </w:p>
    <w:p w:rsidR="00BC1B76" w:rsidRDefault="00BC1B76" w:rsidP="00BC1B76">
      <w:pPr>
        <w:pBdr>
          <w:top w:val="single" w:sz="4" w:space="1" w:color="auto"/>
        </w:pBdr>
        <w:autoSpaceDE w:val="0"/>
        <w:autoSpaceDN w:val="0"/>
        <w:adjustRightInd w:val="0"/>
        <w:spacing w:before="100" w:after="0" w:line="14" w:lineRule="exact"/>
        <w:jc w:val="center"/>
        <w:rPr>
          <w:rFonts w:eastAsia="Times New Roman"/>
          <w:color w:val="000000"/>
          <w:sz w:val="23"/>
          <w:szCs w:val="23"/>
          <w:lang w:eastAsia="en-AU"/>
        </w:rPr>
      </w:pPr>
    </w:p>
    <w:p w:rsidR="00AE498D" w:rsidRDefault="00AE498D" w:rsidP="0016463B">
      <w:pPr>
        <w:pStyle w:val="GG-body"/>
      </w:pPr>
    </w:p>
    <w:p w:rsidR="002C05CB" w:rsidRDefault="002C05CB">
      <w:pPr>
        <w:spacing w:after="0" w:line="240" w:lineRule="auto"/>
        <w:jc w:val="left"/>
        <w:rPr>
          <w:rFonts w:eastAsia="Times New Roman"/>
          <w:szCs w:val="17"/>
        </w:rPr>
      </w:pPr>
      <w:r>
        <w:br w:type="page"/>
      </w:r>
    </w:p>
    <w:p w:rsidR="002C05CB" w:rsidRDefault="002C05CB" w:rsidP="002C05CB">
      <w:pPr>
        <w:pStyle w:val="RegSpace"/>
        <w:rPr>
          <w:lang w:eastAsia="en-AU"/>
        </w:rPr>
      </w:pPr>
    </w:p>
    <w:p w:rsidR="002C05CB" w:rsidRPr="002C05CB" w:rsidRDefault="002C05CB" w:rsidP="002C05CB">
      <w:pPr>
        <w:keepLines/>
        <w:autoSpaceDE w:val="0"/>
        <w:autoSpaceDN w:val="0"/>
        <w:adjustRightInd w:val="0"/>
        <w:spacing w:before="240" w:after="0" w:line="240" w:lineRule="auto"/>
        <w:jc w:val="left"/>
        <w:rPr>
          <w:rFonts w:eastAsia="Times New Roman"/>
          <w:color w:val="000000"/>
          <w:sz w:val="28"/>
          <w:szCs w:val="28"/>
          <w:lang w:eastAsia="en-AU"/>
        </w:rPr>
      </w:pPr>
      <w:r w:rsidRPr="002C05CB">
        <w:rPr>
          <w:rFonts w:eastAsia="Times New Roman"/>
          <w:color w:val="000000"/>
          <w:sz w:val="28"/>
          <w:szCs w:val="28"/>
          <w:lang w:eastAsia="en-AU"/>
        </w:rPr>
        <w:t>South Australia</w:t>
      </w:r>
    </w:p>
    <w:p w:rsidR="002C05CB" w:rsidRPr="002C05CB" w:rsidRDefault="002C05CB" w:rsidP="00046B75">
      <w:pPr>
        <w:pStyle w:val="Heading3"/>
        <w:rPr>
          <w:lang w:eastAsia="en-AU"/>
        </w:rPr>
      </w:pPr>
      <w:bookmarkStart w:id="41" w:name="_Toc59098931"/>
      <w:r w:rsidRPr="002C05CB">
        <w:rPr>
          <w:lang w:eastAsia="en-AU"/>
        </w:rPr>
        <w:t>Criminal Law Consolidation (Criminal Organisations)</w:t>
      </w:r>
      <w:r w:rsidR="00046B75">
        <w:rPr>
          <w:lang w:eastAsia="en-AU"/>
        </w:rPr>
        <w:t xml:space="preserve"> </w:t>
      </w:r>
      <w:r w:rsidRPr="002C05CB">
        <w:rPr>
          <w:lang w:eastAsia="en-AU"/>
        </w:rPr>
        <w:t>(Prescribed Place—Cowirra) Variation Regulations 2020</w:t>
      </w:r>
      <w:bookmarkEnd w:id="41"/>
    </w:p>
    <w:p w:rsidR="002C05CB" w:rsidRPr="002C05CB" w:rsidRDefault="002C05CB" w:rsidP="002C05CB">
      <w:pPr>
        <w:keepLines/>
        <w:autoSpaceDE w:val="0"/>
        <w:autoSpaceDN w:val="0"/>
        <w:adjustRightInd w:val="0"/>
        <w:spacing w:before="80" w:after="240" w:line="240" w:lineRule="auto"/>
        <w:jc w:val="left"/>
        <w:rPr>
          <w:rFonts w:eastAsia="Times New Roman"/>
          <w:color w:val="000000"/>
          <w:sz w:val="24"/>
          <w:szCs w:val="24"/>
          <w:lang w:eastAsia="en-AU"/>
        </w:rPr>
      </w:pPr>
      <w:r w:rsidRPr="002C05CB">
        <w:rPr>
          <w:rFonts w:eastAsia="Times New Roman"/>
          <w:color w:val="000000"/>
          <w:sz w:val="24"/>
          <w:szCs w:val="24"/>
          <w:lang w:eastAsia="en-AU"/>
        </w:rPr>
        <w:t xml:space="preserve">under the </w:t>
      </w:r>
      <w:r w:rsidRPr="002C05CB">
        <w:rPr>
          <w:rFonts w:eastAsia="Times New Roman"/>
          <w:i/>
          <w:iCs/>
          <w:color w:val="000000"/>
          <w:sz w:val="24"/>
          <w:szCs w:val="24"/>
          <w:lang w:eastAsia="en-AU"/>
        </w:rPr>
        <w:t>Criminal Law Consolidation Act 1935</w:t>
      </w:r>
    </w:p>
    <w:p w:rsidR="002C05CB" w:rsidRPr="002C05CB" w:rsidRDefault="002C05CB" w:rsidP="002C05CB">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2C05CB" w:rsidRPr="002C05CB" w:rsidRDefault="002C05CB" w:rsidP="002C05CB">
      <w:pPr>
        <w:keepLines/>
        <w:autoSpaceDE w:val="0"/>
        <w:autoSpaceDN w:val="0"/>
        <w:adjustRightInd w:val="0"/>
        <w:spacing w:before="120" w:after="0" w:line="240" w:lineRule="auto"/>
        <w:jc w:val="left"/>
        <w:rPr>
          <w:rFonts w:eastAsia="Times New Roman"/>
          <w:b/>
          <w:bCs/>
          <w:color w:val="000000"/>
          <w:sz w:val="32"/>
          <w:szCs w:val="32"/>
          <w:lang w:eastAsia="en-AU"/>
        </w:rPr>
      </w:pPr>
      <w:r w:rsidRPr="002C05CB">
        <w:rPr>
          <w:rFonts w:eastAsia="Times New Roman"/>
          <w:b/>
          <w:bCs/>
          <w:color w:val="000000"/>
          <w:sz w:val="32"/>
          <w:szCs w:val="32"/>
          <w:lang w:eastAsia="en-AU"/>
        </w:rPr>
        <w:t>Contents</w:t>
      </w:r>
    </w:p>
    <w:p w:rsidR="002C05CB" w:rsidRPr="002C05CB" w:rsidRDefault="00607847" w:rsidP="002C05CB">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2C05CB" w:rsidRPr="002C05CB">
          <w:rPr>
            <w:rFonts w:eastAsia="Times New Roman"/>
            <w:color w:val="000000"/>
            <w:sz w:val="28"/>
            <w:szCs w:val="28"/>
            <w:lang w:eastAsia="en-AU"/>
          </w:rPr>
          <w:t>Part 1—Preliminary</w:t>
        </w:r>
      </w:hyperlink>
    </w:p>
    <w:p w:rsidR="002C05CB" w:rsidRPr="002C05CB" w:rsidRDefault="00607847" w:rsidP="002C05CB">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2C05CB" w:rsidRPr="002C05CB">
          <w:rPr>
            <w:rFonts w:eastAsia="Times New Roman"/>
            <w:color w:val="000000"/>
            <w:sz w:val="22"/>
            <w:lang w:eastAsia="en-AU"/>
          </w:rPr>
          <w:t>1</w:t>
        </w:r>
        <w:r w:rsidR="002C05CB" w:rsidRPr="002C05CB">
          <w:rPr>
            <w:rFonts w:eastAsia="Times New Roman"/>
            <w:color w:val="000000"/>
            <w:sz w:val="22"/>
            <w:lang w:eastAsia="en-AU"/>
          </w:rPr>
          <w:tab/>
          <w:t>Short title</w:t>
        </w:r>
      </w:hyperlink>
    </w:p>
    <w:p w:rsidR="002C05CB" w:rsidRPr="002C05CB" w:rsidRDefault="00607847" w:rsidP="002C05CB">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2C05CB" w:rsidRPr="002C05CB">
          <w:rPr>
            <w:rFonts w:eastAsia="Times New Roman"/>
            <w:color w:val="000000"/>
            <w:sz w:val="22"/>
            <w:lang w:eastAsia="en-AU"/>
          </w:rPr>
          <w:t>2</w:t>
        </w:r>
        <w:r w:rsidR="002C05CB" w:rsidRPr="002C05CB">
          <w:rPr>
            <w:rFonts w:eastAsia="Times New Roman"/>
            <w:color w:val="000000"/>
            <w:sz w:val="22"/>
            <w:lang w:eastAsia="en-AU"/>
          </w:rPr>
          <w:tab/>
          <w:t>Commencement</w:t>
        </w:r>
      </w:hyperlink>
    </w:p>
    <w:p w:rsidR="002C05CB" w:rsidRPr="002C05CB" w:rsidRDefault="00607847" w:rsidP="002C05CB">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2C05CB" w:rsidRPr="002C05CB">
          <w:rPr>
            <w:rFonts w:eastAsia="Times New Roman"/>
            <w:color w:val="000000"/>
            <w:sz w:val="22"/>
            <w:lang w:eastAsia="en-AU"/>
          </w:rPr>
          <w:t>3</w:t>
        </w:r>
        <w:r w:rsidR="002C05CB" w:rsidRPr="002C05CB">
          <w:rPr>
            <w:rFonts w:eastAsia="Times New Roman"/>
            <w:color w:val="000000"/>
            <w:sz w:val="22"/>
            <w:lang w:eastAsia="en-AU"/>
          </w:rPr>
          <w:tab/>
          <w:t>Variation provisions</w:t>
        </w:r>
      </w:hyperlink>
    </w:p>
    <w:p w:rsidR="002C05CB" w:rsidRPr="002C05CB" w:rsidRDefault="00607847" w:rsidP="002C05CB">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2C05CB" w:rsidRPr="002C05CB">
          <w:rPr>
            <w:rFonts w:eastAsia="Times New Roman"/>
            <w:color w:val="000000"/>
            <w:sz w:val="28"/>
            <w:szCs w:val="28"/>
            <w:lang w:eastAsia="en-AU"/>
          </w:rPr>
          <w:t xml:space="preserve">Part 2—Variation of </w:t>
        </w:r>
        <w:r w:rsidR="002C05CB" w:rsidRPr="002C05CB">
          <w:rPr>
            <w:rFonts w:eastAsia="Times New Roman"/>
            <w:i/>
            <w:iCs/>
            <w:color w:val="000000"/>
            <w:sz w:val="28"/>
            <w:szCs w:val="28"/>
            <w:lang w:eastAsia="en-AU"/>
          </w:rPr>
          <w:t>Criminal Law Consolidation (Criminal Organisations) Regulations 2015</w:t>
        </w:r>
      </w:hyperlink>
    </w:p>
    <w:p w:rsidR="002C05CB" w:rsidRPr="002C05CB" w:rsidRDefault="00607847" w:rsidP="002C05CB">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2C05CB" w:rsidRPr="002C05CB">
          <w:rPr>
            <w:rFonts w:eastAsia="Times New Roman"/>
            <w:color w:val="000000"/>
            <w:sz w:val="22"/>
            <w:lang w:eastAsia="en-AU"/>
          </w:rPr>
          <w:t>4</w:t>
        </w:r>
        <w:r w:rsidR="002C05CB" w:rsidRPr="002C05CB">
          <w:rPr>
            <w:rFonts w:eastAsia="Times New Roman"/>
            <w:color w:val="000000"/>
            <w:sz w:val="22"/>
            <w:lang w:eastAsia="en-AU"/>
          </w:rPr>
          <w:tab/>
          <w:t>Variation of regulation 3—Places declared to be prescribed places (by certificate of title)—section 83GA</w:t>
        </w:r>
      </w:hyperlink>
    </w:p>
    <w:p w:rsidR="002C05CB" w:rsidRPr="002C05CB" w:rsidRDefault="002C05CB" w:rsidP="002C05CB">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2C05CB" w:rsidRPr="002C05CB" w:rsidRDefault="002C05CB" w:rsidP="002C05C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2C05CB">
        <w:rPr>
          <w:rFonts w:eastAsia="Times New Roman"/>
          <w:b/>
          <w:bCs/>
          <w:color w:val="000000"/>
          <w:sz w:val="32"/>
          <w:szCs w:val="32"/>
          <w:lang w:eastAsia="en-AU"/>
        </w:rPr>
        <w:t>Part 1—Preliminary</w:t>
      </w:r>
    </w:p>
    <w:p w:rsidR="002C05CB" w:rsidRPr="002C05CB" w:rsidRDefault="002C05CB" w:rsidP="002C05C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C05CB">
        <w:rPr>
          <w:rFonts w:eastAsia="Times New Roman"/>
          <w:b/>
          <w:bCs/>
          <w:color w:val="000000"/>
          <w:sz w:val="26"/>
          <w:szCs w:val="26"/>
          <w:lang w:eastAsia="en-AU"/>
        </w:rPr>
        <w:t>1—Short title</w:t>
      </w:r>
    </w:p>
    <w:p w:rsidR="002C05CB" w:rsidRPr="002C05CB" w:rsidRDefault="002C05CB" w:rsidP="002C05CB">
      <w:pPr>
        <w:keepLines/>
        <w:autoSpaceDE w:val="0"/>
        <w:autoSpaceDN w:val="0"/>
        <w:adjustRightInd w:val="0"/>
        <w:spacing w:before="120" w:after="0" w:line="240" w:lineRule="auto"/>
        <w:ind w:left="794"/>
        <w:jc w:val="left"/>
        <w:rPr>
          <w:rFonts w:eastAsia="Times New Roman"/>
          <w:color w:val="000000"/>
          <w:sz w:val="23"/>
          <w:szCs w:val="23"/>
          <w:lang w:eastAsia="en-AU"/>
        </w:rPr>
      </w:pPr>
      <w:r w:rsidRPr="002C05CB">
        <w:rPr>
          <w:rFonts w:eastAsia="Times New Roman"/>
          <w:color w:val="000000"/>
          <w:sz w:val="23"/>
          <w:szCs w:val="23"/>
          <w:lang w:eastAsia="en-AU"/>
        </w:rPr>
        <w:t xml:space="preserve">These regulations may be cited as the </w:t>
      </w:r>
      <w:r w:rsidRPr="002C05CB">
        <w:rPr>
          <w:rFonts w:eastAsia="Times New Roman"/>
          <w:i/>
          <w:iCs/>
          <w:color w:val="000000"/>
          <w:sz w:val="23"/>
          <w:szCs w:val="23"/>
          <w:lang w:eastAsia="en-AU"/>
        </w:rPr>
        <w:t>Criminal Law Consolidation (Criminal Organisations)(Prescribed Place—Cowirra) Variation Regulations 2020</w:t>
      </w:r>
      <w:r w:rsidRPr="002C05CB">
        <w:rPr>
          <w:rFonts w:eastAsia="Times New Roman"/>
          <w:color w:val="000000"/>
          <w:sz w:val="23"/>
          <w:szCs w:val="23"/>
          <w:lang w:eastAsia="en-AU"/>
        </w:rPr>
        <w:t>.</w:t>
      </w:r>
    </w:p>
    <w:p w:rsidR="002C05CB" w:rsidRPr="002C05CB" w:rsidRDefault="002C05CB" w:rsidP="002C05C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C05CB">
        <w:rPr>
          <w:rFonts w:eastAsia="Times New Roman"/>
          <w:b/>
          <w:bCs/>
          <w:color w:val="000000"/>
          <w:sz w:val="26"/>
          <w:szCs w:val="26"/>
          <w:lang w:eastAsia="en-AU"/>
        </w:rPr>
        <w:t>2—Commencement</w:t>
      </w:r>
    </w:p>
    <w:p w:rsidR="002C05CB" w:rsidRPr="002C05CB" w:rsidRDefault="002C05CB" w:rsidP="002C05CB">
      <w:pPr>
        <w:keepLines/>
        <w:autoSpaceDE w:val="0"/>
        <w:autoSpaceDN w:val="0"/>
        <w:adjustRightInd w:val="0"/>
        <w:spacing w:before="120" w:after="0" w:line="240" w:lineRule="auto"/>
        <w:ind w:left="794"/>
        <w:jc w:val="left"/>
        <w:rPr>
          <w:rFonts w:eastAsia="Times New Roman"/>
          <w:color w:val="000000"/>
          <w:sz w:val="23"/>
          <w:szCs w:val="23"/>
          <w:lang w:eastAsia="en-AU"/>
        </w:rPr>
      </w:pPr>
      <w:r w:rsidRPr="002C05CB">
        <w:rPr>
          <w:rFonts w:eastAsia="Times New Roman"/>
          <w:color w:val="000000"/>
          <w:sz w:val="23"/>
          <w:szCs w:val="23"/>
          <w:lang w:eastAsia="en-AU"/>
        </w:rPr>
        <w:t>These regulations come into operation on the day on which they are made.</w:t>
      </w:r>
    </w:p>
    <w:p w:rsidR="002C05CB" w:rsidRPr="002C05CB" w:rsidRDefault="002C05CB" w:rsidP="002C05C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C05CB">
        <w:rPr>
          <w:rFonts w:eastAsia="Times New Roman"/>
          <w:b/>
          <w:bCs/>
          <w:color w:val="000000"/>
          <w:sz w:val="26"/>
          <w:szCs w:val="26"/>
          <w:lang w:eastAsia="en-AU"/>
        </w:rPr>
        <w:t>3—Variation provisions</w:t>
      </w:r>
    </w:p>
    <w:p w:rsidR="002C05CB" w:rsidRPr="002C05CB" w:rsidRDefault="002C05CB" w:rsidP="002C05CB">
      <w:pPr>
        <w:keepLines/>
        <w:autoSpaceDE w:val="0"/>
        <w:autoSpaceDN w:val="0"/>
        <w:adjustRightInd w:val="0"/>
        <w:spacing w:before="120" w:after="0" w:line="240" w:lineRule="auto"/>
        <w:ind w:left="794"/>
        <w:jc w:val="left"/>
        <w:rPr>
          <w:rFonts w:eastAsia="Times New Roman"/>
          <w:color w:val="000000"/>
          <w:sz w:val="23"/>
          <w:szCs w:val="23"/>
          <w:lang w:eastAsia="en-AU"/>
        </w:rPr>
      </w:pPr>
      <w:r w:rsidRPr="002C05CB">
        <w:rPr>
          <w:rFonts w:eastAsia="Times New Roman"/>
          <w:color w:val="000000"/>
          <w:sz w:val="23"/>
          <w:szCs w:val="23"/>
          <w:lang w:eastAsia="en-AU"/>
        </w:rPr>
        <w:t>In these regulations, a provision under a heading referring to the variation of specified regulations varies the regulations so specified.</w:t>
      </w:r>
    </w:p>
    <w:p w:rsidR="002C05CB" w:rsidRPr="002C05CB" w:rsidRDefault="002C05CB" w:rsidP="002C05C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2C05CB">
        <w:rPr>
          <w:rFonts w:eastAsia="Times New Roman"/>
          <w:b/>
          <w:bCs/>
          <w:color w:val="000000"/>
          <w:sz w:val="32"/>
          <w:szCs w:val="32"/>
          <w:lang w:eastAsia="en-AU"/>
        </w:rPr>
        <w:t xml:space="preserve">Part 2—Variation of </w:t>
      </w:r>
      <w:r w:rsidRPr="002C05CB">
        <w:rPr>
          <w:rFonts w:eastAsia="Times New Roman"/>
          <w:b/>
          <w:bCs/>
          <w:i/>
          <w:iCs/>
          <w:color w:val="000000"/>
          <w:sz w:val="32"/>
          <w:szCs w:val="32"/>
          <w:lang w:eastAsia="en-AU"/>
        </w:rPr>
        <w:t>Criminal Law Consolidation (Criminal Organisations) Regulations 2015</w:t>
      </w:r>
    </w:p>
    <w:p w:rsidR="002C05CB" w:rsidRPr="002C05CB" w:rsidRDefault="002C05CB" w:rsidP="002C05C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C05CB">
        <w:rPr>
          <w:rFonts w:eastAsia="Times New Roman"/>
          <w:b/>
          <w:bCs/>
          <w:color w:val="000000"/>
          <w:sz w:val="26"/>
          <w:szCs w:val="26"/>
          <w:lang w:eastAsia="en-AU"/>
        </w:rPr>
        <w:t>4—Variation of regulation 3—Places declared to be prescribed places (by certificate of title)—section 83GA</w:t>
      </w:r>
    </w:p>
    <w:p w:rsidR="002C05CB" w:rsidRPr="002C05CB" w:rsidRDefault="002C05CB" w:rsidP="002C05C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2C05CB">
        <w:rPr>
          <w:rFonts w:eastAsia="Times New Roman"/>
          <w:color w:val="000000"/>
          <w:sz w:val="23"/>
          <w:szCs w:val="23"/>
          <w:lang w:eastAsia="en-AU"/>
        </w:rPr>
        <w:t>Regulation 3(2), table—after its present contents insert:</w:t>
      </w:r>
    </w:p>
    <w:p w:rsidR="002C05CB" w:rsidRPr="002C05CB" w:rsidRDefault="002C05CB" w:rsidP="002C05CB">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3599"/>
        <w:gridCol w:w="3599"/>
      </w:tblGrid>
      <w:tr w:rsidR="002C05CB" w:rsidRPr="002C05CB" w:rsidTr="00046B75">
        <w:tc>
          <w:tcPr>
            <w:tcW w:w="3599" w:type="dxa"/>
            <w:tcBorders>
              <w:top w:val="single" w:sz="4" w:space="0" w:color="auto"/>
              <w:left w:val="single" w:sz="4" w:space="0" w:color="auto"/>
              <w:bottom w:val="single" w:sz="4" w:space="0" w:color="auto"/>
              <w:right w:val="single" w:sz="4" w:space="0" w:color="auto"/>
            </w:tcBorders>
            <w:vAlign w:val="center"/>
          </w:tcPr>
          <w:p w:rsidR="002C05CB" w:rsidRPr="002C05CB" w:rsidRDefault="002C05CB" w:rsidP="002C05CB">
            <w:pPr>
              <w:keepLines/>
              <w:autoSpaceDE w:val="0"/>
              <w:autoSpaceDN w:val="0"/>
              <w:adjustRightInd w:val="0"/>
              <w:spacing w:before="120" w:after="0" w:line="240" w:lineRule="auto"/>
              <w:jc w:val="left"/>
              <w:rPr>
                <w:rFonts w:eastAsia="Times New Roman"/>
                <w:color w:val="000000"/>
                <w:sz w:val="20"/>
                <w:szCs w:val="20"/>
                <w:lang w:eastAsia="en-AU"/>
              </w:rPr>
            </w:pPr>
            <w:r w:rsidRPr="002C05CB">
              <w:rPr>
                <w:rFonts w:eastAsia="Times New Roman"/>
                <w:color w:val="000000"/>
                <w:sz w:val="20"/>
                <w:szCs w:val="20"/>
                <w:lang w:eastAsia="en-AU"/>
              </w:rPr>
              <w:t>Certificate of title 5995/665</w:t>
            </w:r>
          </w:p>
        </w:tc>
        <w:tc>
          <w:tcPr>
            <w:tcW w:w="3599" w:type="dxa"/>
            <w:tcBorders>
              <w:top w:val="single" w:sz="4" w:space="0" w:color="auto"/>
              <w:left w:val="nil"/>
              <w:bottom w:val="single" w:sz="4" w:space="0" w:color="auto"/>
              <w:right w:val="single" w:sz="4" w:space="0" w:color="auto"/>
            </w:tcBorders>
            <w:vAlign w:val="center"/>
          </w:tcPr>
          <w:p w:rsidR="002C05CB" w:rsidRPr="002C05CB" w:rsidRDefault="002C05CB" w:rsidP="002C05CB">
            <w:pPr>
              <w:keepLines/>
              <w:autoSpaceDE w:val="0"/>
              <w:autoSpaceDN w:val="0"/>
              <w:adjustRightInd w:val="0"/>
              <w:spacing w:before="120" w:after="0" w:line="240" w:lineRule="auto"/>
              <w:jc w:val="left"/>
              <w:rPr>
                <w:rFonts w:eastAsia="Times New Roman"/>
                <w:color w:val="000000"/>
                <w:sz w:val="20"/>
                <w:szCs w:val="20"/>
                <w:lang w:eastAsia="en-AU"/>
              </w:rPr>
            </w:pPr>
            <w:r w:rsidRPr="002C05CB">
              <w:rPr>
                <w:rFonts w:eastAsia="Times New Roman"/>
                <w:i/>
                <w:iCs/>
                <w:color w:val="000000"/>
                <w:sz w:val="20"/>
                <w:szCs w:val="20"/>
                <w:lang w:eastAsia="en-AU"/>
              </w:rPr>
              <w:t>591 Kenny Road, Cowirra</w:t>
            </w:r>
          </w:p>
        </w:tc>
      </w:tr>
    </w:tbl>
    <w:p w:rsidR="00A17458" w:rsidRDefault="00A17458" w:rsidP="002C05CB">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p>
    <w:p w:rsidR="00A17458" w:rsidRDefault="00A17458">
      <w:pPr>
        <w:spacing w:after="0" w:line="240" w:lineRule="auto"/>
        <w:jc w:val="left"/>
        <w:rPr>
          <w:rFonts w:eastAsia="Times New Roman"/>
          <w:b/>
          <w:bCs/>
          <w:color w:val="000000"/>
          <w:sz w:val="20"/>
          <w:szCs w:val="20"/>
          <w:lang w:eastAsia="en-AU"/>
        </w:rPr>
      </w:pPr>
      <w:r>
        <w:rPr>
          <w:rFonts w:eastAsia="Times New Roman"/>
          <w:b/>
          <w:bCs/>
          <w:color w:val="000000"/>
          <w:sz w:val="20"/>
          <w:szCs w:val="20"/>
          <w:lang w:eastAsia="en-AU"/>
        </w:rPr>
        <w:br w:type="page"/>
      </w:r>
    </w:p>
    <w:p w:rsidR="002C05CB" w:rsidRPr="002C05CB" w:rsidRDefault="002C05CB" w:rsidP="002C05CB">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2C05CB">
        <w:rPr>
          <w:rFonts w:eastAsia="Times New Roman"/>
          <w:b/>
          <w:bCs/>
          <w:color w:val="000000"/>
          <w:sz w:val="20"/>
          <w:szCs w:val="20"/>
          <w:lang w:eastAsia="en-AU"/>
        </w:rPr>
        <w:lastRenderedPageBreak/>
        <w:t>Note—</w:t>
      </w:r>
    </w:p>
    <w:p w:rsidR="002C05CB" w:rsidRPr="002C05CB" w:rsidRDefault="002C05CB" w:rsidP="002C05CB">
      <w:pPr>
        <w:keepLines/>
        <w:autoSpaceDE w:val="0"/>
        <w:autoSpaceDN w:val="0"/>
        <w:adjustRightInd w:val="0"/>
        <w:spacing w:before="120" w:after="0" w:line="240" w:lineRule="auto"/>
        <w:ind w:left="794"/>
        <w:jc w:val="left"/>
        <w:rPr>
          <w:rFonts w:eastAsia="Times New Roman"/>
          <w:color w:val="000000"/>
          <w:sz w:val="20"/>
          <w:szCs w:val="20"/>
          <w:lang w:eastAsia="en-AU"/>
        </w:rPr>
      </w:pPr>
      <w:r w:rsidRPr="002C05CB">
        <w:rPr>
          <w:rFonts w:eastAsia="Times New Roman"/>
          <w:color w:val="000000"/>
          <w:sz w:val="20"/>
          <w:szCs w:val="20"/>
          <w:lang w:eastAsia="en-AU"/>
        </w:rPr>
        <w:t xml:space="preserve">As required by section 10AA(2) of the </w:t>
      </w:r>
      <w:hyperlink r:id="rId27" w:history="1">
        <w:r w:rsidRPr="002C05CB">
          <w:rPr>
            <w:rFonts w:eastAsia="Times New Roman"/>
            <w:i/>
            <w:iCs/>
            <w:color w:val="000000"/>
            <w:sz w:val="20"/>
            <w:szCs w:val="20"/>
            <w:lang w:eastAsia="en-AU"/>
          </w:rPr>
          <w:t>Subordinate Legislation Act 1978</w:t>
        </w:r>
      </w:hyperlink>
      <w:r w:rsidRPr="002C05CB">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2C05CB" w:rsidRPr="002C05CB" w:rsidRDefault="002C05CB" w:rsidP="002C05C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2C05CB">
        <w:rPr>
          <w:rFonts w:eastAsia="Times New Roman"/>
          <w:b/>
          <w:bCs/>
          <w:color w:val="000000"/>
          <w:sz w:val="26"/>
          <w:szCs w:val="26"/>
          <w:lang w:eastAsia="en-AU"/>
        </w:rPr>
        <w:t>Made by the Governor</w:t>
      </w:r>
    </w:p>
    <w:p w:rsidR="002C05CB" w:rsidRPr="002C05CB" w:rsidRDefault="002C05CB" w:rsidP="002C05CB">
      <w:pPr>
        <w:keepNext/>
        <w:keepLines/>
        <w:autoSpaceDE w:val="0"/>
        <w:autoSpaceDN w:val="0"/>
        <w:adjustRightInd w:val="0"/>
        <w:spacing w:before="120" w:after="0" w:line="240" w:lineRule="auto"/>
        <w:jc w:val="left"/>
        <w:rPr>
          <w:rFonts w:eastAsia="Times New Roman"/>
          <w:color w:val="000000"/>
          <w:sz w:val="23"/>
          <w:szCs w:val="23"/>
          <w:lang w:eastAsia="en-AU"/>
        </w:rPr>
      </w:pPr>
      <w:r w:rsidRPr="002C05CB">
        <w:rPr>
          <w:rFonts w:eastAsia="Times New Roman"/>
          <w:color w:val="000000"/>
          <w:sz w:val="23"/>
          <w:szCs w:val="23"/>
          <w:lang w:eastAsia="en-AU"/>
        </w:rPr>
        <w:t>with the advice and consent of the Executive Council</w:t>
      </w:r>
    </w:p>
    <w:p w:rsidR="002C05CB" w:rsidRPr="002C05CB" w:rsidRDefault="002C05CB" w:rsidP="002C05CB">
      <w:pPr>
        <w:keepNext/>
        <w:keepLines/>
        <w:autoSpaceDE w:val="0"/>
        <w:autoSpaceDN w:val="0"/>
        <w:adjustRightInd w:val="0"/>
        <w:spacing w:after="0" w:line="240" w:lineRule="auto"/>
        <w:jc w:val="left"/>
        <w:rPr>
          <w:rFonts w:eastAsia="Times New Roman"/>
          <w:color w:val="000000"/>
          <w:sz w:val="23"/>
          <w:szCs w:val="23"/>
          <w:lang w:eastAsia="en-AU"/>
        </w:rPr>
      </w:pPr>
      <w:r w:rsidRPr="002C05CB">
        <w:rPr>
          <w:rFonts w:eastAsia="Times New Roman"/>
          <w:color w:val="000000"/>
          <w:sz w:val="23"/>
          <w:szCs w:val="23"/>
          <w:lang w:eastAsia="en-AU"/>
        </w:rPr>
        <w:t>on 17 December 2020</w:t>
      </w:r>
    </w:p>
    <w:p w:rsidR="002C05CB" w:rsidRDefault="002C05CB" w:rsidP="002C05CB">
      <w:pPr>
        <w:keepNext/>
        <w:keepLines/>
        <w:autoSpaceDE w:val="0"/>
        <w:autoSpaceDN w:val="0"/>
        <w:adjustRightInd w:val="0"/>
        <w:spacing w:before="120" w:line="240" w:lineRule="auto"/>
        <w:jc w:val="left"/>
        <w:rPr>
          <w:rFonts w:eastAsia="Times New Roman"/>
          <w:color w:val="000000"/>
          <w:sz w:val="23"/>
          <w:szCs w:val="23"/>
          <w:lang w:eastAsia="en-AU"/>
        </w:rPr>
      </w:pPr>
      <w:r w:rsidRPr="002C05CB">
        <w:rPr>
          <w:rFonts w:eastAsia="Times New Roman"/>
          <w:color w:val="000000"/>
          <w:sz w:val="23"/>
          <w:szCs w:val="23"/>
          <w:lang w:eastAsia="en-AU"/>
        </w:rPr>
        <w:t>No 313 of 2020</w:t>
      </w:r>
    </w:p>
    <w:p w:rsidR="002C05CB" w:rsidRDefault="002C05CB" w:rsidP="002C05CB">
      <w:pPr>
        <w:pBdr>
          <w:top w:val="single" w:sz="4" w:space="1" w:color="auto"/>
        </w:pBdr>
        <w:autoSpaceDE w:val="0"/>
        <w:autoSpaceDN w:val="0"/>
        <w:adjustRightInd w:val="0"/>
        <w:spacing w:before="100" w:after="0" w:line="14" w:lineRule="exact"/>
        <w:jc w:val="center"/>
        <w:rPr>
          <w:rFonts w:eastAsia="Times New Roman"/>
          <w:color w:val="000000"/>
          <w:sz w:val="23"/>
          <w:szCs w:val="23"/>
          <w:lang w:eastAsia="en-AU"/>
        </w:rPr>
      </w:pPr>
    </w:p>
    <w:p w:rsidR="002C05CB" w:rsidRDefault="002C05CB" w:rsidP="0016463B">
      <w:pPr>
        <w:pStyle w:val="GG-body"/>
      </w:pPr>
    </w:p>
    <w:p w:rsidR="00B0172F" w:rsidRDefault="00B0172F">
      <w:pPr>
        <w:spacing w:after="0" w:line="240" w:lineRule="auto"/>
        <w:jc w:val="left"/>
        <w:rPr>
          <w:rFonts w:eastAsia="Times New Roman"/>
          <w:szCs w:val="17"/>
        </w:rPr>
      </w:pPr>
      <w:r>
        <w:br w:type="page"/>
      </w:r>
    </w:p>
    <w:p w:rsidR="00A907FC" w:rsidRDefault="00A907FC" w:rsidP="00A907FC">
      <w:pPr>
        <w:pStyle w:val="RegSpace"/>
        <w:rPr>
          <w:lang w:eastAsia="en-AU"/>
        </w:rPr>
      </w:pPr>
    </w:p>
    <w:p w:rsidR="00A907FC" w:rsidRPr="00A907FC" w:rsidRDefault="00A907FC" w:rsidP="00A907FC">
      <w:pPr>
        <w:keepLines/>
        <w:autoSpaceDE w:val="0"/>
        <w:autoSpaceDN w:val="0"/>
        <w:adjustRightInd w:val="0"/>
        <w:spacing w:before="240" w:after="0" w:line="240" w:lineRule="auto"/>
        <w:jc w:val="left"/>
        <w:rPr>
          <w:rFonts w:eastAsia="Times New Roman"/>
          <w:color w:val="000000"/>
          <w:sz w:val="28"/>
          <w:szCs w:val="28"/>
          <w:lang w:eastAsia="en-AU"/>
        </w:rPr>
      </w:pPr>
      <w:r w:rsidRPr="00A907FC">
        <w:rPr>
          <w:rFonts w:eastAsia="Times New Roman"/>
          <w:color w:val="000000"/>
          <w:sz w:val="28"/>
          <w:szCs w:val="28"/>
          <w:lang w:eastAsia="en-AU"/>
        </w:rPr>
        <w:t>South Australia</w:t>
      </w:r>
    </w:p>
    <w:p w:rsidR="00A907FC" w:rsidRPr="00A907FC" w:rsidRDefault="00A907FC" w:rsidP="00046B75">
      <w:pPr>
        <w:pStyle w:val="Heading3"/>
        <w:rPr>
          <w:lang w:eastAsia="en-AU"/>
        </w:rPr>
      </w:pPr>
      <w:bookmarkStart w:id="42" w:name="_Toc59098932"/>
      <w:r w:rsidRPr="00A907FC">
        <w:rPr>
          <w:lang w:eastAsia="en-AU"/>
        </w:rPr>
        <w:t>Criminal Law Consolidation (Criminal Organisations) (Prescribed Place—Cowirra) (No 2) Variation Regulations 2020</w:t>
      </w:r>
      <w:bookmarkEnd w:id="42"/>
    </w:p>
    <w:p w:rsidR="00A907FC" w:rsidRPr="00A907FC" w:rsidRDefault="00A907FC" w:rsidP="00A907FC">
      <w:pPr>
        <w:keepLines/>
        <w:autoSpaceDE w:val="0"/>
        <w:autoSpaceDN w:val="0"/>
        <w:adjustRightInd w:val="0"/>
        <w:spacing w:before="80" w:after="240" w:line="240" w:lineRule="auto"/>
        <w:jc w:val="left"/>
        <w:rPr>
          <w:rFonts w:eastAsia="Times New Roman"/>
          <w:color w:val="000000"/>
          <w:sz w:val="24"/>
          <w:szCs w:val="24"/>
          <w:lang w:eastAsia="en-AU"/>
        </w:rPr>
      </w:pPr>
      <w:r w:rsidRPr="00A907FC">
        <w:rPr>
          <w:rFonts w:eastAsia="Times New Roman"/>
          <w:color w:val="000000"/>
          <w:sz w:val="24"/>
          <w:szCs w:val="24"/>
          <w:lang w:eastAsia="en-AU"/>
        </w:rPr>
        <w:t xml:space="preserve">under the </w:t>
      </w:r>
      <w:r w:rsidRPr="00A907FC">
        <w:rPr>
          <w:rFonts w:eastAsia="Times New Roman"/>
          <w:i/>
          <w:iCs/>
          <w:color w:val="000000"/>
          <w:sz w:val="24"/>
          <w:szCs w:val="24"/>
          <w:lang w:eastAsia="en-AU"/>
        </w:rPr>
        <w:t>Criminal Law Consolidation Act 1935</w:t>
      </w:r>
    </w:p>
    <w:p w:rsidR="00A907FC" w:rsidRPr="00A907FC" w:rsidRDefault="00A907FC" w:rsidP="00A907FC">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A907FC" w:rsidRPr="00A907FC" w:rsidRDefault="00A907FC" w:rsidP="00A907FC">
      <w:pPr>
        <w:keepLines/>
        <w:autoSpaceDE w:val="0"/>
        <w:autoSpaceDN w:val="0"/>
        <w:adjustRightInd w:val="0"/>
        <w:spacing w:before="120" w:after="0" w:line="240" w:lineRule="auto"/>
        <w:jc w:val="left"/>
        <w:rPr>
          <w:rFonts w:eastAsia="Times New Roman"/>
          <w:b/>
          <w:bCs/>
          <w:color w:val="000000"/>
          <w:sz w:val="32"/>
          <w:szCs w:val="32"/>
          <w:lang w:eastAsia="en-AU"/>
        </w:rPr>
      </w:pPr>
      <w:r w:rsidRPr="00A907FC">
        <w:rPr>
          <w:rFonts w:eastAsia="Times New Roman"/>
          <w:b/>
          <w:bCs/>
          <w:color w:val="000000"/>
          <w:sz w:val="32"/>
          <w:szCs w:val="32"/>
          <w:lang w:eastAsia="en-AU"/>
        </w:rPr>
        <w:t>Contents</w:t>
      </w:r>
    </w:p>
    <w:p w:rsidR="00A907FC" w:rsidRPr="00A907FC" w:rsidRDefault="00607847" w:rsidP="00A907FC">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A907FC" w:rsidRPr="00A907FC">
          <w:rPr>
            <w:rFonts w:eastAsia="Times New Roman"/>
            <w:color w:val="000000"/>
            <w:sz w:val="28"/>
            <w:szCs w:val="28"/>
            <w:lang w:eastAsia="en-AU"/>
          </w:rPr>
          <w:t>Part 1—Preliminary</w:t>
        </w:r>
      </w:hyperlink>
    </w:p>
    <w:p w:rsidR="00A907FC" w:rsidRPr="00A907FC" w:rsidRDefault="00607847" w:rsidP="00A907F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A907FC" w:rsidRPr="00A907FC">
          <w:rPr>
            <w:rFonts w:eastAsia="Times New Roman"/>
            <w:color w:val="000000"/>
            <w:sz w:val="22"/>
            <w:lang w:eastAsia="en-AU"/>
          </w:rPr>
          <w:t>1</w:t>
        </w:r>
        <w:r w:rsidR="00A907FC" w:rsidRPr="00A907FC">
          <w:rPr>
            <w:rFonts w:eastAsia="Times New Roman"/>
            <w:color w:val="000000"/>
            <w:sz w:val="22"/>
            <w:lang w:eastAsia="en-AU"/>
          </w:rPr>
          <w:tab/>
          <w:t>Short title</w:t>
        </w:r>
      </w:hyperlink>
    </w:p>
    <w:p w:rsidR="00A907FC" w:rsidRPr="00A907FC" w:rsidRDefault="00607847" w:rsidP="00A907F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A907FC" w:rsidRPr="00A907FC">
          <w:rPr>
            <w:rFonts w:eastAsia="Times New Roman"/>
            <w:color w:val="000000"/>
            <w:sz w:val="22"/>
            <w:lang w:eastAsia="en-AU"/>
          </w:rPr>
          <w:t>2</w:t>
        </w:r>
        <w:r w:rsidR="00A907FC" w:rsidRPr="00A907FC">
          <w:rPr>
            <w:rFonts w:eastAsia="Times New Roman"/>
            <w:color w:val="000000"/>
            <w:sz w:val="22"/>
            <w:lang w:eastAsia="en-AU"/>
          </w:rPr>
          <w:tab/>
          <w:t>Commencement</w:t>
        </w:r>
      </w:hyperlink>
    </w:p>
    <w:p w:rsidR="00A907FC" w:rsidRPr="00A907FC" w:rsidRDefault="00607847" w:rsidP="00A907F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A907FC" w:rsidRPr="00A907FC">
          <w:rPr>
            <w:rFonts w:eastAsia="Times New Roman"/>
            <w:color w:val="000000"/>
            <w:sz w:val="22"/>
            <w:lang w:eastAsia="en-AU"/>
          </w:rPr>
          <w:t>3</w:t>
        </w:r>
        <w:r w:rsidR="00A907FC" w:rsidRPr="00A907FC">
          <w:rPr>
            <w:rFonts w:eastAsia="Times New Roman"/>
            <w:color w:val="000000"/>
            <w:sz w:val="22"/>
            <w:lang w:eastAsia="en-AU"/>
          </w:rPr>
          <w:tab/>
          <w:t>Variation provisions</w:t>
        </w:r>
      </w:hyperlink>
    </w:p>
    <w:p w:rsidR="00A907FC" w:rsidRPr="00A907FC" w:rsidRDefault="00607847" w:rsidP="00A907FC">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A907FC" w:rsidRPr="00A907FC">
          <w:rPr>
            <w:rFonts w:eastAsia="Times New Roman"/>
            <w:color w:val="000000"/>
            <w:sz w:val="28"/>
            <w:szCs w:val="28"/>
            <w:lang w:eastAsia="en-AU"/>
          </w:rPr>
          <w:t xml:space="preserve">Part 2—Variation of </w:t>
        </w:r>
        <w:r w:rsidR="00A907FC" w:rsidRPr="00A907FC">
          <w:rPr>
            <w:rFonts w:eastAsia="Times New Roman"/>
            <w:i/>
            <w:iCs/>
            <w:color w:val="000000"/>
            <w:sz w:val="28"/>
            <w:szCs w:val="28"/>
            <w:lang w:eastAsia="en-AU"/>
          </w:rPr>
          <w:t>Criminal Law Consolidation (Criminal Organisations) Regulations 2015</w:t>
        </w:r>
      </w:hyperlink>
    </w:p>
    <w:p w:rsidR="00A907FC" w:rsidRPr="00A907FC" w:rsidRDefault="00607847" w:rsidP="00A907F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A907FC" w:rsidRPr="00A907FC">
          <w:rPr>
            <w:rFonts w:eastAsia="Times New Roman"/>
            <w:color w:val="000000"/>
            <w:sz w:val="22"/>
            <w:lang w:eastAsia="en-AU"/>
          </w:rPr>
          <w:t>4</w:t>
        </w:r>
        <w:r w:rsidR="00A907FC" w:rsidRPr="00A907FC">
          <w:rPr>
            <w:rFonts w:eastAsia="Times New Roman"/>
            <w:color w:val="000000"/>
            <w:sz w:val="22"/>
            <w:lang w:eastAsia="en-AU"/>
          </w:rPr>
          <w:tab/>
          <w:t>Variation of regulation 3—Places declared to be prescribed places (by certificate of title)—section 83GA</w:t>
        </w:r>
      </w:hyperlink>
    </w:p>
    <w:p w:rsidR="00A907FC" w:rsidRPr="00A907FC" w:rsidRDefault="00A907FC" w:rsidP="00A907FC">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A907FC" w:rsidRPr="00A907FC" w:rsidRDefault="00A907FC" w:rsidP="00A907F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A907FC">
        <w:rPr>
          <w:rFonts w:eastAsia="Times New Roman"/>
          <w:b/>
          <w:bCs/>
          <w:color w:val="000000"/>
          <w:sz w:val="32"/>
          <w:szCs w:val="32"/>
          <w:lang w:eastAsia="en-AU"/>
        </w:rPr>
        <w:t>Part 1—Preliminary</w:t>
      </w:r>
    </w:p>
    <w:p w:rsidR="00A907FC" w:rsidRPr="00A907FC" w:rsidRDefault="00A907FC" w:rsidP="00A907F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907FC">
        <w:rPr>
          <w:rFonts w:eastAsia="Times New Roman"/>
          <w:b/>
          <w:bCs/>
          <w:color w:val="000000"/>
          <w:sz w:val="26"/>
          <w:szCs w:val="26"/>
          <w:lang w:eastAsia="en-AU"/>
        </w:rPr>
        <w:t>1—Short title</w:t>
      </w:r>
    </w:p>
    <w:p w:rsidR="00A907FC" w:rsidRPr="00A907FC" w:rsidRDefault="00A907FC" w:rsidP="00A907FC">
      <w:pPr>
        <w:keepLines/>
        <w:autoSpaceDE w:val="0"/>
        <w:autoSpaceDN w:val="0"/>
        <w:adjustRightInd w:val="0"/>
        <w:spacing w:before="120" w:after="0" w:line="240" w:lineRule="auto"/>
        <w:ind w:left="794"/>
        <w:jc w:val="left"/>
        <w:rPr>
          <w:rFonts w:eastAsia="Times New Roman"/>
          <w:color w:val="000000"/>
          <w:sz w:val="23"/>
          <w:szCs w:val="23"/>
          <w:lang w:eastAsia="en-AU"/>
        </w:rPr>
      </w:pPr>
      <w:r w:rsidRPr="00A907FC">
        <w:rPr>
          <w:rFonts w:eastAsia="Times New Roman"/>
          <w:color w:val="000000"/>
          <w:sz w:val="23"/>
          <w:szCs w:val="23"/>
          <w:lang w:eastAsia="en-AU"/>
        </w:rPr>
        <w:t xml:space="preserve">These regulations may be cited as the </w:t>
      </w:r>
      <w:r w:rsidRPr="00A907FC">
        <w:rPr>
          <w:rFonts w:eastAsia="Times New Roman"/>
          <w:i/>
          <w:iCs/>
          <w:color w:val="000000"/>
          <w:sz w:val="23"/>
          <w:szCs w:val="23"/>
          <w:lang w:eastAsia="en-AU"/>
        </w:rPr>
        <w:t>Criminal Law Consolidation (Criminal Organisations) (Prescribed Place—Cowirra) (No 2) Variation Regulations 2020</w:t>
      </w:r>
      <w:r w:rsidRPr="00A907FC">
        <w:rPr>
          <w:rFonts w:eastAsia="Times New Roman"/>
          <w:color w:val="000000"/>
          <w:sz w:val="23"/>
          <w:szCs w:val="23"/>
          <w:lang w:eastAsia="en-AU"/>
        </w:rPr>
        <w:t>.</w:t>
      </w:r>
    </w:p>
    <w:p w:rsidR="00A907FC" w:rsidRPr="00A907FC" w:rsidRDefault="00A907FC" w:rsidP="00A907F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907FC">
        <w:rPr>
          <w:rFonts w:eastAsia="Times New Roman"/>
          <w:b/>
          <w:bCs/>
          <w:color w:val="000000"/>
          <w:sz w:val="26"/>
          <w:szCs w:val="26"/>
          <w:lang w:eastAsia="en-AU"/>
        </w:rPr>
        <w:t>2—Commencement</w:t>
      </w:r>
    </w:p>
    <w:p w:rsidR="00A907FC" w:rsidRPr="00A907FC" w:rsidRDefault="00A907FC" w:rsidP="00A907FC">
      <w:pPr>
        <w:keepLines/>
        <w:autoSpaceDE w:val="0"/>
        <w:autoSpaceDN w:val="0"/>
        <w:adjustRightInd w:val="0"/>
        <w:spacing w:before="120" w:after="0" w:line="240" w:lineRule="auto"/>
        <w:ind w:left="794"/>
        <w:jc w:val="left"/>
        <w:rPr>
          <w:rFonts w:eastAsia="Times New Roman"/>
          <w:color w:val="000000"/>
          <w:sz w:val="23"/>
          <w:szCs w:val="23"/>
          <w:lang w:eastAsia="en-AU"/>
        </w:rPr>
      </w:pPr>
      <w:r w:rsidRPr="00A907FC">
        <w:rPr>
          <w:rFonts w:eastAsia="Times New Roman"/>
          <w:color w:val="000000"/>
          <w:sz w:val="23"/>
          <w:szCs w:val="23"/>
          <w:lang w:eastAsia="en-AU"/>
        </w:rPr>
        <w:t>These regulations come into operation on the day on which they are made.</w:t>
      </w:r>
    </w:p>
    <w:p w:rsidR="00A907FC" w:rsidRPr="00A907FC" w:rsidRDefault="00A907FC" w:rsidP="00A907F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907FC">
        <w:rPr>
          <w:rFonts w:eastAsia="Times New Roman"/>
          <w:b/>
          <w:bCs/>
          <w:color w:val="000000"/>
          <w:sz w:val="26"/>
          <w:szCs w:val="26"/>
          <w:lang w:eastAsia="en-AU"/>
        </w:rPr>
        <w:t>3—Variation provisions</w:t>
      </w:r>
    </w:p>
    <w:p w:rsidR="00A907FC" w:rsidRPr="00A907FC" w:rsidRDefault="00A907FC" w:rsidP="00A907FC">
      <w:pPr>
        <w:keepLines/>
        <w:autoSpaceDE w:val="0"/>
        <w:autoSpaceDN w:val="0"/>
        <w:adjustRightInd w:val="0"/>
        <w:spacing w:before="120" w:after="0" w:line="240" w:lineRule="auto"/>
        <w:ind w:left="794"/>
        <w:jc w:val="left"/>
        <w:rPr>
          <w:rFonts w:eastAsia="Times New Roman"/>
          <w:color w:val="000000"/>
          <w:sz w:val="23"/>
          <w:szCs w:val="23"/>
          <w:lang w:eastAsia="en-AU"/>
        </w:rPr>
      </w:pPr>
      <w:r w:rsidRPr="00A907FC">
        <w:rPr>
          <w:rFonts w:eastAsia="Times New Roman"/>
          <w:color w:val="000000"/>
          <w:sz w:val="23"/>
          <w:szCs w:val="23"/>
          <w:lang w:eastAsia="en-AU"/>
        </w:rPr>
        <w:t>In these regulations, a provision under a heading referring to the variation of specified regulations varies the regulations so specified.</w:t>
      </w:r>
    </w:p>
    <w:p w:rsidR="00A907FC" w:rsidRPr="00A907FC" w:rsidRDefault="00A907FC" w:rsidP="00A907F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A907FC">
        <w:rPr>
          <w:rFonts w:eastAsia="Times New Roman"/>
          <w:b/>
          <w:bCs/>
          <w:color w:val="000000"/>
          <w:sz w:val="32"/>
          <w:szCs w:val="32"/>
          <w:lang w:eastAsia="en-AU"/>
        </w:rPr>
        <w:t xml:space="preserve">Part 2—Variation of </w:t>
      </w:r>
      <w:r w:rsidRPr="00A907FC">
        <w:rPr>
          <w:rFonts w:eastAsia="Times New Roman"/>
          <w:b/>
          <w:bCs/>
          <w:i/>
          <w:iCs/>
          <w:color w:val="000000"/>
          <w:sz w:val="32"/>
          <w:szCs w:val="32"/>
          <w:lang w:eastAsia="en-AU"/>
        </w:rPr>
        <w:t>Criminal Law Consolidation (Criminal Organisations) Regulations 2015</w:t>
      </w:r>
    </w:p>
    <w:p w:rsidR="00A907FC" w:rsidRPr="00A907FC" w:rsidRDefault="00A907FC" w:rsidP="00A907F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907FC">
        <w:rPr>
          <w:rFonts w:eastAsia="Times New Roman"/>
          <w:b/>
          <w:bCs/>
          <w:color w:val="000000"/>
          <w:sz w:val="26"/>
          <w:szCs w:val="26"/>
          <w:lang w:eastAsia="en-AU"/>
        </w:rPr>
        <w:t>4—Variation of regulation 3—Places declared to be prescribed places (by certificate of title)—section 83GA</w:t>
      </w:r>
    </w:p>
    <w:p w:rsidR="00A907FC" w:rsidRPr="00A907FC" w:rsidRDefault="00A907FC" w:rsidP="00A907FC">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907FC">
        <w:rPr>
          <w:rFonts w:eastAsia="Times New Roman"/>
          <w:color w:val="000000"/>
          <w:sz w:val="23"/>
          <w:szCs w:val="23"/>
          <w:lang w:eastAsia="en-AU"/>
        </w:rPr>
        <w:t>Regulation 3(2), table—after its present contents insert:</w:t>
      </w:r>
    </w:p>
    <w:p w:rsidR="00A907FC" w:rsidRPr="00A907FC" w:rsidRDefault="00A907FC" w:rsidP="00A907FC">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3599"/>
        <w:gridCol w:w="3599"/>
      </w:tblGrid>
      <w:tr w:rsidR="00A907FC" w:rsidRPr="00A907FC" w:rsidTr="00046B75">
        <w:tc>
          <w:tcPr>
            <w:tcW w:w="3599" w:type="dxa"/>
            <w:tcBorders>
              <w:top w:val="nil"/>
              <w:left w:val="nil"/>
              <w:bottom w:val="nil"/>
              <w:right w:val="nil"/>
            </w:tcBorders>
          </w:tcPr>
          <w:p w:rsidR="00A907FC" w:rsidRPr="00A907FC" w:rsidRDefault="00A907FC" w:rsidP="00A907FC">
            <w:pPr>
              <w:keepLines/>
              <w:autoSpaceDE w:val="0"/>
              <w:autoSpaceDN w:val="0"/>
              <w:adjustRightInd w:val="0"/>
              <w:spacing w:before="120" w:after="0" w:line="240" w:lineRule="auto"/>
              <w:jc w:val="left"/>
              <w:rPr>
                <w:rFonts w:eastAsia="Times New Roman"/>
                <w:color w:val="000000"/>
                <w:sz w:val="20"/>
                <w:szCs w:val="20"/>
                <w:lang w:eastAsia="en-AU"/>
              </w:rPr>
            </w:pPr>
            <w:r w:rsidRPr="00A907FC">
              <w:rPr>
                <w:rFonts w:eastAsia="Times New Roman"/>
                <w:color w:val="000000"/>
                <w:sz w:val="20"/>
                <w:szCs w:val="20"/>
                <w:lang w:eastAsia="en-AU"/>
              </w:rPr>
              <w:t>Certificate of title 5880/413</w:t>
            </w:r>
          </w:p>
        </w:tc>
        <w:tc>
          <w:tcPr>
            <w:tcW w:w="3599" w:type="dxa"/>
            <w:tcBorders>
              <w:top w:val="nil"/>
              <w:left w:val="nil"/>
              <w:bottom w:val="nil"/>
              <w:right w:val="nil"/>
            </w:tcBorders>
          </w:tcPr>
          <w:p w:rsidR="00A907FC" w:rsidRPr="00A907FC" w:rsidRDefault="00A907FC" w:rsidP="00A907FC">
            <w:pPr>
              <w:keepLines/>
              <w:autoSpaceDE w:val="0"/>
              <w:autoSpaceDN w:val="0"/>
              <w:adjustRightInd w:val="0"/>
              <w:spacing w:before="120" w:after="0" w:line="240" w:lineRule="auto"/>
              <w:jc w:val="left"/>
              <w:rPr>
                <w:rFonts w:eastAsia="Times New Roman"/>
                <w:color w:val="000000"/>
                <w:sz w:val="20"/>
                <w:szCs w:val="20"/>
                <w:lang w:eastAsia="en-AU"/>
              </w:rPr>
            </w:pPr>
            <w:r w:rsidRPr="00A907FC">
              <w:rPr>
                <w:rFonts w:eastAsia="Times New Roman"/>
                <w:i/>
                <w:iCs/>
                <w:color w:val="000000"/>
                <w:sz w:val="20"/>
                <w:szCs w:val="20"/>
                <w:lang w:eastAsia="en-AU"/>
              </w:rPr>
              <w:t>Lot 555 Kenny Road, Cowirra</w:t>
            </w:r>
          </w:p>
        </w:tc>
      </w:tr>
    </w:tbl>
    <w:p w:rsidR="00A63F1C" w:rsidRDefault="00A63F1C" w:rsidP="00A907FC">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p>
    <w:p w:rsidR="00A63F1C" w:rsidRDefault="00A63F1C">
      <w:pPr>
        <w:spacing w:after="0" w:line="240" w:lineRule="auto"/>
        <w:jc w:val="left"/>
        <w:rPr>
          <w:rFonts w:eastAsia="Times New Roman"/>
          <w:b/>
          <w:bCs/>
          <w:color w:val="000000"/>
          <w:sz w:val="20"/>
          <w:szCs w:val="20"/>
          <w:lang w:eastAsia="en-AU"/>
        </w:rPr>
      </w:pPr>
      <w:r>
        <w:rPr>
          <w:rFonts w:eastAsia="Times New Roman"/>
          <w:b/>
          <w:bCs/>
          <w:color w:val="000000"/>
          <w:sz w:val="20"/>
          <w:szCs w:val="20"/>
          <w:lang w:eastAsia="en-AU"/>
        </w:rPr>
        <w:br w:type="page"/>
      </w:r>
    </w:p>
    <w:p w:rsidR="00A907FC" w:rsidRPr="00A907FC" w:rsidRDefault="00A907FC" w:rsidP="00A907FC">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A907FC">
        <w:rPr>
          <w:rFonts w:eastAsia="Times New Roman"/>
          <w:b/>
          <w:bCs/>
          <w:color w:val="000000"/>
          <w:sz w:val="20"/>
          <w:szCs w:val="20"/>
          <w:lang w:eastAsia="en-AU"/>
        </w:rPr>
        <w:lastRenderedPageBreak/>
        <w:t>Note—</w:t>
      </w:r>
    </w:p>
    <w:p w:rsidR="00A907FC" w:rsidRPr="00A907FC" w:rsidRDefault="00A907FC" w:rsidP="00A907FC">
      <w:pPr>
        <w:keepLines/>
        <w:autoSpaceDE w:val="0"/>
        <w:autoSpaceDN w:val="0"/>
        <w:adjustRightInd w:val="0"/>
        <w:spacing w:before="120" w:after="0" w:line="240" w:lineRule="auto"/>
        <w:ind w:left="794"/>
        <w:jc w:val="left"/>
        <w:rPr>
          <w:rFonts w:eastAsia="Times New Roman"/>
          <w:color w:val="000000"/>
          <w:sz w:val="20"/>
          <w:szCs w:val="20"/>
          <w:lang w:eastAsia="en-AU"/>
        </w:rPr>
      </w:pPr>
      <w:r w:rsidRPr="00A907FC">
        <w:rPr>
          <w:rFonts w:eastAsia="Times New Roman"/>
          <w:color w:val="000000"/>
          <w:sz w:val="20"/>
          <w:szCs w:val="20"/>
          <w:lang w:eastAsia="en-AU"/>
        </w:rPr>
        <w:t xml:space="preserve">As required by section 10AA(2) of the </w:t>
      </w:r>
      <w:hyperlink r:id="rId28" w:history="1">
        <w:r w:rsidRPr="00A907FC">
          <w:rPr>
            <w:rFonts w:eastAsia="Times New Roman"/>
            <w:i/>
            <w:iCs/>
            <w:color w:val="000000"/>
            <w:sz w:val="20"/>
            <w:szCs w:val="20"/>
            <w:lang w:eastAsia="en-AU"/>
          </w:rPr>
          <w:t>Subordinate Legislation Act 1978</w:t>
        </w:r>
      </w:hyperlink>
      <w:r w:rsidRPr="00A907FC">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A907FC" w:rsidRPr="00A907FC" w:rsidRDefault="00A907FC" w:rsidP="00A907FC">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A907FC">
        <w:rPr>
          <w:rFonts w:eastAsia="Times New Roman"/>
          <w:b/>
          <w:bCs/>
          <w:color w:val="000000"/>
          <w:sz w:val="26"/>
          <w:szCs w:val="26"/>
          <w:lang w:eastAsia="en-AU"/>
        </w:rPr>
        <w:t>Made by the Governor</w:t>
      </w:r>
    </w:p>
    <w:p w:rsidR="00A907FC" w:rsidRPr="00A907FC" w:rsidRDefault="00A907FC" w:rsidP="00A907FC">
      <w:pPr>
        <w:keepNext/>
        <w:keepLines/>
        <w:autoSpaceDE w:val="0"/>
        <w:autoSpaceDN w:val="0"/>
        <w:adjustRightInd w:val="0"/>
        <w:spacing w:before="120" w:after="0" w:line="240" w:lineRule="auto"/>
        <w:jc w:val="left"/>
        <w:rPr>
          <w:rFonts w:eastAsia="Times New Roman"/>
          <w:color w:val="000000"/>
          <w:sz w:val="23"/>
          <w:szCs w:val="23"/>
          <w:lang w:eastAsia="en-AU"/>
        </w:rPr>
      </w:pPr>
      <w:r w:rsidRPr="00A907FC">
        <w:rPr>
          <w:rFonts w:eastAsia="Times New Roman"/>
          <w:color w:val="000000"/>
          <w:sz w:val="23"/>
          <w:szCs w:val="23"/>
          <w:lang w:eastAsia="en-AU"/>
        </w:rPr>
        <w:t>with the advice and consent of the Executive Council</w:t>
      </w:r>
    </w:p>
    <w:p w:rsidR="00A907FC" w:rsidRPr="00A907FC" w:rsidRDefault="00A907FC" w:rsidP="00A907FC">
      <w:pPr>
        <w:keepNext/>
        <w:keepLines/>
        <w:autoSpaceDE w:val="0"/>
        <w:autoSpaceDN w:val="0"/>
        <w:adjustRightInd w:val="0"/>
        <w:spacing w:after="0" w:line="240" w:lineRule="auto"/>
        <w:jc w:val="left"/>
        <w:rPr>
          <w:rFonts w:eastAsia="Times New Roman"/>
          <w:color w:val="000000"/>
          <w:sz w:val="23"/>
          <w:szCs w:val="23"/>
          <w:lang w:eastAsia="en-AU"/>
        </w:rPr>
      </w:pPr>
      <w:r w:rsidRPr="00A907FC">
        <w:rPr>
          <w:rFonts w:eastAsia="Times New Roman"/>
          <w:color w:val="000000"/>
          <w:sz w:val="23"/>
          <w:szCs w:val="23"/>
          <w:lang w:eastAsia="en-AU"/>
        </w:rPr>
        <w:t>on 17 December 2020</w:t>
      </w:r>
    </w:p>
    <w:p w:rsidR="00A907FC" w:rsidRDefault="00A907FC" w:rsidP="00A907FC">
      <w:pPr>
        <w:keepNext/>
        <w:keepLines/>
        <w:autoSpaceDE w:val="0"/>
        <w:autoSpaceDN w:val="0"/>
        <w:adjustRightInd w:val="0"/>
        <w:spacing w:before="120" w:line="240" w:lineRule="auto"/>
        <w:jc w:val="left"/>
        <w:rPr>
          <w:rFonts w:eastAsia="Times New Roman"/>
          <w:color w:val="000000"/>
          <w:sz w:val="23"/>
          <w:szCs w:val="23"/>
          <w:lang w:eastAsia="en-AU"/>
        </w:rPr>
      </w:pPr>
      <w:r w:rsidRPr="00A907FC">
        <w:rPr>
          <w:rFonts w:eastAsia="Times New Roman"/>
          <w:color w:val="000000"/>
          <w:sz w:val="23"/>
          <w:szCs w:val="23"/>
          <w:lang w:eastAsia="en-AU"/>
        </w:rPr>
        <w:t>No 314 of 2020</w:t>
      </w:r>
    </w:p>
    <w:p w:rsidR="00A907FC" w:rsidRDefault="00A907FC" w:rsidP="00A907FC">
      <w:pPr>
        <w:pBdr>
          <w:top w:val="single" w:sz="4" w:space="1" w:color="auto"/>
        </w:pBdr>
        <w:autoSpaceDE w:val="0"/>
        <w:autoSpaceDN w:val="0"/>
        <w:adjustRightInd w:val="0"/>
        <w:spacing w:before="100" w:after="0" w:line="14" w:lineRule="exact"/>
        <w:jc w:val="center"/>
        <w:rPr>
          <w:rFonts w:eastAsia="Times New Roman"/>
          <w:color w:val="000000"/>
          <w:sz w:val="23"/>
          <w:szCs w:val="23"/>
          <w:lang w:eastAsia="en-AU"/>
        </w:rPr>
      </w:pPr>
    </w:p>
    <w:p w:rsidR="00B0172F" w:rsidRDefault="00B0172F" w:rsidP="0016463B">
      <w:pPr>
        <w:pStyle w:val="GG-body"/>
      </w:pPr>
    </w:p>
    <w:p w:rsidR="00B27972" w:rsidRDefault="00B27972">
      <w:pPr>
        <w:spacing w:after="0" w:line="240" w:lineRule="auto"/>
        <w:jc w:val="left"/>
        <w:rPr>
          <w:rFonts w:eastAsia="Times New Roman"/>
          <w:szCs w:val="17"/>
        </w:rPr>
      </w:pPr>
      <w:r>
        <w:br w:type="page"/>
      </w:r>
    </w:p>
    <w:p w:rsidR="00772E2B" w:rsidRDefault="00772E2B" w:rsidP="00772E2B">
      <w:pPr>
        <w:pStyle w:val="RegSpace"/>
        <w:rPr>
          <w:lang w:eastAsia="en-AU"/>
        </w:rPr>
      </w:pPr>
    </w:p>
    <w:p w:rsidR="00772E2B" w:rsidRPr="00772E2B" w:rsidRDefault="00772E2B" w:rsidP="00772E2B">
      <w:pPr>
        <w:keepLines/>
        <w:autoSpaceDE w:val="0"/>
        <w:autoSpaceDN w:val="0"/>
        <w:adjustRightInd w:val="0"/>
        <w:spacing w:before="240" w:after="0" w:line="240" w:lineRule="auto"/>
        <w:jc w:val="left"/>
        <w:rPr>
          <w:rFonts w:eastAsia="Times New Roman"/>
          <w:color w:val="000000"/>
          <w:sz w:val="28"/>
          <w:szCs w:val="28"/>
          <w:lang w:eastAsia="en-AU"/>
        </w:rPr>
      </w:pPr>
      <w:r w:rsidRPr="00772E2B">
        <w:rPr>
          <w:rFonts w:eastAsia="Times New Roman"/>
          <w:color w:val="000000"/>
          <w:sz w:val="28"/>
          <w:szCs w:val="28"/>
          <w:lang w:eastAsia="en-AU"/>
        </w:rPr>
        <w:t>South Australia</w:t>
      </w:r>
    </w:p>
    <w:p w:rsidR="00772E2B" w:rsidRPr="00772E2B" w:rsidRDefault="00772E2B" w:rsidP="00046B75">
      <w:pPr>
        <w:pStyle w:val="Heading3"/>
        <w:rPr>
          <w:lang w:eastAsia="en-AU"/>
        </w:rPr>
      </w:pPr>
      <w:bookmarkStart w:id="43" w:name="_Toc59098933"/>
      <w:r w:rsidRPr="00772E2B">
        <w:rPr>
          <w:lang w:eastAsia="en-AU"/>
        </w:rPr>
        <w:t>Criminal Law Consolidation (Criminal Organisations) (Premises in Burton) Variation Regulations 2020</w:t>
      </w:r>
      <w:bookmarkEnd w:id="43"/>
    </w:p>
    <w:p w:rsidR="00772E2B" w:rsidRPr="00772E2B" w:rsidRDefault="00772E2B" w:rsidP="00772E2B">
      <w:pPr>
        <w:keepLines/>
        <w:autoSpaceDE w:val="0"/>
        <w:autoSpaceDN w:val="0"/>
        <w:adjustRightInd w:val="0"/>
        <w:spacing w:before="80" w:after="240" w:line="240" w:lineRule="auto"/>
        <w:jc w:val="left"/>
        <w:rPr>
          <w:rFonts w:eastAsia="Times New Roman"/>
          <w:color w:val="000000"/>
          <w:sz w:val="24"/>
          <w:szCs w:val="24"/>
          <w:lang w:eastAsia="en-AU"/>
        </w:rPr>
      </w:pPr>
      <w:r w:rsidRPr="00772E2B">
        <w:rPr>
          <w:rFonts w:eastAsia="Times New Roman"/>
          <w:color w:val="000000"/>
          <w:sz w:val="24"/>
          <w:szCs w:val="24"/>
          <w:lang w:eastAsia="en-AU"/>
        </w:rPr>
        <w:t xml:space="preserve">under section 83GA of the </w:t>
      </w:r>
      <w:r w:rsidRPr="00772E2B">
        <w:rPr>
          <w:rFonts w:eastAsia="Times New Roman"/>
          <w:i/>
          <w:iCs/>
          <w:color w:val="000000"/>
          <w:sz w:val="24"/>
          <w:szCs w:val="24"/>
          <w:lang w:eastAsia="en-AU"/>
        </w:rPr>
        <w:t>Criminal Law Consolidation Act 1935</w:t>
      </w:r>
    </w:p>
    <w:p w:rsidR="00772E2B" w:rsidRPr="00772E2B" w:rsidRDefault="00772E2B" w:rsidP="00772E2B">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772E2B" w:rsidRPr="00772E2B" w:rsidRDefault="00772E2B" w:rsidP="00772E2B">
      <w:pPr>
        <w:keepLines/>
        <w:autoSpaceDE w:val="0"/>
        <w:autoSpaceDN w:val="0"/>
        <w:adjustRightInd w:val="0"/>
        <w:spacing w:before="120" w:after="0" w:line="240" w:lineRule="auto"/>
        <w:jc w:val="left"/>
        <w:rPr>
          <w:rFonts w:eastAsia="Times New Roman"/>
          <w:b/>
          <w:bCs/>
          <w:color w:val="000000"/>
          <w:sz w:val="32"/>
          <w:szCs w:val="32"/>
          <w:lang w:eastAsia="en-AU"/>
        </w:rPr>
      </w:pPr>
      <w:r w:rsidRPr="00772E2B">
        <w:rPr>
          <w:rFonts w:eastAsia="Times New Roman"/>
          <w:b/>
          <w:bCs/>
          <w:color w:val="000000"/>
          <w:sz w:val="32"/>
          <w:szCs w:val="32"/>
          <w:lang w:eastAsia="en-AU"/>
        </w:rPr>
        <w:t>Contents</w:t>
      </w:r>
    </w:p>
    <w:p w:rsidR="00772E2B" w:rsidRPr="00772E2B" w:rsidRDefault="00607847" w:rsidP="00772E2B">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772E2B" w:rsidRPr="00772E2B">
          <w:rPr>
            <w:rFonts w:eastAsia="Times New Roman"/>
            <w:color w:val="000000"/>
            <w:sz w:val="28"/>
            <w:szCs w:val="28"/>
            <w:lang w:eastAsia="en-AU"/>
          </w:rPr>
          <w:t>Part 1—Preliminary</w:t>
        </w:r>
      </w:hyperlink>
    </w:p>
    <w:p w:rsidR="00772E2B" w:rsidRPr="00772E2B" w:rsidRDefault="00607847" w:rsidP="00772E2B">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772E2B" w:rsidRPr="00772E2B">
          <w:rPr>
            <w:rFonts w:eastAsia="Times New Roman"/>
            <w:color w:val="000000"/>
            <w:sz w:val="22"/>
            <w:lang w:eastAsia="en-AU"/>
          </w:rPr>
          <w:t>1</w:t>
        </w:r>
        <w:r w:rsidR="00772E2B" w:rsidRPr="00772E2B">
          <w:rPr>
            <w:rFonts w:eastAsia="Times New Roman"/>
            <w:color w:val="000000"/>
            <w:sz w:val="22"/>
            <w:lang w:eastAsia="en-AU"/>
          </w:rPr>
          <w:tab/>
          <w:t>Short title</w:t>
        </w:r>
      </w:hyperlink>
    </w:p>
    <w:p w:rsidR="00772E2B" w:rsidRPr="00772E2B" w:rsidRDefault="00607847" w:rsidP="00772E2B">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772E2B" w:rsidRPr="00772E2B">
          <w:rPr>
            <w:rFonts w:eastAsia="Times New Roman"/>
            <w:color w:val="000000"/>
            <w:sz w:val="22"/>
            <w:lang w:eastAsia="en-AU"/>
          </w:rPr>
          <w:t>2</w:t>
        </w:r>
        <w:r w:rsidR="00772E2B" w:rsidRPr="00772E2B">
          <w:rPr>
            <w:rFonts w:eastAsia="Times New Roman"/>
            <w:color w:val="000000"/>
            <w:sz w:val="22"/>
            <w:lang w:eastAsia="en-AU"/>
          </w:rPr>
          <w:tab/>
          <w:t>Commencement</w:t>
        </w:r>
      </w:hyperlink>
    </w:p>
    <w:p w:rsidR="00772E2B" w:rsidRPr="00772E2B" w:rsidRDefault="00607847" w:rsidP="00772E2B">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772E2B" w:rsidRPr="00772E2B">
          <w:rPr>
            <w:rFonts w:eastAsia="Times New Roman"/>
            <w:color w:val="000000"/>
            <w:sz w:val="22"/>
            <w:lang w:eastAsia="en-AU"/>
          </w:rPr>
          <w:t>3</w:t>
        </w:r>
        <w:r w:rsidR="00772E2B" w:rsidRPr="00772E2B">
          <w:rPr>
            <w:rFonts w:eastAsia="Times New Roman"/>
            <w:color w:val="000000"/>
            <w:sz w:val="22"/>
            <w:lang w:eastAsia="en-AU"/>
          </w:rPr>
          <w:tab/>
          <w:t>Variation provisions</w:t>
        </w:r>
      </w:hyperlink>
    </w:p>
    <w:p w:rsidR="00772E2B" w:rsidRPr="00772E2B" w:rsidRDefault="00607847" w:rsidP="00772E2B">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772E2B" w:rsidRPr="00772E2B">
          <w:rPr>
            <w:rFonts w:eastAsia="Times New Roman"/>
            <w:color w:val="000000"/>
            <w:sz w:val="28"/>
            <w:szCs w:val="28"/>
            <w:lang w:eastAsia="en-AU"/>
          </w:rPr>
          <w:t xml:space="preserve">Part 2—Variation of </w:t>
        </w:r>
        <w:r w:rsidR="00772E2B" w:rsidRPr="00772E2B">
          <w:rPr>
            <w:rFonts w:eastAsia="Times New Roman"/>
            <w:i/>
            <w:iCs/>
            <w:color w:val="000000"/>
            <w:sz w:val="28"/>
            <w:szCs w:val="28"/>
            <w:lang w:eastAsia="en-AU"/>
          </w:rPr>
          <w:t>Criminal Law Consolidation (Criminal Organisations) Regulations 2015</w:t>
        </w:r>
      </w:hyperlink>
    </w:p>
    <w:p w:rsidR="00772E2B" w:rsidRPr="00772E2B" w:rsidRDefault="00607847" w:rsidP="00772E2B">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772E2B" w:rsidRPr="00772E2B">
          <w:rPr>
            <w:rFonts w:eastAsia="Times New Roman"/>
            <w:color w:val="000000"/>
            <w:sz w:val="22"/>
            <w:lang w:eastAsia="en-AU"/>
          </w:rPr>
          <w:t>4</w:t>
        </w:r>
        <w:r w:rsidR="00772E2B" w:rsidRPr="00772E2B">
          <w:rPr>
            <w:rFonts w:eastAsia="Times New Roman"/>
            <w:color w:val="000000"/>
            <w:sz w:val="22"/>
            <w:lang w:eastAsia="en-AU"/>
          </w:rPr>
          <w:tab/>
          <w:t>Variation of regulation 4—Places declared to be prescribed places (by address)—section 83GA</w:t>
        </w:r>
      </w:hyperlink>
    </w:p>
    <w:p w:rsidR="00772E2B" w:rsidRPr="00772E2B" w:rsidRDefault="00772E2B" w:rsidP="00772E2B">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772E2B" w:rsidRPr="00772E2B" w:rsidRDefault="00772E2B" w:rsidP="00772E2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772E2B">
        <w:rPr>
          <w:rFonts w:eastAsia="Times New Roman"/>
          <w:b/>
          <w:bCs/>
          <w:color w:val="000000"/>
          <w:sz w:val="32"/>
          <w:szCs w:val="32"/>
          <w:lang w:eastAsia="en-AU"/>
        </w:rPr>
        <w:t>Part 1—Preliminary</w:t>
      </w:r>
    </w:p>
    <w:p w:rsidR="00772E2B" w:rsidRPr="00772E2B" w:rsidRDefault="00772E2B" w:rsidP="00772E2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72E2B">
        <w:rPr>
          <w:rFonts w:eastAsia="Times New Roman"/>
          <w:b/>
          <w:bCs/>
          <w:color w:val="000000"/>
          <w:sz w:val="26"/>
          <w:szCs w:val="26"/>
          <w:lang w:eastAsia="en-AU"/>
        </w:rPr>
        <w:t>1—Short title</w:t>
      </w:r>
    </w:p>
    <w:p w:rsidR="00772E2B" w:rsidRPr="00772E2B" w:rsidRDefault="00772E2B" w:rsidP="00772E2B">
      <w:pPr>
        <w:keepLines/>
        <w:autoSpaceDE w:val="0"/>
        <w:autoSpaceDN w:val="0"/>
        <w:adjustRightInd w:val="0"/>
        <w:spacing w:before="120" w:after="0" w:line="240" w:lineRule="auto"/>
        <w:ind w:left="794"/>
        <w:jc w:val="left"/>
        <w:rPr>
          <w:rFonts w:eastAsia="Times New Roman"/>
          <w:color w:val="000000"/>
          <w:sz w:val="23"/>
          <w:szCs w:val="23"/>
          <w:lang w:eastAsia="en-AU"/>
        </w:rPr>
      </w:pPr>
      <w:r w:rsidRPr="00772E2B">
        <w:rPr>
          <w:rFonts w:eastAsia="Times New Roman"/>
          <w:color w:val="000000"/>
          <w:sz w:val="23"/>
          <w:szCs w:val="23"/>
          <w:lang w:eastAsia="en-AU"/>
        </w:rPr>
        <w:t xml:space="preserve">These regulations may be cited as the </w:t>
      </w:r>
      <w:r w:rsidRPr="00772E2B">
        <w:rPr>
          <w:rFonts w:eastAsia="Times New Roman"/>
          <w:i/>
          <w:iCs/>
          <w:color w:val="000000"/>
          <w:sz w:val="23"/>
          <w:szCs w:val="23"/>
          <w:lang w:eastAsia="en-AU"/>
        </w:rPr>
        <w:t>Criminal Law Consolidation (Criminal Organisations) (Premises in Burton) Variation Regulations 2020</w:t>
      </w:r>
      <w:r w:rsidRPr="00772E2B">
        <w:rPr>
          <w:rFonts w:eastAsia="Times New Roman"/>
          <w:color w:val="000000"/>
          <w:sz w:val="23"/>
          <w:szCs w:val="23"/>
          <w:lang w:eastAsia="en-AU"/>
        </w:rPr>
        <w:t>.</w:t>
      </w:r>
    </w:p>
    <w:p w:rsidR="00772E2B" w:rsidRPr="00772E2B" w:rsidRDefault="00772E2B" w:rsidP="00772E2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72E2B">
        <w:rPr>
          <w:rFonts w:eastAsia="Times New Roman"/>
          <w:b/>
          <w:bCs/>
          <w:color w:val="000000"/>
          <w:sz w:val="26"/>
          <w:szCs w:val="26"/>
          <w:lang w:eastAsia="en-AU"/>
        </w:rPr>
        <w:t>2—Commencement</w:t>
      </w:r>
    </w:p>
    <w:p w:rsidR="00772E2B" w:rsidRPr="00772E2B" w:rsidRDefault="00772E2B" w:rsidP="00772E2B">
      <w:pPr>
        <w:keepLines/>
        <w:autoSpaceDE w:val="0"/>
        <w:autoSpaceDN w:val="0"/>
        <w:adjustRightInd w:val="0"/>
        <w:spacing w:before="120" w:after="0" w:line="240" w:lineRule="auto"/>
        <w:ind w:left="794"/>
        <w:jc w:val="left"/>
        <w:rPr>
          <w:rFonts w:eastAsia="Times New Roman"/>
          <w:color w:val="000000"/>
          <w:sz w:val="23"/>
          <w:szCs w:val="23"/>
          <w:lang w:eastAsia="en-AU"/>
        </w:rPr>
      </w:pPr>
      <w:r w:rsidRPr="00772E2B">
        <w:rPr>
          <w:rFonts w:eastAsia="Times New Roman"/>
          <w:color w:val="000000"/>
          <w:sz w:val="23"/>
          <w:szCs w:val="23"/>
          <w:lang w:eastAsia="en-AU"/>
        </w:rPr>
        <w:t>These regulations come into operation on the day on which they are made.</w:t>
      </w:r>
    </w:p>
    <w:p w:rsidR="00772E2B" w:rsidRPr="00772E2B" w:rsidRDefault="00772E2B" w:rsidP="00772E2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72E2B">
        <w:rPr>
          <w:rFonts w:eastAsia="Times New Roman"/>
          <w:b/>
          <w:bCs/>
          <w:color w:val="000000"/>
          <w:sz w:val="26"/>
          <w:szCs w:val="26"/>
          <w:lang w:eastAsia="en-AU"/>
        </w:rPr>
        <w:t>3—Variation provisions</w:t>
      </w:r>
    </w:p>
    <w:p w:rsidR="00772E2B" w:rsidRPr="00772E2B" w:rsidRDefault="00772E2B" w:rsidP="00772E2B">
      <w:pPr>
        <w:keepLines/>
        <w:autoSpaceDE w:val="0"/>
        <w:autoSpaceDN w:val="0"/>
        <w:adjustRightInd w:val="0"/>
        <w:spacing w:before="120" w:after="0" w:line="240" w:lineRule="auto"/>
        <w:ind w:left="794"/>
        <w:jc w:val="left"/>
        <w:rPr>
          <w:rFonts w:eastAsia="Times New Roman"/>
          <w:color w:val="000000"/>
          <w:sz w:val="23"/>
          <w:szCs w:val="23"/>
          <w:lang w:eastAsia="en-AU"/>
        </w:rPr>
      </w:pPr>
      <w:r w:rsidRPr="00772E2B">
        <w:rPr>
          <w:rFonts w:eastAsia="Times New Roman"/>
          <w:color w:val="000000"/>
          <w:sz w:val="23"/>
          <w:szCs w:val="23"/>
          <w:lang w:eastAsia="en-AU"/>
        </w:rPr>
        <w:t>In these regulations, a provision under a heading referring to the variation of specified regulations varies the regulations so specified.</w:t>
      </w:r>
    </w:p>
    <w:p w:rsidR="00772E2B" w:rsidRPr="00772E2B" w:rsidRDefault="00772E2B" w:rsidP="00772E2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772E2B">
        <w:rPr>
          <w:rFonts w:eastAsia="Times New Roman"/>
          <w:b/>
          <w:bCs/>
          <w:color w:val="000000"/>
          <w:sz w:val="32"/>
          <w:szCs w:val="32"/>
          <w:lang w:eastAsia="en-AU"/>
        </w:rPr>
        <w:t xml:space="preserve">Part 2—Variation of </w:t>
      </w:r>
      <w:r w:rsidRPr="00772E2B">
        <w:rPr>
          <w:rFonts w:eastAsia="Times New Roman"/>
          <w:b/>
          <w:bCs/>
          <w:i/>
          <w:iCs/>
          <w:color w:val="000000"/>
          <w:sz w:val="32"/>
          <w:szCs w:val="32"/>
          <w:lang w:eastAsia="en-AU"/>
        </w:rPr>
        <w:t>Criminal Law Consolidation (Criminal Organisations) Regulations 2015</w:t>
      </w:r>
    </w:p>
    <w:p w:rsidR="00772E2B" w:rsidRPr="00772E2B" w:rsidRDefault="00772E2B" w:rsidP="00772E2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72E2B">
        <w:rPr>
          <w:rFonts w:eastAsia="Times New Roman"/>
          <w:b/>
          <w:bCs/>
          <w:color w:val="000000"/>
          <w:sz w:val="26"/>
          <w:szCs w:val="26"/>
          <w:lang w:eastAsia="en-AU"/>
        </w:rPr>
        <w:t>4—Variation of regulation 4—Places declared to be prescribed places (by address)—section 83GA</w:t>
      </w:r>
    </w:p>
    <w:p w:rsidR="00772E2B" w:rsidRPr="00772E2B" w:rsidRDefault="00772E2B" w:rsidP="00772E2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772E2B">
        <w:rPr>
          <w:rFonts w:eastAsia="Times New Roman"/>
          <w:color w:val="000000"/>
          <w:sz w:val="23"/>
          <w:szCs w:val="23"/>
          <w:lang w:eastAsia="en-AU"/>
        </w:rPr>
        <w:t>Regulation 4—after subregulation (2) insert:</w:t>
      </w:r>
    </w:p>
    <w:p w:rsidR="00772E2B" w:rsidRPr="00772E2B" w:rsidRDefault="00772E2B" w:rsidP="00772E2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772E2B">
        <w:rPr>
          <w:rFonts w:eastAsia="Times New Roman"/>
          <w:color w:val="000000"/>
          <w:sz w:val="23"/>
          <w:szCs w:val="23"/>
          <w:lang w:eastAsia="en-AU"/>
        </w:rPr>
        <w:tab/>
        <w:t>(3)</w:t>
      </w:r>
      <w:r w:rsidRPr="00772E2B">
        <w:rPr>
          <w:rFonts w:eastAsia="Times New Roman"/>
          <w:color w:val="000000"/>
          <w:sz w:val="23"/>
          <w:szCs w:val="23"/>
          <w:lang w:eastAsia="en-AU"/>
        </w:rPr>
        <w:tab/>
        <w:t xml:space="preserve">For the purposes of the definition of </w:t>
      </w:r>
      <w:r w:rsidRPr="00772E2B">
        <w:rPr>
          <w:rFonts w:eastAsia="Times New Roman"/>
          <w:b/>
          <w:bCs/>
          <w:i/>
          <w:iCs/>
          <w:color w:val="000000"/>
          <w:sz w:val="23"/>
          <w:szCs w:val="23"/>
          <w:lang w:eastAsia="en-AU"/>
        </w:rPr>
        <w:t>prescribed place</w:t>
      </w:r>
      <w:r w:rsidRPr="00772E2B">
        <w:rPr>
          <w:rFonts w:eastAsia="Times New Roman"/>
          <w:color w:val="000000"/>
          <w:sz w:val="23"/>
          <w:szCs w:val="23"/>
          <w:lang w:eastAsia="en-AU"/>
        </w:rPr>
        <w:t xml:space="preserve"> in section 83GA(1) of the Act, the premises comprising Shed 7, 9-13 Penner Avenue, Burton, is declared to be a prescribed place.</w:t>
      </w:r>
    </w:p>
    <w:p w:rsidR="00C4023C" w:rsidRDefault="00C4023C">
      <w:pPr>
        <w:spacing w:after="0" w:line="240" w:lineRule="auto"/>
        <w:jc w:val="left"/>
        <w:rPr>
          <w:rFonts w:eastAsia="Times New Roman"/>
          <w:b/>
          <w:bCs/>
          <w:color w:val="000000"/>
          <w:sz w:val="20"/>
          <w:szCs w:val="20"/>
          <w:lang w:eastAsia="en-AU"/>
        </w:rPr>
      </w:pPr>
      <w:r>
        <w:rPr>
          <w:rFonts w:eastAsia="Times New Roman"/>
          <w:b/>
          <w:bCs/>
          <w:color w:val="000000"/>
          <w:sz w:val="20"/>
          <w:szCs w:val="20"/>
          <w:lang w:eastAsia="en-AU"/>
        </w:rPr>
        <w:br w:type="page"/>
      </w:r>
    </w:p>
    <w:p w:rsidR="00772E2B" w:rsidRPr="00772E2B" w:rsidRDefault="00772E2B" w:rsidP="00772E2B">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772E2B">
        <w:rPr>
          <w:rFonts w:eastAsia="Times New Roman"/>
          <w:b/>
          <w:bCs/>
          <w:color w:val="000000"/>
          <w:sz w:val="20"/>
          <w:szCs w:val="20"/>
          <w:lang w:eastAsia="en-AU"/>
        </w:rPr>
        <w:lastRenderedPageBreak/>
        <w:t>Note—</w:t>
      </w:r>
    </w:p>
    <w:p w:rsidR="00772E2B" w:rsidRPr="00772E2B" w:rsidRDefault="00772E2B" w:rsidP="00772E2B">
      <w:pPr>
        <w:keepLines/>
        <w:autoSpaceDE w:val="0"/>
        <w:autoSpaceDN w:val="0"/>
        <w:adjustRightInd w:val="0"/>
        <w:spacing w:before="120" w:after="0" w:line="240" w:lineRule="auto"/>
        <w:ind w:left="794"/>
        <w:jc w:val="left"/>
        <w:rPr>
          <w:rFonts w:eastAsia="Times New Roman"/>
          <w:color w:val="000000"/>
          <w:sz w:val="20"/>
          <w:szCs w:val="20"/>
          <w:lang w:eastAsia="en-AU"/>
        </w:rPr>
      </w:pPr>
      <w:r w:rsidRPr="00772E2B">
        <w:rPr>
          <w:rFonts w:eastAsia="Times New Roman"/>
          <w:color w:val="000000"/>
          <w:sz w:val="20"/>
          <w:szCs w:val="20"/>
          <w:lang w:eastAsia="en-AU"/>
        </w:rPr>
        <w:t xml:space="preserve">As required by section 10AA(2) of the </w:t>
      </w:r>
      <w:hyperlink r:id="rId29" w:history="1">
        <w:r w:rsidRPr="00772E2B">
          <w:rPr>
            <w:rFonts w:eastAsia="Times New Roman"/>
            <w:i/>
            <w:iCs/>
            <w:color w:val="000000"/>
            <w:sz w:val="20"/>
            <w:szCs w:val="20"/>
            <w:lang w:eastAsia="en-AU"/>
          </w:rPr>
          <w:t>Subordinate Legislation Act 1978</w:t>
        </w:r>
      </w:hyperlink>
      <w:r w:rsidRPr="00772E2B">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772E2B" w:rsidRPr="00772E2B" w:rsidRDefault="00772E2B" w:rsidP="00772E2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772E2B">
        <w:rPr>
          <w:rFonts w:eastAsia="Times New Roman"/>
          <w:b/>
          <w:bCs/>
          <w:color w:val="000000"/>
          <w:sz w:val="26"/>
          <w:szCs w:val="26"/>
          <w:lang w:eastAsia="en-AU"/>
        </w:rPr>
        <w:t>Made by the Governor</w:t>
      </w:r>
    </w:p>
    <w:p w:rsidR="00772E2B" w:rsidRPr="00772E2B" w:rsidRDefault="00772E2B" w:rsidP="00772E2B">
      <w:pPr>
        <w:keepNext/>
        <w:keepLines/>
        <w:autoSpaceDE w:val="0"/>
        <w:autoSpaceDN w:val="0"/>
        <w:adjustRightInd w:val="0"/>
        <w:spacing w:before="120" w:after="0" w:line="240" w:lineRule="auto"/>
        <w:jc w:val="left"/>
        <w:rPr>
          <w:rFonts w:eastAsia="Times New Roman"/>
          <w:color w:val="000000"/>
          <w:sz w:val="23"/>
          <w:szCs w:val="23"/>
          <w:lang w:eastAsia="en-AU"/>
        </w:rPr>
      </w:pPr>
      <w:r w:rsidRPr="00772E2B">
        <w:rPr>
          <w:rFonts w:eastAsia="Times New Roman"/>
          <w:color w:val="000000"/>
          <w:sz w:val="23"/>
          <w:szCs w:val="23"/>
          <w:lang w:eastAsia="en-AU"/>
        </w:rPr>
        <w:t>with the advice and consent of the Executive Council</w:t>
      </w:r>
    </w:p>
    <w:p w:rsidR="00772E2B" w:rsidRPr="00772E2B" w:rsidRDefault="00772E2B" w:rsidP="00772E2B">
      <w:pPr>
        <w:keepNext/>
        <w:keepLines/>
        <w:autoSpaceDE w:val="0"/>
        <w:autoSpaceDN w:val="0"/>
        <w:adjustRightInd w:val="0"/>
        <w:spacing w:after="0" w:line="240" w:lineRule="auto"/>
        <w:jc w:val="left"/>
        <w:rPr>
          <w:rFonts w:eastAsia="Times New Roman"/>
          <w:color w:val="000000"/>
          <w:sz w:val="23"/>
          <w:szCs w:val="23"/>
          <w:lang w:eastAsia="en-AU"/>
        </w:rPr>
      </w:pPr>
      <w:r w:rsidRPr="00772E2B">
        <w:rPr>
          <w:rFonts w:eastAsia="Times New Roman"/>
          <w:color w:val="000000"/>
          <w:sz w:val="23"/>
          <w:szCs w:val="23"/>
          <w:lang w:eastAsia="en-AU"/>
        </w:rPr>
        <w:t>on 17 December 2020</w:t>
      </w:r>
    </w:p>
    <w:p w:rsidR="00772E2B" w:rsidRDefault="00772E2B" w:rsidP="00772E2B">
      <w:pPr>
        <w:keepNext/>
        <w:keepLines/>
        <w:autoSpaceDE w:val="0"/>
        <w:autoSpaceDN w:val="0"/>
        <w:adjustRightInd w:val="0"/>
        <w:spacing w:before="120" w:line="240" w:lineRule="auto"/>
        <w:jc w:val="left"/>
        <w:rPr>
          <w:rFonts w:eastAsia="Times New Roman"/>
          <w:color w:val="000000"/>
          <w:sz w:val="23"/>
          <w:szCs w:val="23"/>
          <w:lang w:eastAsia="en-AU"/>
        </w:rPr>
      </w:pPr>
      <w:r w:rsidRPr="00772E2B">
        <w:rPr>
          <w:rFonts w:eastAsia="Times New Roman"/>
          <w:color w:val="000000"/>
          <w:sz w:val="23"/>
          <w:szCs w:val="23"/>
          <w:lang w:eastAsia="en-AU"/>
        </w:rPr>
        <w:t>No 315 of 2020</w:t>
      </w:r>
    </w:p>
    <w:p w:rsidR="00772E2B" w:rsidRDefault="00772E2B" w:rsidP="00772E2B">
      <w:pPr>
        <w:pBdr>
          <w:top w:val="single" w:sz="4" w:space="1" w:color="auto"/>
        </w:pBdr>
        <w:autoSpaceDE w:val="0"/>
        <w:autoSpaceDN w:val="0"/>
        <w:adjustRightInd w:val="0"/>
        <w:spacing w:before="100" w:after="0" w:line="14" w:lineRule="exact"/>
        <w:jc w:val="center"/>
        <w:rPr>
          <w:rFonts w:eastAsia="Times New Roman"/>
          <w:color w:val="000000"/>
          <w:sz w:val="23"/>
          <w:szCs w:val="23"/>
          <w:lang w:eastAsia="en-AU"/>
        </w:rPr>
      </w:pPr>
    </w:p>
    <w:p w:rsidR="00B27972" w:rsidRDefault="00B27972" w:rsidP="0016463B">
      <w:pPr>
        <w:pStyle w:val="GG-body"/>
      </w:pPr>
    </w:p>
    <w:p w:rsidR="00772E2B" w:rsidRDefault="00772E2B">
      <w:pPr>
        <w:spacing w:after="0" w:line="240" w:lineRule="auto"/>
        <w:jc w:val="left"/>
        <w:rPr>
          <w:rFonts w:eastAsia="Times New Roman"/>
          <w:szCs w:val="17"/>
        </w:rPr>
      </w:pPr>
      <w:r>
        <w:br w:type="page"/>
      </w:r>
    </w:p>
    <w:p w:rsidR="00A95E95" w:rsidRDefault="00A95E95" w:rsidP="00A95E95">
      <w:pPr>
        <w:pStyle w:val="RegSpace"/>
        <w:rPr>
          <w:lang w:eastAsia="en-AU"/>
        </w:rPr>
      </w:pPr>
    </w:p>
    <w:p w:rsidR="00A95E95" w:rsidRPr="00A95E95" w:rsidRDefault="00A95E95" w:rsidP="00A95E95">
      <w:pPr>
        <w:keepLines/>
        <w:autoSpaceDE w:val="0"/>
        <w:autoSpaceDN w:val="0"/>
        <w:adjustRightInd w:val="0"/>
        <w:spacing w:before="240" w:after="0" w:line="240" w:lineRule="auto"/>
        <w:jc w:val="left"/>
        <w:rPr>
          <w:rFonts w:eastAsia="Times New Roman"/>
          <w:color w:val="000000"/>
          <w:sz w:val="28"/>
          <w:szCs w:val="28"/>
          <w:lang w:eastAsia="en-AU"/>
        </w:rPr>
      </w:pPr>
      <w:r w:rsidRPr="00A95E95">
        <w:rPr>
          <w:rFonts w:eastAsia="Times New Roman"/>
          <w:color w:val="000000"/>
          <w:sz w:val="28"/>
          <w:szCs w:val="28"/>
          <w:lang w:eastAsia="en-AU"/>
        </w:rPr>
        <w:t>South Australia</w:t>
      </w:r>
    </w:p>
    <w:p w:rsidR="00A95E95" w:rsidRPr="00A95E95" w:rsidRDefault="00A95E95" w:rsidP="00046B75">
      <w:pPr>
        <w:pStyle w:val="Heading3"/>
        <w:rPr>
          <w:lang w:eastAsia="en-AU"/>
        </w:rPr>
      </w:pPr>
      <w:bookmarkStart w:id="44" w:name="_Toc59098934"/>
      <w:r w:rsidRPr="00A95E95">
        <w:rPr>
          <w:lang w:eastAsia="en-AU"/>
        </w:rPr>
        <w:t>Disability Inclusion (NDIS Worker Check) Regulations 2020</w:t>
      </w:r>
      <w:bookmarkEnd w:id="44"/>
    </w:p>
    <w:p w:rsidR="00A95E95" w:rsidRPr="00A95E95" w:rsidRDefault="00A95E95" w:rsidP="00A95E95">
      <w:pPr>
        <w:keepLines/>
        <w:autoSpaceDE w:val="0"/>
        <w:autoSpaceDN w:val="0"/>
        <w:adjustRightInd w:val="0"/>
        <w:spacing w:before="80" w:after="240" w:line="240" w:lineRule="auto"/>
        <w:jc w:val="left"/>
        <w:rPr>
          <w:rFonts w:eastAsia="Times New Roman"/>
          <w:color w:val="000000"/>
          <w:sz w:val="24"/>
          <w:szCs w:val="24"/>
          <w:lang w:eastAsia="en-AU"/>
        </w:rPr>
      </w:pPr>
      <w:r w:rsidRPr="00A95E95">
        <w:rPr>
          <w:rFonts w:eastAsia="Times New Roman"/>
          <w:color w:val="000000"/>
          <w:sz w:val="24"/>
          <w:szCs w:val="24"/>
          <w:lang w:eastAsia="en-AU"/>
        </w:rPr>
        <w:t xml:space="preserve">under the </w:t>
      </w:r>
      <w:r w:rsidRPr="00A95E95">
        <w:rPr>
          <w:rFonts w:eastAsia="Times New Roman"/>
          <w:i/>
          <w:iCs/>
          <w:color w:val="000000"/>
          <w:sz w:val="24"/>
          <w:szCs w:val="24"/>
          <w:lang w:eastAsia="en-AU"/>
        </w:rPr>
        <w:t>Disability Inclusion Act 2018</w:t>
      </w:r>
    </w:p>
    <w:p w:rsidR="00A95E95" w:rsidRPr="00A95E95" w:rsidRDefault="00A95E95" w:rsidP="00A95E95">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A95E95" w:rsidRPr="00A95E95" w:rsidRDefault="00A95E95" w:rsidP="00A95E95">
      <w:pPr>
        <w:keepLines/>
        <w:autoSpaceDE w:val="0"/>
        <w:autoSpaceDN w:val="0"/>
        <w:adjustRightInd w:val="0"/>
        <w:spacing w:before="120" w:after="0" w:line="240" w:lineRule="auto"/>
        <w:jc w:val="left"/>
        <w:rPr>
          <w:rFonts w:eastAsia="Times New Roman"/>
          <w:b/>
          <w:bCs/>
          <w:color w:val="000000"/>
          <w:sz w:val="32"/>
          <w:szCs w:val="32"/>
          <w:lang w:eastAsia="en-AU"/>
        </w:rPr>
      </w:pPr>
      <w:r w:rsidRPr="00A95E95">
        <w:rPr>
          <w:rFonts w:eastAsia="Times New Roman"/>
          <w:b/>
          <w:bCs/>
          <w:color w:val="000000"/>
          <w:sz w:val="32"/>
          <w:szCs w:val="32"/>
          <w:lang w:eastAsia="en-AU"/>
        </w:rPr>
        <w:t>Contents</w:t>
      </w:r>
    </w:p>
    <w:p w:rsidR="00A95E95" w:rsidRPr="00A95E95" w:rsidRDefault="00607847" w:rsidP="00A95E9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 w:history="1">
        <w:r w:rsidR="00A95E95" w:rsidRPr="00A95E95">
          <w:rPr>
            <w:rFonts w:eastAsia="Times New Roman"/>
            <w:color w:val="000000"/>
            <w:sz w:val="22"/>
            <w:lang w:eastAsia="en-AU"/>
          </w:rPr>
          <w:t>1</w:t>
        </w:r>
        <w:r w:rsidR="00A95E95" w:rsidRPr="00A95E95">
          <w:rPr>
            <w:rFonts w:eastAsia="Times New Roman"/>
            <w:color w:val="000000"/>
            <w:sz w:val="22"/>
            <w:lang w:eastAsia="en-AU"/>
          </w:rPr>
          <w:tab/>
          <w:t>Short title</w:t>
        </w:r>
      </w:hyperlink>
    </w:p>
    <w:p w:rsidR="00A95E95" w:rsidRPr="00A95E95" w:rsidRDefault="00607847" w:rsidP="00A95E9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A95E95" w:rsidRPr="00A95E95">
          <w:rPr>
            <w:rFonts w:eastAsia="Times New Roman"/>
            <w:color w:val="000000"/>
            <w:sz w:val="22"/>
            <w:lang w:eastAsia="en-AU"/>
          </w:rPr>
          <w:t>2</w:t>
        </w:r>
        <w:r w:rsidR="00A95E95" w:rsidRPr="00A95E95">
          <w:rPr>
            <w:rFonts w:eastAsia="Times New Roman"/>
            <w:color w:val="000000"/>
            <w:sz w:val="22"/>
            <w:lang w:eastAsia="en-AU"/>
          </w:rPr>
          <w:tab/>
          <w:t>Commencement</w:t>
        </w:r>
      </w:hyperlink>
    </w:p>
    <w:p w:rsidR="00A95E95" w:rsidRPr="00A95E95" w:rsidRDefault="00607847" w:rsidP="00A95E9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A95E95" w:rsidRPr="00A95E95">
          <w:rPr>
            <w:rFonts w:eastAsia="Times New Roman"/>
            <w:color w:val="000000"/>
            <w:sz w:val="22"/>
            <w:lang w:eastAsia="en-AU"/>
          </w:rPr>
          <w:t>3</w:t>
        </w:r>
        <w:r w:rsidR="00A95E95" w:rsidRPr="00A95E95">
          <w:rPr>
            <w:rFonts w:eastAsia="Times New Roman"/>
            <w:color w:val="000000"/>
            <w:sz w:val="22"/>
            <w:lang w:eastAsia="en-AU"/>
          </w:rPr>
          <w:tab/>
          <w:t>Interpretation</w:t>
        </w:r>
      </w:hyperlink>
    </w:p>
    <w:p w:rsidR="00A95E95" w:rsidRPr="00A95E95" w:rsidRDefault="00607847" w:rsidP="00A95E9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A95E95" w:rsidRPr="00A95E95">
          <w:rPr>
            <w:rFonts w:eastAsia="Times New Roman"/>
            <w:color w:val="000000"/>
            <w:sz w:val="22"/>
            <w:lang w:eastAsia="en-AU"/>
          </w:rPr>
          <w:t>4</w:t>
        </w:r>
        <w:r w:rsidR="00A95E95" w:rsidRPr="00A95E95">
          <w:rPr>
            <w:rFonts w:eastAsia="Times New Roman"/>
            <w:color w:val="000000"/>
            <w:sz w:val="22"/>
            <w:lang w:eastAsia="en-AU"/>
          </w:rPr>
          <w:tab/>
          <w:t xml:space="preserve">Meaning of </w:t>
        </w:r>
        <w:r w:rsidR="00A95E95" w:rsidRPr="00A95E95">
          <w:rPr>
            <w:rFonts w:eastAsia="Times New Roman"/>
            <w:i/>
            <w:iCs/>
            <w:color w:val="000000"/>
            <w:sz w:val="22"/>
            <w:lang w:eastAsia="en-AU"/>
          </w:rPr>
          <w:t>corresponding law</w:t>
        </w:r>
      </w:hyperlink>
    </w:p>
    <w:p w:rsidR="00A95E95" w:rsidRPr="00A95E95" w:rsidRDefault="00607847" w:rsidP="00A95E9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03bd6f21_ed6b_4f1d_b9c8_55c75ce5ad" w:history="1">
        <w:r w:rsidR="00A95E95" w:rsidRPr="00A95E95">
          <w:rPr>
            <w:rFonts w:eastAsia="Times New Roman"/>
            <w:color w:val="000000"/>
            <w:sz w:val="22"/>
            <w:lang w:eastAsia="en-AU"/>
          </w:rPr>
          <w:t>5</w:t>
        </w:r>
        <w:r w:rsidR="00A95E95" w:rsidRPr="00A95E95">
          <w:rPr>
            <w:rFonts w:eastAsia="Times New Roman"/>
            <w:color w:val="000000"/>
            <w:sz w:val="22"/>
            <w:lang w:eastAsia="en-AU"/>
          </w:rPr>
          <w:tab/>
          <w:t xml:space="preserve">Meaning of </w:t>
        </w:r>
        <w:r w:rsidR="00A95E95" w:rsidRPr="00A95E95">
          <w:rPr>
            <w:rFonts w:eastAsia="Times New Roman"/>
            <w:i/>
            <w:iCs/>
            <w:color w:val="000000"/>
            <w:sz w:val="22"/>
            <w:lang w:eastAsia="en-AU"/>
          </w:rPr>
          <w:t>disqualification offence</w:t>
        </w:r>
      </w:hyperlink>
    </w:p>
    <w:p w:rsidR="00A95E95" w:rsidRPr="00A95E95" w:rsidRDefault="00607847" w:rsidP="00A95E9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00A95E95" w:rsidRPr="00A95E95">
          <w:rPr>
            <w:rFonts w:eastAsia="Times New Roman"/>
            <w:color w:val="000000"/>
            <w:sz w:val="22"/>
            <w:lang w:eastAsia="en-AU"/>
          </w:rPr>
          <w:t>6</w:t>
        </w:r>
        <w:r w:rsidR="00A95E95" w:rsidRPr="00A95E95">
          <w:rPr>
            <w:rFonts w:eastAsia="Times New Roman"/>
            <w:color w:val="000000"/>
            <w:sz w:val="22"/>
            <w:lang w:eastAsia="en-AU"/>
          </w:rPr>
          <w:tab/>
          <w:t xml:space="preserve">Meaning of </w:t>
        </w:r>
        <w:r w:rsidR="00A95E95" w:rsidRPr="00A95E95">
          <w:rPr>
            <w:rFonts w:eastAsia="Times New Roman"/>
            <w:i/>
            <w:iCs/>
            <w:color w:val="000000"/>
            <w:sz w:val="22"/>
            <w:lang w:eastAsia="en-AU"/>
          </w:rPr>
          <w:t>presumptive disqualification offence</w:t>
        </w:r>
      </w:hyperlink>
    </w:p>
    <w:p w:rsidR="00A95E95" w:rsidRPr="00A95E95" w:rsidRDefault="00607847" w:rsidP="00A95E9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 w:history="1">
        <w:r w:rsidR="00A95E95" w:rsidRPr="00A95E95">
          <w:rPr>
            <w:rFonts w:eastAsia="Times New Roman"/>
            <w:color w:val="000000"/>
            <w:sz w:val="22"/>
            <w:lang w:eastAsia="en-AU"/>
          </w:rPr>
          <w:t>7</w:t>
        </w:r>
        <w:r w:rsidR="00A95E95" w:rsidRPr="00A95E95">
          <w:rPr>
            <w:rFonts w:eastAsia="Times New Roman"/>
            <w:color w:val="000000"/>
            <w:sz w:val="22"/>
            <w:lang w:eastAsia="en-AU"/>
          </w:rPr>
          <w:tab/>
          <w:t>Relevant laws</w:t>
        </w:r>
      </w:hyperlink>
    </w:p>
    <w:p w:rsidR="00A95E95" w:rsidRPr="00A95E95" w:rsidRDefault="00607847" w:rsidP="00A95E9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9" w:history="1">
        <w:r w:rsidR="00A95E95" w:rsidRPr="00A95E95">
          <w:rPr>
            <w:rFonts w:eastAsia="Times New Roman"/>
            <w:color w:val="000000"/>
            <w:sz w:val="22"/>
            <w:lang w:eastAsia="en-AU"/>
          </w:rPr>
          <w:t>8</w:t>
        </w:r>
        <w:r w:rsidR="00A95E95" w:rsidRPr="00A95E95">
          <w:rPr>
            <w:rFonts w:eastAsia="Times New Roman"/>
            <w:color w:val="000000"/>
            <w:sz w:val="22"/>
            <w:lang w:eastAsia="en-AU"/>
          </w:rPr>
          <w:tab/>
          <w:t>Protected information</w:t>
        </w:r>
      </w:hyperlink>
    </w:p>
    <w:p w:rsidR="00A95E95" w:rsidRPr="00A95E95" w:rsidRDefault="00607847" w:rsidP="00A95E9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0" w:history="1">
        <w:r w:rsidR="00A95E95" w:rsidRPr="00A95E95">
          <w:rPr>
            <w:rFonts w:eastAsia="Times New Roman"/>
            <w:color w:val="000000"/>
            <w:sz w:val="22"/>
            <w:lang w:eastAsia="en-AU"/>
          </w:rPr>
          <w:t>9</w:t>
        </w:r>
        <w:r w:rsidR="00A95E95" w:rsidRPr="00A95E95">
          <w:rPr>
            <w:rFonts w:eastAsia="Times New Roman"/>
            <w:color w:val="000000"/>
            <w:sz w:val="22"/>
            <w:lang w:eastAsia="en-AU"/>
          </w:rPr>
          <w:tab/>
          <w:t>Prescribed functions and powers</w:t>
        </w:r>
      </w:hyperlink>
    </w:p>
    <w:p w:rsidR="00A95E95" w:rsidRPr="00A95E95" w:rsidRDefault="00607847" w:rsidP="00A95E9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d3116cdf_2b18_4002_9d45_f791ec7063" w:history="1">
        <w:r w:rsidR="00A95E95" w:rsidRPr="00A95E95">
          <w:rPr>
            <w:rFonts w:eastAsia="Times New Roman"/>
            <w:color w:val="000000"/>
            <w:sz w:val="22"/>
            <w:lang w:eastAsia="en-AU"/>
          </w:rPr>
          <w:t>10</w:t>
        </w:r>
        <w:r w:rsidR="00A95E95" w:rsidRPr="00A95E95">
          <w:rPr>
            <w:rFonts w:eastAsia="Times New Roman"/>
            <w:color w:val="000000"/>
            <w:sz w:val="22"/>
            <w:lang w:eastAsia="en-AU"/>
          </w:rPr>
          <w:tab/>
          <w:t>Additional powers to terminate NDIS worker check clearance application</w:t>
        </w:r>
      </w:hyperlink>
    </w:p>
    <w:p w:rsidR="00A95E95" w:rsidRPr="00A95E95" w:rsidRDefault="00607847" w:rsidP="00A95E9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3" w:history="1">
        <w:r w:rsidR="00A95E95" w:rsidRPr="00A95E95">
          <w:rPr>
            <w:rFonts w:eastAsia="Times New Roman"/>
            <w:color w:val="000000"/>
            <w:sz w:val="22"/>
            <w:lang w:eastAsia="en-AU"/>
          </w:rPr>
          <w:t>11</w:t>
        </w:r>
        <w:r w:rsidR="00A95E95" w:rsidRPr="00A95E95">
          <w:rPr>
            <w:rFonts w:eastAsia="Times New Roman"/>
            <w:color w:val="000000"/>
            <w:sz w:val="22"/>
            <w:lang w:eastAsia="en-AU"/>
          </w:rPr>
          <w:tab/>
          <w:t>Requirements relating to notice of grant of NDIS worker check clearance etc</w:t>
        </w:r>
      </w:hyperlink>
    </w:p>
    <w:p w:rsidR="00A95E95" w:rsidRPr="00A95E95" w:rsidRDefault="00607847" w:rsidP="00A95E9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4" w:history="1">
        <w:r w:rsidR="00A95E95" w:rsidRPr="00A95E95">
          <w:rPr>
            <w:rFonts w:eastAsia="Times New Roman"/>
            <w:color w:val="000000"/>
            <w:sz w:val="22"/>
            <w:lang w:eastAsia="en-AU"/>
          </w:rPr>
          <w:t>12</w:t>
        </w:r>
        <w:r w:rsidR="00A95E95" w:rsidRPr="00A95E95">
          <w:rPr>
            <w:rFonts w:eastAsia="Times New Roman"/>
            <w:color w:val="000000"/>
            <w:sz w:val="22"/>
            <w:lang w:eastAsia="en-AU"/>
          </w:rPr>
          <w:tab/>
          <w:t>Court to provide notice of certain findings of guilt to central assessment unit</w:t>
        </w:r>
      </w:hyperlink>
    </w:p>
    <w:p w:rsidR="00A95E95" w:rsidRPr="00A95E95" w:rsidRDefault="00607847" w:rsidP="00A95E9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5" w:history="1">
        <w:r w:rsidR="00A95E95" w:rsidRPr="00A95E95">
          <w:rPr>
            <w:rFonts w:eastAsia="Times New Roman"/>
            <w:color w:val="000000"/>
            <w:sz w:val="22"/>
            <w:lang w:eastAsia="en-AU"/>
          </w:rPr>
          <w:t>13</w:t>
        </w:r>
        <w:r w:rsidR="00A95E95" w:rsidRPr="00A95E95">
          <w:rPr>
            <w:rFonts w:eastAsia="Times New Roman"/>
            <w:color w:val="000000"/>
            <w:sz w:val="22"/>
            <w:lang w:eastAsia="en-AU"/>
          </w:rPr>
          <w:tab/>
          <w:t>Commissioner of Police to provide information on charging of certain persons</w:t>
        </w:r>
      </w:hyperlink>
    </w:p>
    <w:p w:rsidR="00A95E95" w:rsidRPr="00A95E95" w:rsidRDefault="00607847" w:rsidP="00A95E9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6" w:history="1">
        <w:r w:rsidR="00A95E95" w:rsidRPr="00A95E95">
          <w:rPr>
            <w:rFonts w:eastAsia="Times New Roman"/>
            <w:color w:val="000000"/>
            <w:sz w:val="22"/>
            <w:lang w:eastAsia="en-AU"/>
          </w:rPr>
          <w:t>14</w:t>
        </w:r>
        <w:r w:rsidR="00A95E95" w:rsidRPr="00A95E95">
          <w:rPr>
            <w:rFonts w:eastAsia="Times New Roman"/>
            <w:color w:val="000000"/>
            <w:sz w:val="22"/>
            <w:lang w:eastAsia="en-AU"/>
          </w:rPr>
          <w:tab/>
          <w:t>Central assessment unit may disclose etc information with other jurisdictions</w:t>
        </w:r>
      </w:hyperlink>
    </w:p>
    <w:p w:rsidR="00A95E95" w:rsidRPr="00A95E95" w:rsidRDefault="00607847" w:rsidP="00A95E9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7" w:history="1">
        <w:r w:rsidR="00A95E95" w:rsidRPr="00A95E95">
          <w:rPr>
            <w:rFonts w:eastAsia="Times New Roman"/>
            <w:color w:val="000000"/>
            <w:sz w:val="22"/>
            <w:lang w:eastAsia="en-AU"/>
          </w:rPr>
          <w:t>15</w:t>
        </w:r>
        <w:r w:rsidR="00A95E95" w:rsidRPr="00A95E95">
          <w:rPr>
            <w:rFonts w:eastAsia="Times New Roman"/>
            <w:color w:val="000000"/>
            <w:sz w:val="22"/>
            <w:lang w:eastAsia="en-AU"/>
          </w:rPr>
          <w:tab/>
          <w:t>Disclosure of information about offences</w:t>
        </w:r>
      </w:hyperlink>
    </w:p>
    <w:p w:rsidR="00A95E95" w:rsidRPr="00A95E95" w:rsidRDefault="00607847" w:rsidP="00A95E9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8" w:history="1">
        <w:r w:rsidR="00A95E95" w:rsidRPr="00A95E95">
          <w:rPr>
            <w:rFonts w:eastAsia="Times New Roman"/>
            <w:color w:val="000000"/>
            <w:sz w:val="22"/>
            <w:lang w:eastAsia="en-AU"/>
          </w:rPr>
          <w:t>16</w:t>
        </w:r>
        <w:r w:rsidR="00A95E95" w:rsidRPr="00A95E95">
          <w:rPr>
            <w:rFonts w:eastAsia="Times New Roman"/>
            <w:color w:val="000000"/>
            <w:sz w:val="22"/>
            <w:lang w:eastAsia="en-AU"/>
          </w:rPr>
          <w:tab/>
          <w:t>Non-reviewable decisions</w:t>
        </w:r>
      </w:hyperlink>
    </w:p>
    <w:p w:rsidR="00A95E95" w:rsidRPr="00A95E95" w:rsidRDefault="00607847" w:rsidP="00A95E9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9" w:history="1">
        <w:r w:rsidR="00A95E95" w:rsidRPr="00A95E95">
          <w:rPr>
            <w:rFonts w:eastAsia="Times New Roman"/>
            <w:color w:val="000000"/>
            <w:sz w:val="22"/>
            <w:lang w:eastAsia="en-AU"/>
          </w:rPr>
          <w:t>17</w:t>
        </w:r>
        <w:r w:rsidR="00A95E95" w:rsidRPr="00A95E95">
          <w:rPr>
            <w:rFonts w:eastAsia="Times New Roman"/>
            <w:color w:val="000000"/>
            <w:sz w:val="22"/>
            <w:lang w:eastAsia="en-AU"/>
          </w:rPr>
          <w:tab/>
          <w:t>Minister may establish advisory panel</w:t>
        </w:r>
      </w:hyperlink>
    </w:p>
    <w:p w:rsidR="00A95E95" w:rsidRPr="00A95E95" w:rsidRDefault="00607847" w:rsidP="00A95E9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0" w:history="1">
        <w:r w:rsidR="00A95E95" w:rsidRPr="00A95E95">
          <w:rPr>
            <w:rFonts w:eastAsia="Times New Roman"/>
            <w:color w:val="000000"/>
            <w:sz w:val="22"/>
            <w:lang w:eastAsia="en-AU"/>
          </w:rPr>
          <w:t>18</w:t>
        </w:r>
        <w:r w:rsidR="00A95E95" w:rsidRPr="00A95E95">
          <w:rPr>
            <w:rFonts w:eastAsia="Times New Roman"/>
            <w:color w:val="000000"/>
            <w:sz w:val="22"/>
            <w:lang w:eastAsia="en-AU"/>
          </w:rPr>
          <w:tab/>
          <w:t>Requirement to notify central assessment unit of change of particulars</w:t>
        </w:r>
      </w:hyperlink>
    </w:p>
    <w:p w:rsidR="00A95E95" w:rsidRPr="00A95E95" w:rsidRDefault="00607847" w:rsidP="00A95E95">
      <w:pPr>
        <w:keepLines/>
        <w:autoSpaceDE w:val="0"/>
        <w:autoSpaceDN w:val="0"/>
        <w:adjustRightInd w:val="0"/>
        <w:spacing w:before="120" w:after="120" w:line="240" w:lineRule="auto"/>
        <w:jc w:val="left"/>
        <w:rPr>
          <w:rFonts w:eastAsia="Times New Roman"/>
          <w:color w:val="000000"/>
          <w:sz w:val="28"/>
          <w:szCs w:val="28"/>
          <w:lang w:eastAsia="en-AU"/>
        </w:rPr>
      </w:pPr>
      <w:hyperlink w:anchor="id8a98370a_6aba_49be_9e0b_45a837c437" w:history="1">
        <w:r w:rsidR="00A95E95" w:rsidRPr="00A95E95">
          <w:rPr>
            <w:rFonts w:eastAsia="Times New Roman"/>
            <w:color w:val="000000"/>
            <w:sz w:val="28"/>
            <w:szCs w:val="28"/>
            <w:lang w:eastAsia="en-AU"/>
          </w:rPr>
          <w:t>Schedule 1—Disqualification offences</w:t>
        </w:r>
      </w:hyperlink>
    </w:p>
    <w:p w:rsidR="00A95E95" w:rsidRPr="00A95E95" w:rsidRDefault="00607847" w:rsidP="00A95E9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7af863ac_eb48_403d_a860_a0c30887f0" w:history="1">
        <w:r w:rsidR="00A95E95" w:rsidRPr="00A95E95">
          <w:rPr>
            <w:rFonts w:eastAsia="Times New Roman"/>
            <w:color w:val="000000"/>
            <w:sz w:val="22"/>
            <w:lang w:eastAsia="en-AU"/>
          </w:rPr>
          <w:t>1</w:t>
        </w:r>
        <w:r w:rsidR="00A95E95" w:rsidRPr="00A95E95">
          <w:rPr>
            <w:rFonts w:eastAsia="Times New Roman"/>
            <w:color w:val="000000"/>
            <w:sz w:val="22"/>
            <w:lang w:eastAsia="en-AU"/>
          </w:rPr>
          <w:tab/>
          <w:t>Disqualification offences</w:t>
        </w:r>
      </w:hyperlink>
    </w:p>
    <w:p w:rsidR="00A95E95" w:rsidRPr="00A95E95" w:rsidRDefault="00607847" w:rsidP="00A95E9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76cfae4e_4023_47a6_bba3_f74d9993a5" w:history="1">
        <w:r w:rsidR="00A95E95" w:rsidRPr="00A95E95">
          <w:rPr>
            <w:rFonts w:eastAsia="Times New Roman"/>
            <w:color w:val="000000"/>
            <w:sz w:val="22"/>
            <w:lang w:eastAsia="en-AU"/>
          </w:rPr>
          <w:t>2</w:t>
        </w:r>
        <w:r w:rsidR="00A95E95" w:rsidRPr="00A95E95">
          <w:rPr>
            <w:rFonts w:eastAsia="Times New Roman"/>
            <w:color w:val="000000"/>
            <w:sz w:val="22"/>
            <w:lang w:eastAsia="en-AU"/>
          </w:rPr>
          <w:tab/>
          <w:t>Table of disqualification offences</w:t>
        </w:r>
      </w:hyperlink>
    </w:p>
    <w:p w:rsidR="00A95E95" w:rsidRPr="00A95E95" w:rsidRDefault="00607847" w:rsidP="00A95E95">
      <w:pPr>
        <w:keepLines/>
        <w:autoSpaceDE w:val="0"/>
        <w:autoSpaceDN w:val="0"/>
        <w:adjustRightInd w:val="0"/>
        <w:spacing w:before="120" w:after="120" w:line="240" w:lineRule="auto"/>
        <w:jc w:val="left"/>
        <w:rPr>
          <w:rFonts w:eastAsia="Times New Roman"/>
          <w:color w:val="000000"/>
          <w:sz w:val="28"/>
          <w:szCs w:val="28"/>
          <w:lang w:eastAsia="en-AU"/>
        </w:rPr>
      </w:pPr>
      <w:hyperlink w:anchor="ide562fe31_0dcf_47ed_acc5_681a6269f1" w:history="1">
        <w:r w:rsidR="00A95E95" w:rsidRPr="00A95E95">
          <w:rPr>
            <w:rFonts w:eastAsia="Times New Roman"/>
            <w:color w:val="000000"/>
            <w:sz w:val="28"/>
            <w:szCs w:val="28"/>
            <w:lang w:eastAsia="en-AU"/>
          </w:rPr>
          <w:t>Schedule 2—Presumptive disqualification offences</w:t>
        </w:r>
      </w:hyperlink>
    </w:p>
    <w:p w:rsidR="00A95E95" w:rsidRPr="00A95E95" w:rsidRDefault="00607847" w:rsidP="00A95E9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9" w:history="1">
        <w:r w:rsidR="00A95E95" w:rsidRPr="00A95E95">
          <w:rPr>
            <w:rFonts w:eastAsia="Times New Roman"/>
            <w:color w:val="000000"/>
            <w:sz w:val="22"/>
            <w:lang w:eastAsia="en-AU"/>
          </w:rPr>
          <w:t>1</w:t>
        </w:r>
        <w:r w:rsidR="00A95E95" w:rsidRPr="00A95E95">
          <w:rPr>
            <w:rFonts w:eastAsia="Times New Roman"/>
            <w:color w:val="000000"/>
            <w:sz w:val="22"/>
            <w:lang w:eastAsia="en-AU"/>
          </w:rPr>
          <w:tab/>
          <w:t>Interpretation</w:t>
        </w:r>
      </w:hyperlink>
    </w:p>
    <w:p w:rsidR="00A95E95" w:rsidRPr="00A95E95" w:rsidRDefault="00607847" w:rsidP="00A95E9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af7699f6_575e_4903_8d50_83e7e32cfb" w:history="1">
        <w:r w:rsidR="00A95E95" w:rsidRPr="00A95E95">
          <w:rPr>
            <w:rFonts w:eastAsia="Times New Roman"/>
            <w:color w:val="000000"/>
            <w:sz w:val="22"/>
            <w:lang w:eastAsia="en-AU"/>
          </w:rPr>
          <w:t>2</w:t>
        </w:r>
        <w:r w:rsidR="00A95E95" w:rsidRPr="00A95E95">
          <w:rPr>
            <w:rFonts w:eastAsia="Times New Roman"/>
            <w:color w:val="000000"/>
            <w:sz w:val="22"/>
            <w:lang w:eastAsia="en-AU"/>
          </w:rPr>
          <w:tab/>
          <w:t>Presumptive disqualification offences</w:t>
        </w:r>
      </w:hyperlink>
    </w:p>
    <w:p w:rsidR="00A95E95" w:rsidRPr="00A95E95" w:rsidRDefault="00607847" w:rsidP="00A95E9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22d52c3e_e589_4772_9671_96f25e8d59" w:history="1">
        <w:r w:rsidR="00A95E95" w:rsidRPr="00A95E95">
          <w:rPr>
            <w:rFonts w:eastAsia="Times New Roman"/>
            <w:color w:val="000000"/>
            <w:sz w:val="22"/>
            <w:lang w:eastAsia="en-AU"/>
          </w:rPr>
          <w:t>3</w:t>
        </w:r>
        <w:r w:rsidR="00A95E95" w:rsidRPr="00A95E95">
          <w:rPr>
            <w:rFonts w:eastAsia="Times New Roman"/>
            <w:color w:val="000000"/>
            <w:sz w:val="22"/>
            <w:lang w:eastAsia="en-AU"/>
          </w:rPr>
          <w:tab/>
          <w:t>Table of presumptive disqualification offences</w:t>
        </w:r>
      </w:hyperlink>
    </w:p>
    <w:p w:rsidR="00A95E95" w:rsidRPr="00A95E95" w:rsidRDefault="00A95E95" w:rsidP="00A95E95">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A95E95" w:rsidRPr="00A95E95" w:rsidRDefault="00A95E95" w:rsidP="00A95E9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95E95">
        <w:rPr>
          <w:rFonts w:eastAsia="Times New Roman"/>
          <w:b/>
          <w:bCs/>
          <w:color w:val="000000"/>
          <w:sz w:val="26"/>
          <w:szCs w:val="26"/>
          <w:lang w:eastAsia="en-AU"/>
        </w:rPr>
        <w:t>1—Short title</w:t>
      </w:r>
    </w:p>
    <w:p w:rsidR="00A95E95" w:rsidRPr="00A95E95" w:rsidRDefault="00A95E95" w:rsidP="00A95E95">
      <w:pPr>
        <w:keepLines/>
        <w:autoSpaceDE w:val="0"/>
        <w:autoSpaceDN w:val="0"/>
        <w:adjustRightInd w:val="0"/>
        <w:spacing w:before="120" w:after="0" w:line="240" w:lineRule="auto"/>
        <w:ind w:left="794"/>
        <w:jc w:val="left"/>
        <w:rPr>
          <w:rFonts w:eastAsia="Times New Roman"/>
          <w:color w:val="000000"/>
          <w:sz w:val="23"/>
          <w:szCs w:val="23"/>
          <w:lang w:eastAsia="en-AU"/>
        </w:rPr>
      </w:pPr>
      <w:r w:rsidRPr="00A95E95">
        <w:rPr>
          <w:rFonts w:eastAsia="Times New Roman"/>
          <w:color w:val="000000"/>
          <w:sz w:val="23"/>
          <w:szCs w:val="23"/>
          <w:lang w:eastAsia="en-AU"/>
        </w:rPr>
        <w:t xml:space="preserve">These regulations may be cited as the </w:t>
      </w:r>
      <w:r w:rsidRPr="00A95E95">
        <w:rPr>
          <w:rFonts w:eastAsia="Times New Roman"/>
          <w:i/>
          <w:iCs/>
          <w:color w:val="000000"/>
          <w:sz w:val="23"/>
          <w:szCs w:val="23"/>
          <w:lang w:eastAsia="en-AU"/>
        </w:rPr>
        <w:t>Disability Inclusion (NDIS Worker Check) Regulations 2020</w:t>
      </w:r>
      <w:r w:rsidRPr="00A95E95">
        <w:rPr>
          <w:rFonts w:eastAsia="Times New Roman"/>
          <w:color w:val="000000"/>
          <w:sz w:val="23"/>
          <w:szCs w:val="23"/>
          <w:lang w:eastAsia="en-AU"/>
        </w:rPr>
        <w:t>.</w:t>
      </w:r>
    </w:p>
    <w:p w:rsidR="00A95E95" w:rsidRPr="00A95E95" w:rsidRDefault="00A95E95" w:rsidP="00A95E9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95E95">
        <w:rPr>
          <w:rFonts w:eastAsia="Times New Roman"/>
          <w:b/>
          <w:bCs/>
          <w:color w:val="000000"/>
          <w:sz w:val="26"/>
          <w:szCs w:val="26"/>
          <w:lang w:eastAsia="en-AU"/>
        </w:rPr>
        <w:t>2—Commencement</w:t>
      </w:r>
    </w:p>
    <w:p w:rsidR="00A95E95" w:rsidRPr="00A95E95" w:rsidRDefault="00A95E95" w:rsidP="00A95E95">
      <w:pPr>
        <w:keepLines/>
        <w:autoSpaceDE w:val="0"/>
        <w:autoSpaceDN w:val="0"/>
        <w:adjustRightInd w:val="0"/>
        <w:spacing w:before="120" w:after="0" w:line="240" w:lineRule="auto"/>
        <w:ind w:left="794"/>
        <w:jc w:val="left"/>
        <w:rPr>
          <w:rFonts w:eastAsia="Times New Roman"/>
          <w:color w:val="000000"/>
          <w:sz w:val="23"/>
          <w:szCs w:val="23"/>
          <w:lang w:eastAsia="en-AU"/>
        </w:rPr>
      </w:pPr>
      <w:r w:rsidRPr="00A95E95">
        <w:rPr>
          <w:rFonts w:eastAsia="Times New Roman"/>
          <w:color w:val="000000"/>
          <w:sz w:val="23"/>
          <w:szCs w:val="23"/>
          <w:lang w:eastAsia="en-AU"/>
        </w:rPr>
        <w:t xml:space="preserve">These regulations come into operation on the day on which Part 5A of the </w:t>
      </w:r>
      <w:hyperlink r:id="rId30" w:history="1">
        <w:r w:rsidRPr="00A95E95">
          <w:rPr>
            <w:rFonts w:eastAsia="Times New Roman"/>
            <w:i/>
            <w:iCs/>
            <w:color w:val="000000"/>
            <w:sz w:val="23"/>
            <w:szCs w:val="23"/>
            <w:lang w:eastAsia="en-AU"/>
          </w:rPr>
          <w:t>Disability Inclusion Act 2018</w:t>
        </w:r>
      </w:hyperlink>
      <w:r w:rsidRPr="00A95E95">
        <w:rPr>
          <w:rFonts w:eastAsia="Times New Roman"/>
          <w:color w:val="000000"/>
          <w:sz w:val="23"/>
          <w:szCs w:val="23"/>
          <w:lang w:eastAsia="en-AU"/>
        </w:rPr>
        <w:t xml:space="preserve"> (as enacted by the </w:t>
      </w:r>
      <w:hyperlink r:id="rId31" w:history="1">
        <w:r w:rsidRPr="00A95E95">
          <w:rPr>
            <w:rFonts w:eastAsia="Times New Roman"/>
            <w:i/>
            <w:iCs/>
            <w:color w:val="000000"/>
            <w:sz w:val="23"/>
            <w:szCs w:val="23"/>
            <w:lang w:eastAsia="en-AU"/>
          </w:rPr>
          <w:t>Statutes Amendment (Screening) Act 2019</w:t>
        </w:r>
      </w:hyperlink>
      <w:r w:rsidRPr="00A95E95">
        <w:rPr>
          <w:rFonts w:eastAsia="Times New Roman"/>
          <w:color w:val="000000"/>
          <w:sz w:val="23"/>
          <w:szCs w:val="23"/>
          <w:lang w:eastAsia="en-AU"/>
        </w:rPr>
        <w:t>) comes into operation.</w:t>
      </w:r>
    </w:p>
    <w:p w:rsidR="006829D6" w:rsidRDefault="006829D6">
      <w:pPr>
        <w:spacing w:after="0" w:line="240" w:lineRule="auto"/>
        <w:jc w:val="left"/>
        <w:rPr>
          <w:rFonts w:eastAsia="Times New Roman"/>
          <w:b/>
          <w:bCs/>
          <w:color w:val="000000"/>
          <w:sz w:val="26"/>
          <w:szCs w:val="26"/>
          <w:lang w:eastAsia="en-AU"/>
        </w:rPr>
      </w:pPr>
      <w:r>
        <w:rPr>
          <w:rFonts w:eastAsia="Times New Roman"/>
          <w:b/>
          <w:bCs/>
          <w:color w:val="000000"/>
          <w:sz w:val="26"/>
          <w:szCs w:val="26"/>
          <w:lang w:eastAsia="en-AU"/>
        </w:rPr>
        <w:br w:type="page"/>
      </w:r>
    </w:p>
    <w:p w:rsidR="00A95E95" w:rsidRPr="00A95E95" w:rsidRDefault="00A95E95" w:rsidP="00A95E9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95E95">
        <w:rPr>
          <w:rFonts w:eastAsia="Times New Roman"/>
          <w:b/>
          <w:bCs/>
          <w:color w:val="000000"/>
          <w:sz w:val="26"/>
          <w:szCs w:val="26"/>
          <w:lang w:eastAsia="en-AU"/>
        </w:rPr>
        <w:lastRenderedPageBreak/>
        <w:t>3—Interpretation</w:t>
      </w:r>
    </w:p>
    <w:p w:rsidR="00A95E95" w:rsidRPr="00A95E95" w:rsidRDefault="00A95E95" w:rsidP="00A95E95">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95E95">
        <w:rPr>
          <w:rFonts w:eastAsia="Times New Roman"/>
          <w:color w:val="000000"/>
          <w:sz w:val="23"/>
          <w:szCs w:val="23"/>
          <w:lang w:eastAsia="en-AU"/>
        </w:rPr>
        <w:t>In these regulations, unless the contrary intention appears—</w:t>
      </w:r>
    </w:p>
    <w:p w:rsidR="00A95E95" w:rsidRPr="00A95E95" w:rsidRDefault="00A95E95" w:rsidP="00A95E95">
      <w:pPr>
        <w:keepLines/>
        <w:autoSpaceDE w:val="0"/>
        <w:autoSpaceDN w:val="0"/>
        <w:adjustRightInd w:val="0"/>
        <w:spacing w:before="120" w:after="0" w:line="240" w:lineRule="auto"/>
        <w:ind w:left="794"/>
        <w:jc w:val="left"/>
        <w:rPr>
          <w:rFonts w:eastAsia="Times New Roman"/>
          <w:color w:val="000000"/>
          <w:sz w:val="23"/>
          <w:szCs w:val="23"/>
          <w:lang w:eastAsia="en-AU"/>
        </w:rPr>
      </w:pPr>
      <w:r w:rsidRPr="00A95E95">
        <w:rPr>
          <w:rFonts w:eastAsia="Times New Roman"/>
          <w:b/>
          <w:bCs/>
          <w:i/>
          <w:iCs/>
          <w:color w:val="000000"/>
          <w:sz w:val="23"/>
          <w:szCs w:val="23"/>
          <w:lang w:eastAsia="en-AU"/>
        </w:rPr>
        <w:t>Act</w:t>
      </w:r>
      <w:r w:rsidRPr="00A95E95">
        <w:rPr>
          <w:rFonts w:eastAsia="Times New Roman"/>
          <w:color w:val="000000"/>
          <w:sz w:val="23"/>
          <w:szCs w:val="23"/>
          <w:lang w:eastAsia="en-AU"/>
        </w:rPr>
        <w:t xml:space="preserve"> means the </w:t>
      </w:r>
      <w:hyperlink r:id="rId32" w:history="1">
        <w:r w:rsidRPr="00A95E95">
          <w:rPr>
            <w:rFonts w:eastAsia="Times New Roman"/>
            <w:i/>
            <w:iCs/>
            <w:color w:val="000000"/>
            <w:sz w:val="23"/>
            <w:szCs w:val="23"/>
            <w:lang w:eastAsia="en-AU"/>
          </w:rPr>
          <w:t>Disability Inclusion Act 2018</w:t>
        </w:r>
      </w:hyperlink>
      <w:r w:rsidRPr="00A95E95">
        <w:rPr>
          <w:rFonts w:eastAsia="Times New Roman"/>
          <w:color w:val="000000"/>
          <w:sz w:val="23"/>
          <w:szCs w:val="23"/>
          <w:lang w:eastAsia="en-AU"/>
        </w:rPr>
        <w:t>;</w:t>
      </w:r>
    </w:p>
    <w:p w:rsidR="00A95E95" w:rsidRPr="00A95E95" w:rsidRDefault="00A95E95" w:rsidP="00A95E95">
      <w:pPr>
        <w:keepLines/>
        <w:autoSpaceDE w:val="0"/>
        <w:autoSpaceDN w:val="0"/>
        <w:adjustRightInd w:val="0"/>
        <w:spacing w:before="120" w:after="0" w:line="240" w:lineRule="auto"/>
        <w:ind w:left="794"/>
        <w:jc w:val="left"/>
        <w:rPr>
          <w:rFonts w:eastAsia="Times New Roman"/>
          <w:color w:val="000000"/>
          <w:sz w:val="23"/>
          <w:szCs w:val="23"/>
          <w:lang w:eastAsia="en-AU"/>
        </w:rPr>
      </w:pPr>
      <w:r w:rsidRPr="00A95E95">
        <w:rPr>
          <w:rFonts w:eastAsia="Times New Roman"/>
          <w:b/>
          <w:bCs/>
          <w:i/>
          <w:iCs/>
          <w:color w:val="000000"/>
          <w:sz w:val="23"/>
          <w:szCs w:val="23"/>
          <w:lang w:eastAsia="en-AU"/>
        </w:rPr>
        <w:t>child</w:t>
      </w:r>
      <w:r w:rsidRPr="00A95E95">
        <w:rPr>
          <w:rFonts w:eastAsia="Times New Roman"/>
          <w:color w:val="000000"/>
          <w:sz w:val="23"/>
          <w:szCs w:val="23"/>
          <w:lang w:eastAsia="en-AU"/>
        </w:rPr>
        <w:t xml:space="preserve"> means a person aged under 18 years old;</w:t>
      </w:r>
    </w:p>
    <w:p w:rsidR="00A95E95" w:rsidRPr="00A95E95" w:rsidRDefault="00A95E95" w:rsidP="00A95E95">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95E95">
        <w:rPr>
          <w:rFonts w:eastAsia="Times New Roman"/>
          <w:b/>
          <w:bCs/>
          <w:i/>
          <w:iCs/>
          <w:color w:val="000000"/>
          <w:sz w:val="23"/>
          <w:szCs w:val="23"/>
          <w:lang w:eastAsia="en-AU"/>
        </w:rPr>
        <w:t>relative</w:t>
      </w:r>
      <w:r w:rsidRPr="00A95E95">
        <w:rPr>
          <w:rFonts w:eastAsia="Times New Roman"/>
          <w:color w:val="000000"/>
          <w:sz w:val="23"/>
          <w:szCs w:val="23"/>
          <w:lang w:eastAsia="en-AU"/>
        </w:rPr>
        <w:t>, of a person, means a person who is or was—</w:t>
      </w:r>
    </w:p>
    <w:p w:rsidR="00A95E95" w:rsidRPr="00A95E95" w:rsidRDefault="00A95E95" w:rsidP="00A95E9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45" w:name="id4bf345b8_10c2_45b2_a7c6_b3ee40050d5c_a"/>
      <w:r w:rsidRPr="00A95E95">
        <w:rPr>
          <w:rFonts w:eastAsia="Times New Roman"/>
          <w:color w:val="000000"/>
          <w:sz w:val="23"/>
          <w:szCs w:val="23"/>
          <w:lang w:eastAsia="en-AU"/>
        </w:rPr>
        <w:tab/>
        <w:t>(a)</w:t>
      </w:r>
      <w:r w:rsidRPr="00A95E95">
        <w:rPr>
          <w:rFonts w:eastAsia="Times New Roman"/>
          <w:color w:val="000000"/>
          <w:sz w:val="23"/>
          <w:szCs w:val="23"/>
          <w:lang w:eastAsia="en-AU"/>
        </w:rPr>
        <w:tab/>
        <w:t>related by marriage, consanguinity or adoption to the person; or</w:t>
      </w:r>
      <w:bookmarkEnd w:id="45"/>
    </w:p>
    <w:p w:rsidR="00A95E95" w:rsidRPr="00A95E95" w:rsidRDefault="00A95E95" w:rsidP="00A95E9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95E95">
        <w:rPr>
          <w:rFonts w:eastAsia="Times New Roman"/>
          <w:color w:val="000000"/>
          <w:sz w:val="23"/>
          <w:szCs w:val="23"/>
          <w:lang w:eastAsia="en-AU"/>
        </w:rPr>
        <w:tab/>
        <w:t>(b)</w:t>
      </w:r>
      <w:r w:rsidRPr="00A95E95">
        <w:rPr>
          <w:rFonts w:eastAsia="Times New Roman"/>
          <w:color w:val="000000"/>
          <w:sz w:val="23"/>
          <w:szCs w:val="23"/>
          <w:lang w:eastAsia="en-AU"/>
        </w:rPr>
        <w:tab/>
        <w:t>related through a domestic partnership to the person; or</w:t>
      </w:r>
    </w:p>
    <w:p w:rsidR="00A95E95" w:rsidRPr="00A95E95" w:rsidRDefault="00A95E95" w:rsidP="00A95E9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95E95">
        <w:rPr>
          <w:rFonts w:eastAsia="Times New Roman"/>
          <w:color w:val="000000"/>
          <w:sz w:val="23"/>
          <w:szCs w:val="23"/>
          <w:lang w:eastAsia="en-AU"/>
        </w:rPr>
        <w:tab/>
        <w:t>(c)</w:t>
      </w:r>
      <w:r w:rsidRPr="00A95E95">
        <w:rPr>
          <w:rFonts w:eastAsia="Times New Roman"/>
          <w:color w:val="000000"/>
          <w:sz w:val="23"/>
          <w:szCs w:val="23"/>
          <w:lang w:eastAsia="en-AU"/>
        </w:rPr>
        <w:tab/>
        <w:t>a step</w:t>
      </w:r>
      <w:r w:rsidRPr="00A95E95">
        <w:rPr>
          <w:rFonts w:eastAsia="Times New Roman"/>
          <w:color w:val="000000"/>
          <w:sz w:val="23"/>
          <w:szCs w:val="23"/>
          <w:lang w:eastAsia="en-AU"/>
        </w:rPr>
        <w:noBreakHyphen/>
        <w:t>child or step</w:t>
      </w:r>
      <w:r w:rsidRPr="00A95E95">
        <w:rPr>
          <w:rFonts w:eastAsia="Times New Roman"/>
          <w:color w:val="000000"/>
          <w:sz w:val="23"/>
          <w:szCs w:val="23"/>
          <w:lang w:eastAsia="en-AU"/>
        </w:rPr>
        <w:noBreakHyphen/>
        <w:t>sibling of the person (regardless of age); or</w:t>
      </w:r>
    </w:p>
    <w:p w:rsidR="00A95E95" w:rsidRPr="00A95E95" w:rsidRDefault="00A95E95" w:rsidP="00A95E9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95E95">
        <w:rPr>
          <w:rFonts w:eastAsia="Times New Roman"/>
          <w:color w:val="000000"/>
          <w:sz w:val="23"/>
          <w:szCs w:val="23"/>
          <w:lang w:eastAsia="en-AU"/>
        </w:rPr>
        <w:tab/>
        <w:t>(d)</w:t>
      </w:r>
      <w:r w:rsidRPr="00A95E95">
        <w:rPr>
          <w:rFonts w:eastAsia="Times New Roman"/>
          <w:color w:val="000000"/>
          <w:sz w:val="23"/>
          <w:szCs w:val="23"/>
          <w:lang w:eastAsia="en-AU"/>
        </w:rPr>
        <w:tab/>
        <w:t>the guardian of the person; or</w:t>
      </w:r>
    </w:p>
    <w:p w:rsidR="00A95E95" w:rsidRPr="00A95E95" w:rsidRDefault="00A95E95" w:rsidP="00A95E9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95E95">
        <w:rPr>
          <w:rFonts w:eastAsia="Times New Roman"/>
          <w:color w:val="000000"/>
          <w:sz w:val="23"/>
          <w:szCs w:val="23"/>
          <w:lang w:eastAsia="en-AU"/>
        </w:rPr>
        <w:tab/>
        <w:t>(e)</w:t>
      </w:r>
      <w:r w:rsidRPr="00A95E95">
        <w:rPr>
          <w:rFonts w:eastAsia="Times New Roman"/>
          <w:color w:val="000000"/>
          <w:sz w:val="23"/>
          <w:szCs w:val="23"/>
          <w:lang w:eastAsia="en-AU"/>
        </w:rPr>
        <w:tab/>
        <w:t xml:space="preserve">acting in </w:t>
      </w:r>
      <w:r w:rsidRPr="00A95E95">
        <w:rPr>
          <w:rFonts w:eastAsia="Times New Roman"/>
          <w:i/>
          <w:iCs/>
          <w:color w:val="000000"/>
          <w:sz w:val="23"/>
          <w:szCs w:val="23"/>
          <w:lang w:eastAsia="en-AU"/>
        </w:rPr>
        <w:t>loco parentis</w:t>
      </w:r>
      <w:r w:rsidRPr="00A95E95">
        <w:rPr>
          <w:rFonts w:eastAsia="Times New Roman"/>
          <w:color w:val="000000"/>
          <w:sz w:val="23"/>
          <w:szCs w:val="23"/>
          <w:lang w:eastAsia="en-AU"/>
        </w:rPr>
        <w:t xml:space="preserve"> in relation to the person; or</w:t>
      </w:r>
    </w:p>
    <w:p w:rsidR="00A95E95" w:rsidRPr="00A95E95" w:rsidRDefault="00A95E95" w:rsidP="00A95E9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95E95">
        <w:rPr>
          <w:rFonts w:eastAsia="Times New Roman"/>
          <w:color w:val="000000"/>
          <w:sz w:val="23"/>
          <w:szCs w:val="23"/>
          <w:lang w:eastAsia="en-AU"/>
        </w:rPr>
        <w:tab/>
        <w:t>(f)</w:t>
      </w:r>
      <w:r w:rsidRPr="00A95E95">
        <w:rPr>
          <w:rFonts w:eastAsia="Times New Roman"/>
          <w:color w:val="000000"/>
          <w:sz w:val="23"/>
          <w:szCs w:val="23"/>
          <w:lang w:eastAsia="en-AU"/>
        </w:rPr>
        <w:tab/>
        <w:t>related to the person according to Aboriginal or Torres Strait Islander kinship rules, or where both persons are members of some other culturally recognised family group; or</w:t>
      </w:r>
    </w:p>
    <w:p w:rsidR="00A95E95" w:rsidRPr="00A95E95" w:rsidRDefault="00A95E95" w:rsidP="00A95E9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95E95">
        <w:rPr>
          <w:rFonts w:eastAsia="Times New Roman"/>
          <w:color w:val="000000"/>
          <w:sz w:val="23"/>
          <w:szCs w:val="23"/>
          <w:lang w:eastAsia="en-AU"/>
        </w:rPr>
        <w:tab/>
        <w:t>(g)</w:t>
      </w:r>
      <w:r w:rsidRPr="00A95E95">
        <w:rPr>
          <w:rFonts w:eastAsia="Times New Roman"/>
          <w:color w:val="000000"/>
          <w:sz w:val="23"/>
          <w:szCs w:val="23"/>
          <w:lang w:eastAsia="en-AU"/>
        </w:rPr>
        <w:tab/>
        <w:t xml:space="preserve">a carer of the person (within the meaning of the </w:t>
      </w:r>
      <w:hyperlink r:id="rId33" w:history="1">
        <w:r w:rsidRPr="00A95E95">
          <w:rPr>
            <w:rFonts w:eastAsia="Times New Roman"/>
            <w:i/>
            <w:iCs/>
            <w:color w:val="000000"/>
            <w:sz w:val="23"/>
            <w:szCs w:val="23"/>
            <w:lang w:eastAsia="en-AU"/>
          </w:rPr>
          <w:t>Carers Recognition Act 2005</w:t>
        </w:r>
      </w:hyperlink>
      <w:r w:rsidRPr="00A95E95">
        <w:rPr>
          <w:rFonts w:eastAsia="Times New Roman"/>
          <w:color w:val="000000"/>
          <w:sz w:val="23"/>
          <w:szCs w:val="23"/>
          <w:lang w:eastAsia="en-AU"/>
        </w:rPr>
        <w:t>);</w:t>
      </w:r>
    </w:p>
    <w:p w:rsidR="00A95E95" w:rsidRPr="00A95E95" w:rsidRDefault="00A95E95" w:rsidP="00A95E95">
      <w:pPr>
        <w:keepLines/>
        <w:autoSpaceDE w:val="0"/>
        <w:autoSpaceDN w:val="0"/>
        <w:adjustRightInd w:val="0"/>
        <w:spacing w:before="120" w:after="0" w:line="240" w:lineRule="auto"/>
        <w:ind w:left="794"/>
        <w:jc w:val="left"/>
        <w:rPr>
          <w:rFonts w:eastAsia="Times New Roman"/>
          <w:color w:val="000000"/>
          <w:sz w:val="23"/>
          <w:szCs w:val="23"/>
          <w:lang w:eastAsia="en-AU"/>
        </w:rPr>
      </w:pPr>
      <w:r w:rsidRPr="00A95E95">
        <w:rPr>
          <w:rFonts w:eastAsia="Times New Roman"/>
          <w:b/>
          <w:bCs/>
          <w:i/>
          <w:iCs/>
          <w:color w:val="000000"/>
          <w:sz w:val="23"/>
          <w:szCs w:val="23"/>
          <w:lang w:eastAsia="en-AU"/>
        </w:rPr>
        <w:t>vulnerable person</w:t>
      </w:r>
      <w:r w:rsidRPr="00A95E95">
        <w:rPr>
          <w:rFonts w:eastAsia="Times New Roman"/>
          <w:color w:val="000000"/>
          <w:sz w:val="23"/>
          <w:szCs w:val="23"/>
          <w:lang w:eastAsia="en-AU"/>
        </w:rPr>
        <w:t xml:space="preserve"> means an adult person who, by reason of age, illness or disability, is unable to properly care for themselves, or protect themselves against harm or exploitation.</w:t>
      </w:r>
    </w:p>
    <w:p w:rsidR="00A95E95" w:rsidRPr="00A95E95" w:rsidRDefault="00A95E95" w:rsidP="00A95E9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95E95">
        <w:rPr>
          <w:rFonts w:eastAsia="Times New Roman"/>
          <w:b/>
          <w:bCs/>
          <w:color w:val="000000"/>
          <w:sz w:val="26"/>
          <w:szCs w:val="26"/>
          <w:lang w:eastAsia="en-AU"/>
        </w:rPr>
        <w:t xml:space="preserve">4—Meaning of </w:t>
      </w:r>
      <w:r w:rsidRPr="00A95E95">
        <w:rPr>
          <w:rFonts w:eastAsia="Times New Roman"/>
          <w:b/>
          <w:bCs/>
          <w:i/>
          <w:iCs/>
          <w:color w:val="000000"/>
          <w:sz w:val="26"/>
          <w:szCs w:val="26"/>
          <w:lang w:eastAsia="en-AU"/>
        </w:rPr>
        <w:t>corresponding law</w:t>
      </w:r>
    </w:p>
    <w:p w:rsidR="00A95E95" w:rsidRPr="00A95E95" w:rsidRDefault="00A95E95" w:rsidP="00A95E95">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95E95">
        <w:rPr>
          <w:rFonts w:eastAsia="Times New Roman"/>
          <w:color w:val="000000"/>
          <w:sz w:val="23"/>
          <w:szCs w:val="23"/>
          <w:lang w:eastAsia="en-AU"/>
        </w:rPr>
        <w:t xml:space="preserve">For the purposes of paragraph (b) of the definition of </w:t>
      </w:r>
      <w:r w:rsidRPr="00A95E95">
        <w:rPr>
          <w:rFonts w:eastAsia="Times New Roman"/>
          <w:b/>
          <w:bCs/>
          <w:i/>
          <w:iCs/>
          <w:color w:val="000000"/>
          <w:sz w:val="23"/>
          <w:szCs w:val="23"/>
          <w:lang w:eastAsia="en-AU"/>
        </w:rPr>
        <w:t>corresponding law</w:t>
      </w:r>
      <w:r w:rsidRPr="00A95E95">
        <w:rPr>
          <w:rFonts w:eastAsia="Times New Roman"/>
          <w:color w:val="000000"/>
          <w:sz w:val="23"/>
          <w:szCs w:val="23"/>
          <w:lang w:eastAsia="en-AU"/>
        </w:rPr>
        <w:t xml:space="preserve"> in section 18A(1) of the Act, the following laws are prescribed:</w:t>
      </w:r>
    </w:p>
    <w:p w:rsidR="00A95E95" w:rsidRPr="00A95E95" w:rsidRDefault="00A95E95" w:rsidP="00A95E9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95E95">
        <w:rPr>
          <w:rFonts w:eastAsia="Times New Roman"/>
          <w:color w:val="000000"/>
          <w:sz w:val="23"/>
          <w:szCs w:val="23"/>
          <w:lang w:eastAsia="en-AU"/>
        </w:rPr>
        <w:tab/>
        <w:t>(a)</w:t>
      </w:r>
      <w:r w:rsidRPr="00A95E95">
        <w:rPr>
          <w:rFonts w:eastAsia="Times New Roman"/>
          <w:color w:val="000000"/>
          <w:sz w:val="23"/>
          <w:szCs w:val="23"/>
          <w:lang w:eastAsia="en-AU"/>
        </w:rPr>
        <w:tab/>
        <w:t xml:space="preserve">the </w:t>
      </w:r>
      <w:r w:rsidRPr="00A95E95">
        <w:rPr>
          <w:rFonts w:eastAsia="Times New Roman"/>
          <w:i/>
          <w:iCs/>
          <w:color w:val="000000"/>
          <w:sz w:val="23"/>
          <w:szCs w:val="23"/>
          <w:lang w:eastAsia="en-AU"/>
        </w:rPr>
        <w:t>Working with Vulnerable People (Background Checking) Act 2011</w:t>
      </w:r>
      <w:r w:rsidRPr="00A95E95">
        <w:rPr>
          <w:rFonts w:eastAsia="Times New Roman"/>
          <w:color w:val="000000"/>
          <w:sz w:val="23"/>
          <w:szCs w:val="23"/>
          <w:lang w:eastAsia="en-AU"/>
        </w:rPr>
        <w:t xml:space="preserve"> of the Australian Capital Territory;</w:t>
      </w:r>
    </w:p>
    <w:p w:rsidR="00A95E95" w:rsidRPr="00A95E95" w:rsidRDefault="00A95E95" w:rsidP="00A95E9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95E95">
        <w:rPr>
          <w:rFonts w:eastAsia="Times New Roman"/>
          <w:color w:val="000000"/>
          <w:sz w:val="23"/>
          <w:szCs w:val="23"/>
          <w:lang w:eastAsia="en-AU"/>
        </w:rPr>
        <w:tab/>
        <w:t>(b)</w:t>
      </w:r>
      <w:r w:rsidRPr="00A95E95">
        <w:rPr>
          <w:rFonts w:eastAsia="Times New Roman"/>
          <w:color w:val="000000"/>
          <w:sz w:val="23"/>
          <w:szCs w:val="23"/>
          <w:lang w:eastAsia="en-AU"/>
        </w:rPr>
        <w:tab/>
        <w:t xml:space="preserve">the </w:t>
      </w:r>
      <w:r w:rsidRPr="00A95E95">
        <w:rPr>
          <w:rFonts w:eastAsia="Times New Roman"/>
          <w:i/>
          <w:iCs/>
          <w:color w:val="000000"/>
          <w:sz w:val="23"/>
          <w:szCs w:val="23"/>
          <w:lang w:eastAsia="en-AU"/>
        </w:rPr>
        <w:t>National Disability Insurance Scheme (Worker Checks) Act 2018</w:t>
      </w:r>
      <w:r w:rsidRPr="00A95E95">
        <w:rPr>
          <w:rFonts w:eastAsia="Times New Roman"/>
          <w:color w:val="000000"/>
          <w:sz w:val="23"/>
          <w:szCs w:val="23"/>
          <w:lang w:eastAsia="en-AU"/>
        </w:rPr>
        <w:t xml:space="preserve"> of New South Wales;</w:t>
      </w:r>
    </w:p>
    <w:p w:rsidR="00A95E95" w:rsidRPr="00A95E95" w:rsidRDefault="00A95E95" w:rsidP="00A95E9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95E95">
        <w:rPr>
          <w:rFonts w:eastAsia="Times New Roman"/>
          <w:color w:val="000000"/>
          <w:sz w:val="23"/>
          <w:szCs w:val="23"/>
          <w:lang w:eastAsia="en-AU"/>
        </w:rPr>
        <w:tab/>
        <w:t>(c)</w:t>
      </w:r>
      <w:r w:rsidRPr="00A95E95">
        <w:rPr>
          <w:rFonts w:eastAsia="Times New Roman"/>
          <w:color w:val="000000"/>
          <w:sz w:val="23"/>
          <w:szCs w:val="23"/>
          <w:lang w:eastAsia="en-AU"/>
        </w:rPr>
        <w:tab/>
        <w:t xml:space="preserve">the </w:t>
      </w:r>
      <w:r w:rsidRPr="00A95E95">
        <w:rPr>
          <w:rFonts w:eastAsia="Times New Roman"/>
          <w:i/>
          <w:iCs/>
          <w:color w:val="000000"/>
          <w:sz w:val="23"/>
          <w:szCs w:val="23"/>
          <w:lang w:eastAsia="en-AU"/>
        </w:rPr>
        <w:t>National Disability Insurance Scheme (Worker Clearance) Act 2020</w:t>
      </w:r>
      <w:r w:rsidRPr="00A95E95">
        <w:rPr>
          <w:rFonts w:eastAsia="Times New Roman"/>
          <w:color w:val="000000"/>
          <w:sz w:val="23"/>
          <w:szCs w:val="23"/>
          <w:lang w:eastAsia="en-AU"/>
        </w:rPr>
        <w:t xml:space="preserve"> of the Northern Territory;</w:t>
      </w:r>
    </w:p>
    <w:p w:rsidR="00A95E95" w:rsidRPr="00A95E95" w:rsidRDefault="00A95E95" w:rsidP="00A95E9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95E95">
        <w:rPr>
          <w:rFonts w:eastAsia="Times New Roman"/>
          <w:color w:val="000000"/>
          <w:sz w:val="23"/>
          <w:szCs w:val="23"/>
          <w:lang w:eastAsia="en-AU"/>
        </w:rPr>
        <w:tab/>
        <w:t>(d)</w:t>
      </w:r>
      <w:r w:rsidRPr="00A95E95">
        <w:rPr>
          <w:rFonts w:eastAsia="Times New Roman"/>
          <w:color w:val="000000"/>
          <w:sz w:val="23"/>
          <w:szCs w:val="23"/>
          <w:lang w:eastAsia="en-AU"/>
        </w:rPr>
        <w:tab/>
        <w:t xml:space="preserve">the </w:t>
      </w:r>
      <w:r w:rsidRPr="00A95E95">
        <w:rPr>
          <w:rFonts w:eastAsia="Times New Roman"/>
          <w:i/>
          <w:iCs/>
          <w:color w:val="000000"/>
          <w:sz w:val="23"/>
          <w:szCs w:val="23"/>
          <w:lang w:eastAsia="en-AU"/>
        </w:rPr>
        <w:t>Registration to Work with Vulnerable People Act 2013</w:t>
      </w:r>
      <w:r w:rsidRPr="00A95E95">
        <w:rPr>
          <w:rFonts w:eastAsia="Times New Roman"/>
          <w:color w:val="000000"/>
          <w:sz w:val="23"/>
          <w:szCs w:val="23"/>
          <w:lang w:eastAsia="en-AU"/>
        </w:rPr>
        <w:t xml:space="preserve"> of Tasmania;</w:t>
      </w:r>
    </w:p>
    <w:p w:rsidR="00A95E95" w:rsidRPr="00A95E95" w:rsidRDefault="00A95E95" w:rsidP="00A95E9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95E95">
        <w:rPr>
          <w:rFonts w:eastAsia="Times New Roman"/>
          <w:color w:val="000000"/>
          <w:sz w:val="23"/>
          <w:szCs w:val="23"/>
          <w:lang w:eastAsia="en-AU"/>
        </w:rPr>
        <w:tab/>
        <w:t>(e)</w:t>
      </w:r>
      <w:r w:rsidRPr="00A95E95">
        <w:rPr>
          <w:rFonts w:eastAsia="Times New Roman"/>
          <w:color w:val="000000"/>
          <w:sz w:val="23"/>
          <w:szCs w:val="23"/>
          <w:lang w:eastAsia="en-AU"/>
        </w:rPr>
        <w:tab/>
        <w:t xml:space="preserve">the </w:t>
      </w:r>
      <w:r w:rsidRPr="00A95E95">
        <w:rPr>
          <w:rFonts w:eastAsia="Times New Roman"/>
          <w:i/>
          <w:iCs/>
          <w:color w:val="000000"/>
          <w:sz w:val="23"/>
          <w:szCs w:val="23"/>
          <w:lang w:eastAsia="en-AU"/>
        </w:rPr>
        <w:t>Worker Screening Act 2020</w:t>
      </w:r>
      <w:r w:rsidRPr="00A95E95">
        <w:rPr>
          <w:rFonts w:eastAsia="Times New Roman"/>
          <w:color w:val="000000"/>
          <w:sz w:val="23"/>
          <w:szCs w:val="23"/>
          <w:lang w:eastAsia="en-AU"/>
        </w:rPr>
        <w:t xml:space="preserve"> of Victoria.</w:t>
      </w:r>
    </w:p>
    <w:p w:rsidR="00A95E95" w:rsidRPr="00A95E95" w:rsidRDefault="00A95E95" w:rsidP="00A95E9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6" w:name="id03bd6f21_ed6b_4f1d_b9c8_55c75ce5ad"/>
      <w:r w:rsidRPr="00A95E95">
        <w:rPr>
          <w:rFonts w:eastAsia="Times New Roman"/>
          <w:b/>
          <w:bCs/>
          <w:color w:val="000000"/>
          <w:sz w:val="26"/>
          <w:szCs w:val="26"/>
          <w:lang w:eastAsia="en-AU"/>
        </w:rPr>
        <w:t xml:space="preserve">5—Meaning of </w:t>
      </w:r>
      <w:r w:rsidRPr="00A95E95">
        <w:rPr>
          <w:rFonts w:eastAsia="Times New Roman"/>
          <w:b/>
          <w:bCs/>
          <w:i/>
          <w:iCs/>
          <w:color w:val="000000"/>
          <w:sz w:val="26"/>
          <w:szCs w:val="26"/>
          <w:lang w:eastAsia="en-AU"/>
        </w:rPr>
        <w:t>disqualification offence</w:t>
      </w:r>
      <w:bookmarkEnd w:id="46"/>
    </w:p>
    <w:p w:rsidR="00A95E95" w:rsidRPr="00A95E95" w:rsidRDefault="00A95E95" w:rsidP="00A95E95">
      <w:pPr>
        <w:keepLines/>
        <w:autoSpaceDE w:val="0"/>
        <w:autoSpaceDN w:val="0"/>
        <w:adjustRightInd w:val="0"/>
        <w:spacing w:before="120" w:after="0" w:line="240" w:lineRule="auto"/>
        <w:ind w:left="794"/>
        <w:jc w:val="left"/>
        <w:rPr>
          <w:rFonts w:eastAsia="Times New Roman"/>
          <w:color w:val="000000"/>
          <w:sz w:val="23"/>
          <w:szCs w:val="23"/>
          <w:lang w:eastAsia="en-AU"/>
        </w:rPr>
      </w:pPr>
      <w:r w:rsidRPr="00A95E95">
        <w:rPr>
          <w:rFonts w:eastAsia="Times New Roman"/>
          <w:color w:val="000000"/>
          <w:sz w:val="23"/>
          <w:szCs w:val="23"/>
          <w:lang w:eastAsia="en-AU"/>
        </w:rPr>
        <w:t xml:space="preserve">For the purposes of the definition of </w:t>
      </w:r>
      <w:r w:rsidRPr="00A95E95">
        <w:rPr>
          <w:rFonts w:eastAsia="Times New Roman"/>
          <w:b/>
          <w:bCs/>
          <w:i/>
          <w:iCs/>
          <w:color w:val="000000"/>
          <w:sz w:val="23"/>
          <w:szCs w:val="23"/>
          <w:lang w:eastAsia="en-AU"/>
        </w:rPr>
        <w:t>disqualification offence</w:t>
      </w:r>
      <w:r w:rsidRPr="00A95E95">
        <w:rPr>
          <w:rFonts w:eastAsia="Times New Roman"/>
          <w:color w:val="000000"/>
          <w:sz w:val="23"/>
          <w:szCs w:val="23"/>
          <w:lang w:eastAsia="en-AU"/>
        </w:rPr>
        <w:t xml:space="preserve"> in section 18A(1) of the Act, the offences set out in </w:t>
      </w:r>
      <w:hyperlink w:anchor="id8a98370a_6aba_49be_9e0b_45a837c437" w:history="1">
        <w:r w:rsidRPr="00A95E95">
          <w:rPr>
            <w:rFonts w:eastAsia="Times New Roman"/>
            <w:color w:val="000000"/>
            <w:sz w:val="23"/>
            <w:szCs w:val="23"/>
            <w:lang w:eastAsia="en-AU"/>
          </w:rPr>
          <w:t>Schedule 1</w:t>
        </w:r>
      </w:hyperlink>
      <w:r w:rsidRPr="00A95E95">
        <w:rPr>
          <w:rFonts w:eastAsia="Times New Roman"/>
          <w:color w:val="000000"/>
          <w:sz w:val="23"/>
          <w:szCs w:val="23"/>
          <w:lang w:eastAsia="en-AU"/>
        </w:rPr>
        <w:t xml:space="preserve"> are, subject to that Schedule, declared to be disqualification offences.</w:t>
      </w:r>
    </w:p>
    <w:p w:rsidR="00A95E95" w:rsidRPr="00A95E95" w:rsidRDefault="00A95E95" w:rsidP="00A95E9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95E95">
        <w:rPr>
          <w:rFonts w:eastAsia="Times New Roman"/>
          <w:b/>
          <w:bCs/>
          <w:color w:val="000000"/>
          <w:sz w:val="26"/>
          <w:szCs w:val="26"/>
          <w:lang w:eastAsia="en-AU"/>
        </w:rPr>
        <w:t xml:space="preserve">6—Meaning of </w:t>
      </w:r>
      <w:r w:rsidRPr="00A95E95">
        <w:rPr>
          <w:rFonts w:eastAsia="Times New Roman"/>
          <w:b/>
          <w:bCs/>
          <w:i/>
          <w:iCs/>
          <w:color w:val="000000"/>
          <w:sz w:val="26"/>
          <w:szCs w:val="26"/>
          <w:lang w:eastAsia="en-AU"/>
        </w:rPr>
        <w:t>presumptive disqualification offence</w:t>
      </w:r>
    </w:p>
    <w:p w:rsidR="00A95E95" w:rsidRPr="00A95E95" w:rsidRDefault="00A95E95" w:rsidP="00A95E95">
      <w:pPr>
        <w:keepLines/>
        <w:autoSpaceDE w:val="0"/>
        <w:autoSpaceDN w:val="0"/>
        <w:adjustRightInd w:val="0"/>
        <w:spacing w:before="120" w:after="0" w:line="240" w:lineRule="auto"/>
        <w:ind w:left="794"/>
        <w:jc w:val="left"/>
        <w:rPr>
          <w:rFonts w:eastAsia="Times New Roman"/>
          <w:color w:val="000000"/>
          <w:sz w:val="23"/>
          <w:szCs w:val="23"/>
          <w:lang w:eastAsia="en-AU"/>
        </w:rPr>
      </w:pPr>
      <w:r w:rsidRPr="00A95E95">
        <w:rPr>
          <w:rFonts w:eastAsia="Times New Roman"/>
          <w:color w:val="000000"/>
          <w:sz w:val="23"/>
          <w:szCs w:val="23"/>
          <w:lang w:eastAsia="en-AU"/>
        </w:rPr>
        <w:t xml:space="preserve">For the purposes of the definition of </w:t>
      </w:r>
      <w:r w:rsidRPr="00A95E95">
        <w:rPr>
          <w:rFonts w:eastAsia="Times New Roman"/>
          <w:b/>
          <w:bCs/>
          <w:i/>
          <w:iCs/>
          <w:color w:val="000000"/>
          <w:sz w:val="23"/>
          <w:szCs w:val="23"/>
          <w:lang w:eastAsia="en-AU"/>
        </w:rPr>
        <w:t>presumptive disqualification offence</w:t>
      </w:r>
      <w:r w:rsidRPr="00A95E95">
        <w:rPr>
          <w:rFonts w:eastAsia="Times New Roman"/>
          <w:color w:val="000000"/>
          <w:sz w:val="23"/>
          <w:szCs w:val="23"/>
          <w:lang w:eastAsia="en-AU"/>
        </w:rPr>
        <w:t xml:space="preserve"> in section 18A(1) of the Act, the offences set out in </w:t>
      </w:r>
      <w:hyperlink w:anchor="ide562fe31_0dcf_47ed_acc5_681a6269f1" w:history="1">
        <w:r w:rsidRPr="00A95E95">
          <w:rPr>
            <w:rFonts w:eastAsia="Times New Roman"/>
            <w:color w:val="000000"/>
            <w:sz w:val="23"/>
            <w:szCs w:val="23"/>
            <w:lang w:eastAsia="en-AU"/>
          </w:rPr>
          <w:t>Schedule 2</w:t>
        </w:r>
      </w:hyperlink>
      <w:r w:rsidRPr="00A95E95">
        <w:rPr>
          <w:rFonts w:eastAsia="Times New Roman"/>
          <w:color w:val="000000"/>
          <w:sz w:val="23"/>
          <w:szCs w:val="23"/>
          <w:lang w:eastAsia="en-AU"/>
        </w:rPr>
        <w:t xml:space="preserve"> are, subject to that Schedule, declared to be presumptive disqualification offences.</w:t>
      </w:r>
    </w:p>
    <w:p w:rsidR="006829D6" w:rsidRDefault="006829D6">
      <w:pPr>
        <w:spacing w:after="0" w:line="240" w:lineRule="auto"/>
        <w:jc w:val="left"/>
        <w:rPr>
          <w:rFonts w:eastAsia="Times New Roman"/>
          <w:b/>
          <w:bCs/>
          <w:color w:val="000000"/>
          <w:sz w:val="26"/>
          <w:szCs w:val="26"/>
          <w:lang w:eastAsia="en-AU"/>
        </w:rPr>
      </w:pPr>
      <w:r>
        <w:rPr>
          <w:rFonts w:eastAsia="Times New Roman"/>
          <w:b/>
          <w:bCs/>
          <w:color w:val="000000"/>
          <w:sz w:val="26"/>
          <w:szCs w:val="26"/>
          <w:lang w:eastAsia="en-AU"/>
        </w:rPr>
        <w:br w:type="page"/>
      </w:r>
    </w:p>
    <w:p w:rsidR="00A95E95" w:rsidRPr="00A95E95" w:rsidRDefault="00A95E95" w:rsidP="00A95E9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95E95">
        <w:rPr>
          <w:rFonts w:eastAsia="Times New Roman"/>
          <w:b/>
          <w:bCs/>
          <w:color w:val="000000"/>
          <w:sz w:val="26"/>
          <w:szCs w:val="26"/>
          <w:lang w:eastAsia="en-AU"/>
        </w:rPr>
        <w:lastRenderedPageBreak/>
        <w:t>7—Relevant laws</w:t>
      </w:r>
    </w:p>
    <w:p w:rsidR="00A95E95" w:rsidRPr="00A95E95" w:rsidRDefault="00A95E95" w:rsidP="00A95E95">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95E95">
        <w:rPr>
          <w:rFonts w:eastAsia="Times New Roman"/>
          <w:color w:val="000000"/>
          <w:sz w:val="23"/>
          <w:szCs w:val="23"/>
          <w:lang w:eastAsia="en-AU"/>
        </w:rPr>
        <w:t xml:space="preserve">For the purposes of paragraph (e) of the definition of </w:t>
      </w:r>
      <w:r w:rsidRPr="00A95E95">
        <w:rPr>
          <w:rFonts w:eastAsia="Times New Roman"/>
          <w:b/>
          <w:bCs/>
          <w:i/>
          <w:iCs/>
          <w:color w:val="000000"/>
          <w:sz w:val="23"/>
          <w:szCs w:val="23"/>
          <w:lang w:eastAsia="en-AU"/>
        </w:rPr>
        <w:t>relevant law</w:t>
      </w:r>
      <w:r w:rsidRPr="00A95E95">
        <w:rPr>
          <w:rFonts w:eastAsia="Times New Roman"/>
          <w:color w:val="000000"/>
          <w:sz w:val="23"/>
          <w:szCs w:val="23"/>
          <w:lang w:eastAsia="en-AU"/>
        </w:rPr>
        <w:t xml:space="preserve"> in section 18A(1) of the Act, the following laws are prescribed:</w:t>
      </w:r>
    </w:p>
    <w:p w:rsidR="00A95E95" w:rsidRPr="00A95E95" w:rsidRDefault="00A95E95" w:rsidP="00A95E9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95E95">
        <w:rPr>
          <w:rFonts w:eastAsia="Times New Roman"/>
          <w:color w:val="000000"/>
          <w:sz w:val="23"/>
          <w:szCs w:val="23"/>
          <w:lang w:eastAsia="en-AU"/>
        </w:rPr>
        <w:tab/>
        <w:t>(a)</w:t>
      </w:r>
      <w:r w:rsidRPr="00A95E95">
        <w:rPr>
          <w:rFonts w:eastAsia="Times New Roman"/>
          <w:color w:val="000000"/>
          <w:sz w:val="23"/>
          <w:szCs w:val="23"/>
          <w:lang w:eastAsia="en-AU"/>
        </w:rPr>
        <w:tab/>
        <w:t xml:space="preserve">the </w:t>
      </w:r>
      <w:hyperlink r:id="rId34" w:history="1">
        <w:r w:rsidRPr="00A95E95">
          <w:rPr>
            <w:rFonts w:eastAsia="Times New Roman"/>
            <w:i/>
            <w:iCs/>
            <w:color w:val="000000"/>
            <w:sz w:val="23"/>
            <w:szCs w:val="23"/>
            <w:lang w:eastAsia="en-AU"/>
          </w:rPr>
          <w:t>Children and Young People (Safety) Act 2017</w:t>
        </w:r>
      </w:hyperlink>
      <w:r w:rsidRPr="00A95E95">
        <w:rPr>
          <w:rFonts w:eastAsia="Times New Roman"/>
          <w:color w:val="000000"/>
          <w:sz w:val="23"/>
          <w:szCs w:val="23"/>
          <w:lang w:eastAsia="en-AU"/>
        </w:rPr>
        <w:t>;</w:t>
      </w:r>
    </w:p>
    <w:p w:rsidR="00A95E95" w:rsidRPr="00A95E95" w:rsidRDefault="00A95E95" w:rsidP="00A95E9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95E95">
        <w:rPr>
          <w:rFonts w:eastAsia="Times New Roman"/>
          <w:color w:val="000000"/>
          <w:sz w:val="23"/>
          <w:szCs w:val="23"/>
          <w:lang w:eastAsia="en-AU"/>
        </w:rPr>
        <w:tab/>
        <w:t>(b)</w:t>
      </w:r>
      <w:r w:rsidRPr="00A95E95">
        <w:rPr>
          <w:rFonts w:eastAsia="Times New Roman"/>
          <w:color w:val="000000"/>
          <w:sz w:val="23"/>
          <w:szCs w:val="23"/>
          <w:lang w:eastAsia="en-AU"/>
        </w:rPr>
        <w:tab/>
        <w:t xml:space="preserve">the </w:t>
      </w:r>
      <w:hyperlink r:id="rId35" w:history="1">
        <w:r w:rsidRPr="00A95E95">
          <w:rPr>
            <w:rFonts w:eastAsia="Times New Roman"/>
            <w:i/>
            <w:iCs/>
            <w:color w:val="000000"/>
            <w:sz w:val="23"/>
            <w:szCs w:val="23"/>
            <w:lang w:eastAsia="en-AU"/>
          </w:rPr>
          <w:t>Guardianship and Administration Act 1993</w:t>
        </w:r>
      </w:hyperlink>
      <w:r w:rsidRPr="00A95E95">
        <w:rPr>
          <w:rFonts w:eastAsia="Times New Roman"/>
          <w:color w:val="000000"/>
          <w:sz w:val="23"/>
          <w:szCs w:val="23"/>
          <w:lang w:eastAsia="en-AU"/>
        </w:rPr>
        <w:t>;</w:t>
      </w:r>
    </w:p>
    <w:p w:rsidR="00A95E95" w:rsidRPr="00A95E95" w:rsidRDefault="00A95E95" w:rsidP="00A95E9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95E95">
        <w:rPr>
          <w:rFonts w:eastAsia="Times New Roman"/>
          <w:color w:val="000000"/>
          <w:sz w:val="23"/>
          <w:szCs w:val="23"/>
          <w:lang w:eastAsia="en-AU"/>
        </w:rPr>
        <w:tab/>
        <w:t>(c)</w:t>
      </w:r>
      <w:r w:rsidRPr="00A95E95">
        <w:rPr>
          <w:rFonts w:eastAsia="Times New Roman"/>
          <w:color w:val="000000"/>
          <w:sz w:val="23"/>
          <w:szCs w:val="23"/>
          <w:lang w:eastAsia="en-AU"/>
        </w:rPr>
        <w:tab/>
        <w:t xml:space="preserve">the </w:t>
      </w:r>
      <w:hyperlink r:id="rId36" w:history="1">
        <w:r w:rsidRPr="00A95E95">
          <w:rPr>
            <w:rFonts w:eastAsia="Times New Roman"/>
            <w:i/>
            <w:iCs/>
            <w:color w:val="000000"/>
            <w:sz w:val="23"/>
            <w:szCs w:val="23"/>
            <w:lang w:eastAsia="en-AU"/>
          </w:rPr>
          <w:t>Ageing and Adult Safeguarding Act 1995</w:t>
        </w:r>
      </w:hyperlink>
      <w:r w:rsidRPr="00A95E95">
        <w:rPr>
          <w:rFonts w:eastAsia="Times New Roman"/>
          <w:color w:val="000000"/>
          <w:sz w:val="23"/>
          <w:szCs w:val="23"/>
          <w:lang w:eastAsia="en-AU"/>
        </w:rPr>
        <w:t>;</w:t>
      </w:r>
    </w:p>
    <w:p w:rsidR="00A95E95" w:rsidRPr="00A95E95" w:rsidRDefault="00A95E95" w:rsidP="00A95E9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95E95">
        <w:rPr>
          <w:rFonts w:eastAsia="Times New Roman"/>
          <w:color w:val="000000"/>
          <w:sz w:val="23"/>
          <w:szCs w:val="23"/>
          <w:lang w:eastAsia="en-AU"/>
        </w:rPr>
        <w:tab/>
        <w:t>(d)</w:t>
      </w:r>
      <w:r w:rsidRPr="00A95E95">
        <w:rPr>
          <w:rFonts w:eastAsia="Times New Roman"/>
          <w:color w:val="000000"/>
          <w:sz w:val="23"/>
          <w:szCs w:val="23"/>
          <w:lang w:eastAsia="en-AU"/>
        </w:rPr>
        <w:tab/>
        <w:t xml:space="preserve">a law of the Commonwealth, or another State or Territory, corresponding to the </w:t>
      </w:r>
      <w:hyperlink r:id="rId37" w:history="1">
        <w:r w:rsidRPr="00A95E95">
          <w:rPr>
            <w:rFonts w:eastAsia="Times New Roman"/>
            <w:i/>
            <w:iCs/>
            <w:color w:val="000000"/>
            <w:sz w:val="23"/>
            <w:szCs w:val="23"/>
            <w:lang w:eastAsia="en-AU"/>
          </w:rPr>
          <w:t>Children and Young People (Safety) Act 2017</w:t>
        </w:r>
      </w:hyperlink>
      <w:r w:rsidRPr="00A95E95">
        <w:rPr>
          <w:rFonts w:eastAsia="Times New Roman"/>
          <w:color w:val="000000"/>
          <w:sz w:val="23"/>
          <w:szCs w:val="23"/>
          <w:lang w:eastAsia="en-AU"/>
        </w:rPr>
        <w:t>;</w:t>
      </w:r>
    </w:p>
    <w:p w:rsidR="00A95E95" w:rsidRPr="00A95E95" w:rsidRDefault="00A95E95" w:rsidP="00A95E9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95E95">
        <w:rPr>
          <w:rFonts w:eastAsia="Times New Roman"/>
          <w:color w:val="000000"/>
          <w:sz w:val="23"/>
          <w:szCs w:val="23"/>
          <w:lang w:eastAsia="en-AU"/>
        </w:rPr>
        <w:tab/>
        <w:t>(e)</w:t>
      </w:r>
      <w:r w:rsidRPr="00A95E95">
        <w:rPr>
          <w:rFonts w:eastAsia="Times New Roman"/>
          <w:color w:val="000000"/>
          <w:sz w:val="23"/>
          <w:szCs w:val="23"/>
          <w:lang w:eastAsia="en-AU"/>
        </w:rPr>
        <w:tab/>
        <w:t xml:space="preserve">the </w:t>
      </w:r>
      <w:r w:rsidRPr="00A95E95">
        <w:rPr>
          <w:rFonts w:eastAsia="Times New Roman"/>
          <w:i/>
          <w:iCs/>
          <w:color w:val="000000"/>
          <w:sz w:val="23"/>
          <w:szCs w:val="23"/>
          <w:lang w:eastAsia="en-AU"/>
        </w:rPr>
        <w:t>Ombudsman Act 1989</w:t>
      </w:r>
      <w:r w:rsidRPr="00A95E95">
        <w:rPr>
          <w:rFonts w:eastAsia="Times New Roman"/>
          <w:color w:val="000000"/>
          <w:sz w:val="23"/>
          <w:szCs w:val="23"/>
          <w:lang w:eastAsia="en-AU"/>
        </w:rPr>
        <w:t xml:space="preserve"> of the Australian Capital Territory;</w:t>
      </w:r>
    </w:p>
    <w:p w:rsidR="00A95E95" w:rsidRPr="00A95E95" w:rsidRDefault="00A95E95" w:rsidP="00A95E9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95E95">
        <w:rPr>
          <w:rFonts w:eastAsia="Times New Roman"/>
          <w:color w:val="000000"/>
          <w:sz w:val="23"/>
          <w:szCs w:val="23"/>
          <w:lang w:eastAsia="en-AU"/>
        </w:rPr>
        <w:tab/>
        <w:t>(f)</w:t>
      </w:r>
      <w:r w:rsidRPr="00A95E95">
        <w:rPr>
          <w:rFonts w:eastAsia="Times New Roman"/>
          <w:color w:val="000000"/>
          <w:sz w:val="23"/>
          <w:szCs w:val="23"/>
          <w:lang w:eastAsia="en-AU"/>
        </w:rPr>
        <w:tab/>
        <w:t xml:space="preserve">the </w:t>
      </w:r>
      <w:r w:rsidRPr="00A95E95">
        <w:rPr>
          <w:rFonts w:eastAsia="Times New Roman"/>
          <w:i/>
          <w:iCs/>
          <w:color w:val="000000"/>
          <w:sz w:val="23"/>
          <w:szCs w:val="23"/>
          <w:lang w:eastAsia="en-AU"/>
        </w:rPr>
        <w:t>Working with Vulnerable People (Background Checking) Act 2011</w:t>
      </w:r>
      <w:r w:rsidRPr="00A95E95">
        <w:rPr>
          <w:rFonts w:eastAsia="Times New Roman"/>
          <w:color w:val="000000"/>
          <w:sz w:val="23"/>
          <w:szCs w:val="23"/>
          <w:lang w:eastAsia="en-AU"/>
        </w:rPr>
        <w:t xml:space="preserve"> of the Australian Capital Territory;</w:t>
      </w:r>
    </w:p>
    <w:p w:rsidR="00A95E95" w:rsidRPr="00A95E95" w:rsidRDefault="00A95E95" w:rsidP="00A95E9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95E95">
        <w:rPr>
          <w:rFonts w:eastAsia="Times New Roman"/>
          <w:color w:val="000000"/>
          <w:sz w:val="23"/>
          <w:szCs w:val="23"/>
          <w:lang w:eastAsia="en-AU"/>
        </w:rPr>
        <w:tab/>
        <w:t>(g)</w:t>
      </w:r>
      <w:r w:rsidRPr="00A95E95">
        <w:rPr>
          <w:rFonts w:eastAsia="Times New Roman"/>
          <w:color w:val="000000"/>
          <w:sz w:val="23"/>
          <w:szCs w:val="23"/>
          <w:lang w:eastAsia="en-AU"/>
        </w:rPr>
        <w:tab/>
        <w:t xml:space="preserve">the </w:t>
      </w:r>
      <w:r w:rsidRPr="00A95E95">
        <w:rPr>
          <w:rFonts w:eastAsia="Times New Roman"/>
          <w:i/>
          <w:iCs/>
          <w:color w:val="000000"/>
          <w:sz w:val="23"/>
          <w:szCs w:val="23"/>
          <w:lang w:eastAsia="en-AU"/>
        </w:rPr>
        <w:t>Child Protection (Working with Children) Act 1998</w:t>
      </w:r>
      <w:r w:rsidRPr="00A95E95">
        <w:rPr>
          <w:rFonts w:eastAsia="Times New Roman"/>
          <w:color w:val="000000"/>
          <w:sz w:val="23"/>
          <w:szCs w:val="23"/>
          <w:lang w:eastAsia="en-AU"/>
        </w:rPr>
        <w:t xml:space="preserve"> of New South Wales;</w:t>
      </w:r>
    </w:p>
    <w:p w:rsidR="00A95E95" w:rsidRPr="00A95E95" w:rsidRDefault="00A95E95" w:rsidP="00A95E9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95E95">
        <w:rPr>
          <w:rFonts w:eastAsia="Times New Roman"/>
          <w:color w:val="000000"/>
          <w:sz w:val="23"/>
          <w:szCs w:val="23"/>
          <w:lang w:eastAsia="en-AU"/>
        </w:rPr>
        <w:tab/>
        <w:t>(h)</w:t>
      </w:r>
      <w:r w:rsidRPr="00A95E95">
        <w:rPr>
          <w:rFonts w:eastAsia="Times New Roman"/>
          <w:color w:val="000000"/>
          <w:sz w:val="23"/>
          <w:szCs w:val="23"/>
          <w:lang w:eastAsia="en-AU"/>
        </w:rPr>
        <w:tab/>
        <w:t xml:space="preserve">the </w:t>
      </w:r>
      <w:r w:rsidRPr="00A95E95">
        <w:rPr>
          <w:rFonts w:eastAsia="Times New Roman"/>
          <w:i/>
          <w:iCs/>
          <w:color w:val="000000"/>
          <w:sz w:val="23"/>
          <w:szCs w:val="23"/>
          <w:lang w:eastAsia="en-AU"/>
        </w:rPr>
        <w:t>Ombudsman Act 1974</w:t>
      </w:r>
      <w:r w:rsidRPr="00A95E95">
        <w:rPr>
          <w:rFonts w:eastAsia="Times New Roman"/>
          <w:color w:val="000000"/>
          <w:sz w:val="23"/>
          <w:szCs w:val="23"/>
          <w:lang w:eastAsia="en-AU"/>
        </w:rPr>
        <w:t xml:space="preserve"> of New South Wales;</w:t>
      </w:r>
    </w:p>
    <w:p w:rsidR="00A95E95" w:rsidRPr="00A95E95" w:rsidRDefault="00A95E95" w:rsidP="00A95E9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95E95">
        <w:rPr>
          <w:rFonts w:eastAsia="Times New Roman"/>
          <w:color w:val="000000"/>
          <w:sz w:val="23"/>
          <w:szCs w:val="23"/>
          <w:lang w:eastAsia="en-AU"/>
        </w:rPr>
        <w:tab/>
        <w:t>(i)</w:t>
      </w:r>
      <w:r w:rsidRPr="00A95E95">
        <w:rPr>
          <w:rFonts w:eastAsia="Times New Roman"/>
          <w:color w:val="000000"/>
          <w:sz w:val="23"/>
          <w:szCs w:val="23"/>
          <w:lang w:eastAsia="en-AU"/>
        </w:rPr>
        <w:tab/>
        <w:t xml:space="preserve">the </w:t>
      </w:r>
      <w:r w:rsidRPr="00A95E95">
        <w:rPr>
          <w:rFonts w:eastAsia="Times New Roman"/>
          <w:i/>
          <w:iCs/>
          <w:color w:val="000000"/>
          <w:sz w:val="23"/>
          <w:szCs w:val="23"/>
          <w:lang w:eastAsia="en-AU"/>
        </w:rPr>
        <w:t>Care and Protection of Children Act 2007</w:t>
      </w:r>
      <w:r w:rsidRPr="00A95E95">
        <w:rPr>
          <w:rFonts w:eastAsia="Times New Roman"/>
          <w:color w:val="000000"/>
          <w:sz w:val="23"/>
          <w:szCs w:val="23"/>
          <w:lang w:eastAsia="en-AU"/>
        </w:rPr>
        <w:t xml:space="preserve"> of the Northern Territory;</w:t>
      </w:r>
    </w:p>
    <w:p w:rsidR="00A95E95" w:rsidRPr="00A95E95" w:rsidRDefault="00A95E95" w:rsidP="00A95E9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95E95">
        <w:rPr>
          <w:rFonts w:eastAsia="Times New Roman"/>
          <w:color w:val="000000"/>
          <w:sz w:val="23"/>
          <w:szCs w:val="23"/>
          <w:lang w:eastAsia="en-AU"/>
        </w:rPr>
        <w:tab/>
        <w:t>(j)</w:t>
      </w:r>
      <w:r w:rsidRPr="00A95E95">
        <w:rPr>
          <w:rFonts w:eastAsia="Times New Roman"/>
          <w:color w:val="000000"/>
          <w:sz w:val="23"/>
          <w:szCs w:val="23"/>
          <w:lang w:eastAsia="en-AU"/>
        </w:rPr>
        <w:tab/>
        <w:t xml:space="preserve">the </w:t>
      </w:r>
      <w:r w:rsidRPr="00A95E95">
        <w:rPr>
          <w:rFonts w:eastAsia="Times New Roman"/>
          <w:i/>
          <w:iCs/>
          <w:color w:val="000000"/>
          <w:sz w:val="23"/>
          <w:szCs w:val="23"/>
          <w:lang w:eastAsia="en-AU"/>
        </w:rPr>
        <w:t>Working with Children (Risk Management and Screening) Act 2000</w:t>
      </w:r>
      <w:r w:rsidRPr="00A95E95">
        <w:rPr>
          <w:rFonts w:eastAsia="Times New Roman"/>
          <w:color w:val="000000"/>
          <w:sz w:val="23"/>
          <w:szCs w:val="23"/>
          <w:lang w:eastAsia="en-AU"/>
        </w:rPr>
        <w:t xml:space="preserve"> of Queensland;</w:t>
      </w:r>
    </w:p>
    <w:p w:rsidR="00A95E95" w:rsidRPr="00A95E95" w:rsidRDefault="00A95E95" w:rsidP="00A95E9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95E95">
        <w:rPr>
          <w:rFonts w:eastAsia="Times New Roman"/>
          <w:color w:val="000000"/>
          <w:sz w:val="23"/>
          <w:szCs w:val="23"/>
          <w:lang w:eastAsia="en-AU"/>
        </w:rPr>
        <w:tab/>
        <w:t>(k)</w:t>
      </w:r>
      <w:r w:rsidRPr="00A95E95">
        <w:rPr>
          <w:rFonts w:eastAsia="Times New Roman"/>
          <w:color w:val="000000"/>
          <w:sz w:val="23"/>
          <w:szCs w:val="23"/>
          <w:lang w:eastAsia="en-AU"/>
        </w:rPr>
        <w:tab/>
        <w:t xml:space="preserve">the </w:t>
      </w:r>
      <w:r w:rsidRPr="00A95E95">
        <w:rPr>
          <w:rFonts w:eastAsia="Times New Roman"/>
          <w:i/>
          <w:iCs/>
          <w:color w:val="000000"/>
          <w:sz w:val="23"/>
          <w:szCs w:val="23"/>
          <w:lang w:eastAsia="en-AU"/>
        </w:rPr>
        <w:t>Disability Services Act 2006</w:t>
      </w:r>
      <w:r w:rsidRPr="00A95E95">
        <w:rPr>
          <w:rFonts w:eastAsia="Times New Roman"/>
          <w:color w:val="000000"/>
          <w:sz w:val="23"/>
          <w:szCs w:val="23"/>
          <w:lang w:eastAsia="en-AU"/>
        </w:rPr>
        <w:t xml:space="preserve"> of Queensland;</w:t>
      </w:r>
    </w:p>
    <w:p w:rsidR="00A95E95" w:rsidRPr="00A95E95" w:rsidRDefault="00A95E95" w:rsidP="00A95E9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95E95">
        <w:rPr>
          <w:rFonts w:eastAsia="Times New Roman"/>
          <w:color w:val="000000"/>
          <w:sz w:val="23"/>
          <w:szCs w:val="23"/>
          <w:lang w:eastAsia="en-AU"/>
        </w:rPr>
        <w:tab/>
        <w:t>(l)</w:t>
      </w:r>
      <w:r w:rsidRPr="00A95E95">
        <w:rPr>
          <w:rFonts w:eastAsia="Times New Roman"/>
          <w:color w:val="000000"/>
          <w:sz w:val="23"/>
          <w:szCs w:val="23"/>
          <w:lang w:eastAsia="en-AU"/>
        </w:rPr>
        <w:tab/>
        <w:t xml:space="preserve">the </w:t>
      </w:r>
      <w:r w:rsidRPr="00A95E95">
        <w:rPr>
          <w:rFonts w:eastAsia="Times New Roman"/>
          <w:i/>
          <w:iCs/>
          <w:color w:val="000000"/>
          <w:sz w:val="23"/>
          <w:szCs w:val="23"/>
          <w:lang w:eastAsia="en-AU"/>
        </w:rPr>
        <w:t>Registration to Work with Vulnerable People Act 2003</w:t>
      </w:r>
      <w:r w:rsidRPr="00A95E95">
        <w:rPr>
          <w:rFonts w:eastAsia="Times New Roman"/>
          <w:color w:val="000000"/>
          <w:sz w:val="23"/>
          <w:szCs w:val="23"/>
          <w:lang w:eastAsia="en-AU"/>
        </w:rPr>
        <w:t xml:space="preserve"> of Tasmania;</w:t>
      </w:r>
    </w:p>
    <w:p w:rsidR="00A95E95" w:rsidRPr="00A95E95" w:rsidRDefault="00A95E95" w:rsidP="00A95E9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95E95">
        <w:rPr>
          <w:rFonts w:eastAsia="Times New Roman"/>
          <w:color w:val="000000"/>
          <w:sz w:val="23"/>
          <w:szCs w:val="23"/>
          <w:lang w:eastAsia="en-AU"/>
        </w:rPr>
        <w:tab/>
        <w:t>(m)</w:t>
      </w:r>
      <w:r w:rsidRPr="00A95E95">
        <w:rPr>
          <w:rFonts w:eastAsia="Times New Roman"/>
          <w:color w:val="000000"/>
          <w:sz w:val="23"/>
          <w:szCs w:val="23"/>
          <w:lang w:eastAsia="en-AU"/>
        </w:rPr>
        <w:tab/>
        <w:t xml:space="preserve">the </w:t>
      </w:r>
      <w:r w:rsidRPr="00A95E95">
        <w:rPr>
          <w:rFonts w:eastAsia="Times New Roman"/>
          <w:i/>
          <w:iCs/>
          <w:color w:val="000000"/>
          <w:sz w:val="23"/>
          <w:szCs w:val="23"/>
          <w:lang w:eastAsia="en-AU"/>
        </w:rPr>
        <w:t>Working with Children Act 2005</w:t>
      </w:r>
      <w:r w:rsidRPr="00A95E95">
        <w:rPr>
          <w:rFonts w:eastAsia="Times New Roman"/>
          <w:color w:val="000000"/>
          <w:sz w:val="23"/>
          <w:szCs w:val="23"/>
          <w:lang w:eastAsia="en-AU"/>
        </w:rPr>
        <w:t xml:space="preserve"> of Victoria;</w:t>
      </w:r>
    </w:p>
    <w:p w:rsidR="00A95E95" w:rsidRPr="00A95E95" w:rsidRDefault="00A95E95" w:rsidP="00A95E9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95E95">
        <w:rPr>
          <w:rFonts w:eastAsia="Times New Roman"/>
          <w:color w:val="000000"/>
          <w:sz w:val="23"/>
          <w:szCs w:val="23"/>
          <w:lang w:eastAsia="en-AU"/>
        </w:rPr>
        <w:tab/>
        <w:t>(n)</w:t>
      </w:r>
      <w:r w:rsidRPr="00A95E95">
        <w:rPr>
          <w:rFonts w:eastAsia="Times New Roman"/>
          <w:color w:val="000000"/>
          <w:sz w:val="23"/>
          <w:szCs w:val="23"/>
          <w:lang w:eastAsia="en-AU"/>
        </w:rPr>
        <w:tab/>
        <w:t xml:space="preserve">the </w:t>
      </w:r>
      <w:r w:rsidRPr="00A95E95">
        <w:rPr>
          <w:rFonts w:eastAsia="Times New Roman"/>
          <w:i/>
          <w:iCs/>
          <w:color w:val="000000"/>
          <w:sz w:val="23"/>
          <w:szCs w:val="23"/>
          <w:lang w:eastAsia="en-AU"/>
        </w:rPr>
        <w:t>Disability Service Safeguards Act 2018</w:t>
      </w:r>
      <w:r w:rsidRPr="00A95E95">
        <w:rPr>
          <w:rFonts w:eastAsia="Times New Roman"/>
          <w:color w:val="000000"/>
          <w:sz w:val="23"/>
          <w:szCs w:val="23"/>
          <w:lang w:eastAsia="en-AU"/>
        </w:rPr>
        <w:t xml:space="preserve"> of Victoria;</w:t>
      </w:r>
    </w:p>
    <w:p w:rsidR="00A95E95" w:rsidRPr="00A95E95" w:rsidRDefault="00A95E95" w:rsidP="00A95E9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95E95">
        <w:rPr>
          <w:rFonts w:eastAsia="Times New Roman"/>
          <w:color w:val="000000"/>
          <w:sz w:val="23"/>
          <w:szCs w:val="23"/>
          <w:lang w:eastAsia="en-AU"/>
        </w:rPr>
        <w:tab/>
        <w:t>(o)</w:t>
      </w:r>
      <w:r w:rsidRPr="00A95E95">
        <w:rPr>
          <w:rFonts w:eastAsia="Times New Roman"/>
          <w:color w:val="000000"/>
          <w:sz w:val="23"/>
          <w:szCs w:val="23"/>
          <w:lang w:eastAsia="en-AU"/>
        </w:rPr>
        <w:tab/>
        <w:t xml:space="preserve">the </w:t>
      </w:r>
      <w:r w:rsidRPr="00A95E95">
        <w:rPr>
          <w:rFonts w:eastAsia="Times New Roman"/>
          <w:i/>
          <w:iCs/>
          <w:color w:val="000000"/>
          <w:sz w:val="23"/>
          <w:szCs w:val="23"/>
          <w:lang w:eastAsia="en-AU"/>
        </w:rPr>
        <w:t>Working with Children (Criminal Record Checking) Act 2004</w:t>
      </w:r>
      <w:r w:rsidRPr="00A95E95">
        <w:rPr>
          <w:rFonts w:eastAsia="Times New Roman"/>
          <w:color w:val="000000"/>
          <w:sz w:val="23"/>
          <w:szCs w:val="23"/>
          <w:lang w:eastAsia="en-AU"/>
        </w:rPr>
        <w:t xml:space="preserve"> of Western Australia;</w:t>
      </w:r>
    </w:p>
    <w:p w:rsidR="00A95E95" w:rsidRPr="00A95E95" w:rsidRDefault="00A95E95" w:rsidP="00A95E9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95E95">
        <w:rPr>
          <w:rFonts w:eastAsia="Times New Roman"/>
          <w:color w:val="000000"/>
          <w:sz w:val="23"/>
          <w:szCs w:val="23"/>
          <w:lang w:eastAsia="en-AU"/>
        </w:rPr>
        <w:tab/>
        <w:t>(p)</w:t>
      </w:r>
      <w:r w:rsidRPr="00A95E95">
        <w:rPr>
          <w:rFonts w:eastAsia="Times New Roman"/>
          <w:color w:val="000000"/>
          <w:sz w:val="23"/>
          <w:szCs w:val="23"/>
          <w:lang w:eastAsia="en-AU"/>
        </w:rPr>
        <w:tab/>
        <w:t>a previous enactment corresponding to a law referred to in a preceding paragraph.</w:t>
      </w:r>
    </w:p>
    <w:p w:rsidR="00A95E95" w:rsidRPr="00A95E95" w:rsidRDefault="00A95E95" w:rsidP="00A95E9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7" w:name="Elkera_Print_TOC9"/>
      <w:bookmarkStart w:id="48" w:name="Elkera_Print_BK9"/>
      <w:r w:rsidRPr="00A95E95">
        <w:rPr>
          <w:rFonts w:eastAsia="Times New Roman"/>
          <w:b/>
          <w:bCs/>
          <w:color w:val="000000"/>
          <w:sz w:val="26"/>
          <w:szCs w:val="26"/>
          <w:lang w:eastAsia="en-AU"/>
        </w:rPr>
        <w:t>8—Protected information</w:t>
      </w:r>
      <w:bookmarkEnd w:id="47"/>
      <w:bookmarkEnd w:id="48"/>
    </w:p>
    <w:p w:rsidR="00A95E95" w:rsidRPr="00A95E95" w:rsidRDefault="00A95E95" w:rsidP="00A95E9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95E95">
        <w:rPr>
          <w:rFonts w:eastAsia="Times New Roman"/>
          <w:color w:val="000000"/>
          <w:sz w:val="23"/>
          <w:szCs w:val="23"/>
          <w:lang w:eastAsia="en-AU"/>
        </w:rPr>
        <w:tab/>
        <w:t>(1)</w:t>
      </w:r>
      <w:r w:rsidRPr="00A95E95">
        <w:rPr>
          <w:rFonts w:eastAsia="Times New Roman"/>
          <w:color w:val="000000"/>
          <w:sz w:val="23"/>
          <w:szCs w:val="23"/>
          <w:lang w:eastAsia="en-AU"/>
        </w:rPr>
        <w:tab/>
        <w:t>The Registrar must maintain a register of all decisions to classify information as protected information.</w:t>
      </w:r>
    </w:p>
    <w:p w:rsidR="00A95E95" w:rsidRPr="00A95E95" w:rsidRDefault="00A95E95" w:rsidP="00A95E9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95E95">
        <w:rPr>
          <w:rFonts w:eastAsia="Times New Roman"/>
          <w:color w:val="000000"/>
          <w:sz w:val="23"/>
          <w:szCs w:val="23"/>
          <w:lang w:eastAsia="en-AU"/>
        </w:rPr>
        <w:tab/>
        <w:t>(2)</w:t>
      </w:r>
      <w:r w:rsidRPr="00A95E95">
        <w:rPr>
          <w:rFonts w:eastAsia="Times New Roman"/>
          <w:color w:val="000000"/>
          <w:sz w:val="23"/>
          <w:szCs w:val="23"/>
          <w:lang w:eastAsia="en-AU"/>
        </w:rPr>
        <w:tab/>
        <w:t>The register may include such information as the Registrar thinks fit.</w:t>
      </w:r>
    </w:p>
    <w:p w:rsidR="00A95E95" w:rsidRPr="00A95E95" w:rsidRDefault="00A95E95" w:rsidP="00A95E9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95E95">
        <w:rPr>
          <w:rFonts w:eastAsia="Times New Roman"/>
          <w:color w:val="000000"/>
          <w:sz w:val="23"/>
          <w:szCs w:val="23"/>
          <w:lang w:eastAsia="en-AU"/>
        </w:rPr>
        <w:tab/>
        <w:t>(3)</w:t>
      </w:r>
      <w:r w:rsidRPr="00A95E95">
        <w:rPr>
          <w:rFonts w:eastAsia="Times New Roman"/>
          <w:color w:val="000000"/>
          <w:sz w:val="23"/>
          <w:szCs w:val="23"/>
          <w:lang w:eastAsia="en-AU"/>
        </w:rPr>
        <w:tab/>
        <w:t>The register may only be inspected with the permission of the Registrar.</w:t>
      </w:r>
    </w:p>
    <w:p w:rsidR="00A95E95" w:rsidRPr="00A95E95" w:rsidRDefault="00A95E95" w:rsidP="00A95E9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9" w:name="Elkera_Print_TOC10"/>
      <w:bookmarkStart w:id="50" w:name="Elkera_Print_BK10"/>
      <w:r w:rsidRPr="00A95E95">
        <w:rPr>
          <w:rFonts w:eastAsia="Times New Roman"/>
          <w:b/>
          <w:bCs/>
          <w:color w:val="000000"/>
          <w:sz w:val="26"/>
          <w:szCs w:val="26"/>
          <w:lang w:eastAsia="en-AU"/>
        </w:rPr>
        <w:t>9—Prescribed functions and powers</w:t>
      </w:r>
      <w:bookmarkEnd w:id="49"/>
      <w:bookmarkEnd w:id="50"/>
    </w:p>
    <w:p w:rsidR="00A95E95" w:rsidRPr="00A95E95" w:rsidRDefault="00A95E95" w:rsidP="00A95E95">
      <w:pPr>
        <w:keepLines/>
        <w:autoSpaceDE w:val="0"/>
        <w:autoSpaceDN w:val="0"/>
        <w:adjustRightInd w:val="0"/>
        <w:spacing w:before="120" w:after="0" w:line="240" w:lineRule="auto"/>
        <w:ind w:left="794"/>
        <w:jc w:val="left"/>
        <w:rPr>
          <w:rFonts w:eastAsia="Times New Roman"/>
          <w:color w:val="000000"/>
          <w:sz w:val="23"/>
          <w:szCs w:val="23"/>
          <w:lang w:eastAsia="en-AU"/>
        </w:rPr>
      </w:pPr>
      <w:r w:rsidRPr="00A95E95">
        <w:rPr>
          <w:rFonts w:eastAsia="Times New Roman"/>
          <w:color w:val="000000"/>
          <w:sz w:val="23"/>
          <w:szCs w:val="23"/>
          <w:lang w:eastAsia="en-AU"/>
        </w:rPr>
        <w:t>For the purposes of section 18E(2) of the Act, the classification of information as protected information under section 18D(1) of the Act is prescribed.</w:t>
      </w:r>
    </w:p>
    <w:p w:rsidR="00A95E95" w:rsidRPr="00A95E95" w:rsidRDefault="00A95E95" w:rsidP="00A95E9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1" w:name="Elkera_Print_TOC12"/>
      <w:bookmarkStart w:id="52" w:name="idd3116cdf_2b18_4002_9d45_f791ec7063"/>
      <w:r w:rsidRPr="00A95E95">
        <w:rPr>
          <w:rFonts w:eastAsia="Times New Roman"/>
          <w:b/>
          <w:bCs/>
          <w:color w:val="000000"/>
          <w:sz w:val="26"/>
          <w:szCs w:val="26"/>
          <w:lang w:eastAsia="en-AU"/>
        </w:rPr>
        <w:t>10—Additional powers to terminate NDIS worker check clearance application</w:t>
      </w:r>
      <w:bookmarkEnd w:id="51"/>
      <w:bookmarkEnd w:id="52"/>
    </w:p>
    <w:p w:rsidR="00A95E95" w:rsidRPr="00A95E95" w:rsidRDefault="00A95E95" w:rsidP="00A95E9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53" w:name="id490d054f_878b_4a0e_a99c_fc39c682f5"/>
      <w:r w:rsidRPr="00A95E95">
        <w:rPr>
          <w:rFonts w:eastAsia="Times New Roman"/>
          <w:color w:val="000000"/>
          <w:sz w:val="23"/>
          <w:szCs w:val="23"/>
          <w:lang w:eastAsia="en-AU"/>
        </w:rPr>
        <w:tab/>
        <w:t>(1)</w:t>
      </w:r>
      <w:r w:rsidRPr="00A95E95">
        <w:rPr>
          <w:rFonts w:eastAsia="Times New Roman"/>
          <w:color w:val="000000"/>
          <w:sz w:val="23"/>
          <w:szCs w:val="23"/>
          <w:lang w:eastAsia="en-AU"/>
        </w:rPr>
        <w:tab/>
        <w:t>Pursuant to section 18G(9) of the Act, the central assessment unit may refuse or terminate an application if—</w:t>
      </w:r>
      <w:bookmarkEnd w:id="53"/>
    </w:p>
    <w:p w:rsidR="00A95E95" w:rsidRPr="00A95E95" w:rsidRDefault="00A95E95" w:rsidP="00A95E9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95E95">
        <w:rPr>
          <w:rFonts w:eastAsia="Times New Roman"/>
          <w:color w:val="000000"/>
          <w:sz w:val="23"/>
          <w:szCs w:val="23"/>
          <w:lang w:eastAsia="en-AU"/>
        </w:rPr>
        <w:tab/>
        <w:t>(a)</w:t>
      </w:r>
      <w:r w:rsidRPr="00A95E95">
        <w:rPr>
          <w:rFonts w:eastAsia="Times New Roman"/>
          <w:color w:val="000000"/>
          <w:sz w:val="23"/>
          <w:szCs w:val="23"/>
          <w:lang w:eastAsia="en-AU"/>
        </w:rPr>
        <w:tab/>
        <w:t>the application is not verified by an NDIS employer who is registered with the NDIS Commission; or</w:t>
      </w:r>
    </w:p>
    <w:p w:rsidR="006829D6" w:rsidRDefault="006829D6">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rsidR="00A95E95" w:rsidRPr="00A95E95" w:rsidRDefault="00A95E95" w:rsidP="00A95E9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95E95">
        <w:rPr>
          <w:rFonts w:eastAsia="Times New Roman"/>
          <w:color w:val="000000"/>
          <w:sz w:val="23"/>
          <w:szCs w:val="23"/>
          <w:lang w:eastAsia="en-AU"/>
        </w:rPr>
        <w:lastRenderedPageBreak/>
        <w:tab/>
        <w:t>(b)</w:t>
      </w:r>
      <w:r w:rsidRPr="00A95E95">
        <w:rPr>
          <w:rFonts w:eastAsia="Times New Roman"/>
          <w:color w:val="000000"/>
          <w:sz w:val="23"/>
          <w:szCs w:val="23"/>
          <w:lang w:eastAsia="en-AU"/>
        </w:rPr>
        <w:tab/>
        <w:t>the applicant is excluded by another jurisdiction while their application is being processed; or</w:t>
      </w:r>
    </w:p>
    <w:p w:rsidR="00A95E95" w:rsidRPr="00A95E95" w:rsidRDefault="00A95E95" w:rsidP="00A95E9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95E95">
        <w:rPr>
          <w:rFonts w:eastAsia="Times New Roman"/>
          <w:color w:val="000000"/>
          <w:sz w:val="23"/>
          <w:szCs w:val="23"/>
          <w:lang w:eastAsia="en-AU"/>
        </w:rPr>
        <w:tab/>
        <w:t>(c)</w:t>
      </w:r>
      <w:r w:rsidRPr="00A95E95">
        <w:rPr>
          <w:rFonts w:eastAsia="Times New Roman"/>
          <w:color w:val="000000"/>
          <w:sz w:val="23"/>
          <w:szCs w:val="23"/>
          <w:lang w:eastAsia="en-AU"/>
        </w:rPr>
        <w:tab/>
        <w:t>the applicant is, either at the time of application or while their application is being processed, suspended by another jurisdiction from working with people with disability (however described); or</w:t>
      </w:r>
    </w:p>
    <w:p w:rsidR="00A95E95" w:rsidRPr="00A95E95" w:rsidRDefault="00A95E95" w:rsidP="00A95E9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95E95">
        <w:rPr>
          <w:rFonts w:eastAsia="Times New Roman"/>
          <w:color w:val="000000"/>
          <w:sz w:val="23"/>
          <w:szCs w:val="23"/>
          <w:lang w:eastAsia="en-AU"/>
        </w:rPr>
        <w:tab/>
        <w:t>(d)</w:t>
      </w:r>
      <w:r w:rsidRPr="00A95E95">
        <w:rPr>
          <w:rFonts w:eastAsia="Times New Roman"/>
          <w:color w:val="000000"/>
          <w:sz w:val="23"/>
          <w:szCs w:val="23"/>
          <w:lang w:eastAsia="en-AU"/>
        </w:rPr>
        <w:tab/>
        <w:t>the applicant is not permitted to apply pursuant to section 18H of the Act.</w:t>
      </w:r>
    </w:p>
    <w:p w:rsidR="00A95E95" w:rsidRPr="00A95E95" w:rsidRDefault="00A95E95" w:rsidP="00A95E9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95E95">
        <w:rPr>
          <w:rFonts w:eastAsia="Times New Roman"/>
          <w:color w:val="000000"/>
          <w:sz w:val="23"/>
          <w:szCs w:val="23"/>
          <w:lang w:eastAsia="en-AU"/>
        </w:rPr>
        <w:tab/>
        <w:t>(2)</w:t>
      </w:r>
      <w:r w:rsidRPr="00A95E95">
        <w:rPr>
          <w:rFonts w:eastAsia="Times New Roman"/>
          <w:color w:val="000000"/>
          <w:sz w:val="23"/>
          <w:szCs w:val="23"/>
          <w:lang w:eastAsia="en-AU"/>
        </w:rPr>
        <w:tab/>
        <w:t xml:space="preserve">For the purposes of </w:t>
      </w:r>
      <w:hyperlink w:anchor="id490d054f_878b_4a0e_a99c_fc39c682f5" w:history="1">
        <w:r w:rsidRPr="00A95E95">
          <w:rPr>
            <w:rFonts w:eastAsia="Times New Roman"/>
            <w:color w:val="000000"/>
            <w:sz w:val="23"/>
            <w:szCs w:val="23"/>
            <w:lang w:eastAsia="en-AU"/>
          </w:rPr>
          <w:t>subregulation (1)</w:t>
        </w:r>
      </w:hyperlink>
      <w:r w:rsidRPr="00A95E95">
        <w:rPr>
          <w:rFonts w:eastAsia="Times New Roman"/>
          <w:color w:val="000000"/>
          <w:sz w:val="23"/>
          <w:szCs w:val="23"/>
          <w:lang w:eastAsia="en-AU"/>
        </w:rPr>
        <w:t xml:space="preserve">, a reference to an applicant being </w:t>
      </w:r>
      <w:r w:rsidRPr="00A95E95">
        <w:rPr>
          <w:rFonts w:eastAsia="Times New Roman"/>
          <w:b/>
          <w:bCs/>
          <w:i/>
          <w:iCs/>
          <w:color w:val="000000"/>
          <w:sz w:val="23"/>
          <w:szCs w:val="23"/>
          <w:lang w:eastAsia="en-AU"/>
        </w:rPr>
        <w:t>excluded</w:t>
      </w:r>
      <w:r w:rsidRPr="00A95E95">
        <w:rPr>
          <w:rFonts w:eastAsia="Times New Roman"/>
          <w:color w:val="000000"/>
          <w:sz w:val="23"/>
          <w:szCs w:val="23"/>
          <w:lang w:eastAsia="en-AU"/>
        </w:rPr>
        <w:t xml:space="preserve"> includes a reference to the applicant being prevented under the laws of the Commonwealth, or any other State or Territory, from working with people with disability (however described).</w:t>
      </w:r>
    </w:p>
    <w:p w:rsidR="00A95E95" w:rsidRPr="00A95E95" w:rsidRDefault="00A95E95" w:rsidP="00A95E9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4" w:name="Elkera_Print_TOC13"/>
      <w:bookmarkStart w:id="55" w:name="Elkera_Print_BK13"/>
      <w:r w:rsidRPr="00A95E95">
        <w:rPr>
          <w:rFonts w:eastAsia="Times New Roman"/>
          <w:b/>
          <w:bCs/>
          <w:color w:val="000000"/>
          <w:sz w:val="26"/>
          <w:szCs w:val="26"/>
          <w:lang w:eastAsia="en-AU"/>
        </w:rPr>
        <w:t>11—Requirements relating to notice of grant of NDIS worker check clearance etc</w:t>
      </w:r>
      <w:bookmarkEnd w:id="54"/>
      <w:bookmarkEnd w:id="55"/>
    </w:p>
    <w:p w:rsidR="00A95E95" w:rsidRPr="00A95E95" w:rsidRDefault="00A95E95" w:rsidP="00A95E9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95E95">
        <w:rPr>
          <w:rFonts w:eastAsia="Times New Roman"/>
          <w:color w:val="000000"/>
          <w:sz w:val="23"/>
          <w:szCs w:val="23"/>
          <w:lang w:eastAsia="en-AU"/>
        </w:rPr>
        <w:tab/>
        <w:t>(1)</w:t>
      </w:r>
      <w:r w:rsidRPr="00A95E95">
        <w:rPr>
          <w:rFonts w:eastAsia="Times New Roman"/>
          <w:color w:val="000000"/>
          <w:sz w:val="23"/>
          <w:szCs w:val="23"/>
          <w:lang w:eastAsia="en-AU"/>
        </w:rPr>
        <w:tab/>
        <w:t>For the purposes of section 18L(1) of the Act, the grant of an NDIS worker check clearance, or the issue an NDIS worker check exclusion, must comply with any relevant requirements set out in guidelines published under section 12 of the Act.</w:t>
      </w:r>
    </w:p>
    <w:p w:rsidR="00A95E95" w:rsidRPr="00A95E95" w:rsidRDefault="00A95E95" w:rsidP="00A95E9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95E95">
        <w:rPr>
          <w:rFonts w:eastAsia="Times New Roman"/>
          <w:color w:val="000000"/>
          <w:sz w:val="23"/>
          <w:szCs w:val="23"/>
          <w:lang w:eastAsia="en-AU"/>
        </w:rPr>
        <w:tab/>
        <w:t>(2)</w:t>
      </w:r>
      <w:r w:rsidRPr="00A95E95">
        <w:rPr>
          <w:rFonts w:eastAsia="Times New Roman"/>
          <w:color w:val="000000"/>
          <w:sz w:val="23"/>
          <w:szCs w:val="23"/>
          <w:lang w:eastAsia="en-AU"/>
        </w:rPr>
        <w:tab/>
        <w:t>For the purposes of section 18L(1) of the Act, a notice under that subsection must be issued as soon as is reasonably practicable after the determination to grant an NDIS worker check clearance or issue an NDIS worker check exclusion (as the case requires) is made.</w:t>
      </w:r>
    </w:p>
    <w:p w:rsidR="00A95E95" w:rsidRPr="00A95E95" w:rsidRDefault="00A95E95" w:rsidP="00A95E9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6" w:name="Elkera_Print_TOC14"/>
      <w:bookmarkStart w:id="57" w:name="Elkera_Print_BK14"/>
      <w:r w:rsidRPr="00A95E95">
        <w:rPr>
          <w:rFonts w:eastAsia="Times New Roman"/>
          <w:b/>
          <w:bCs/>
          <w:color w:val="000000"/>
          <w:sz w:val="26"/>
          <w:szCs w:val="26"/>
          <w:lang w:eastAsia="en-AU"/>
        </w:rPr>
        <w:t>12—Court to provide notice of certain findings of guilt to central assessment unit</w:t>
      </w:r>
      <w:bookmarkEnd w:id="56"/>
      <w:bookmarkEnd w:id="57"/>
    </w:p>
    <w:p w:rsidR="00A95E95" w:rsidRPr="00A95E95" w:rsidRDefault="00A95E95" w:rsidP="00A95E9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58" w:name="idc9945ca6_4f0b_46d0_828f_8499f8f699"/>
      <w:r w:rsidRPr="00A95E95">
        <w:rPr>
          <w:rFonts w:eastAsia="Times New Roman"/>
          <w:color w:val="000000"/>
          <w:sz w:val="23"/>
          <w:szCs w:val="23"/>
          <w:lang w:eastAsia="en-AU"/>
        </w:rPr>
        <w:tab/>
        <w:t>(1)</w:t>
      </w:r>
      <w:r w:rsidRPr="00A95E95">
        <w:rPr>
          <w:rFonts w:eastAsia="Times New Roman"/>
          <w:color w:val="000000"/>
          <w:sz w:val="23"/>
          <w:szCs w:val="23"/>
          <w:lang w:eastAsia="en-AU"/>
        </w:rPr>
        <w:tab/>
        <w:t>For the purposes of section 18U of the Act, the following information relating to a finding of guilt is prescribed:</w:t>
      </w:r>
      <w:bookmarkEnd w:id="58"/>
    </w:p>
    <w:p w:rsidR="00A95E95" w:rsidRPr="00A95E95" w:rsidRDefault="00A95E95" w:rsidP="00A95E9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95E95">
        <w:rPr>
          <w:rFonts w:eastAsia="Times New Roman"/>
          <w:color w:val="000000"/>
          <w:sz w:val="23"/>
          <w:szCs w:val="23"/>
          <w:lang w:eastAsia="en-AU"/>
        </w:rPr>
        <w:tab/>
        <w:t>(a)</w:t>
      </w:r>
      <w:r w:rsidRPr="00A95E95">
        <w:rPr>
          <w:rFonts w:eastAsia="Times New Roman"/>
          <w:color w:val="000000"/>
          <w:sz w:val="23"/>
          <w:szCs w:val="23"/>
          <w:lang w:eastAsia="en-AU"/>
        </w:rPr>
        <w:tab/>
        <w:t>the full name, date of birth and residential address of the person to whom the finding of guilt relates;</w:t>
      </w:r>
    </w:p>
    <w:p w:rsidR="00A95E95" w:rsidRPr="00A95E95" w:rsidRDefault="00A95E95" w:rsidP="00A95E9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95E95">
        <w:rPr>
          <w:rFonts w:eastAsia="Times New Roman"/>
          <w:color w:val="000000"/>
          <w:sz w:val="23"/>
          <w:szCs w:val="23"/>
          <w:lang w:eastAsia="en-AU"/>
        </w:rPr>
        <w:tab/>
        <w:t>(b)</w:t>
      </w:r>
      <w:r w:rsidRPr="00A95E95">
        <w:rPr>
          <w:rFonts w:eastAsia="Times New Roman"/>
          <w:color w:val="000000"/>
          <w:sz w:val="23"/>
          <w:szCs w:val="23"/>
          <w:lang w:eastAsia="en-AU"/>
        </w:rPr>
        <w:tab/>
        <w:t>the particulars of the offence of which the person was found guilty;</w:t>
      </w:r>
    </w:p>
    <w:p w:rsidR="00A95E95" w:rsidRPr="00A95E95" w:rsidRDefault="00A95E95" w:rsidP="00A95E9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95E95">
        <w:rPr>
          <w:rFonts w:eastAsia="Times New Roman"/>
          <w:color w:val="000000"/>
          <w:sz w:val="23"/>
          <w:szCs w:val="23"/>
          <w:lang w:eastAsia="en-AU"/>
        </w:rPr>
        <w:tab/>
        <w:t>(c)</w:t>
      </w:r>
      <w:r w:rsidRPr="00A95E95">
        <w:rPr>
          <w:rFonts w:eastAsia="Times New Roman"/>
          <w:color w:val="000000"/>
          <w:sz w:val="23"/>
          <w:szCs w:val="23"/>
          <w:lang w:eastAsia="en-AU"/>
        </w:rPr>
        <w:tab/>
        <w:t>the date on which the person was found guilty of the offence;</w:t>
      </w:r>
    </w:p>
    <w:p w:rsidR="00A95E95" w:rsidRPr="00A95E95" w:rsidRDefault="00A95E95" w:rsidP="00A95E9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95E95">
        <w:rPr>
          <w:rFonts w:eastAsia="Times New Roman"/>
          <w:color w:val="000000"/>
          <w:sz w:val="23"/>
          <w:szCs w:val="23"/>
          <w:lang w:eastAsia="en-AU"/>
        </w:rPr>
        <w:tab/>
        <w:t>(d)</w:t>
      </w:r>
      <w:r w:rsidRPr="00A95E95">
        <w:rPr>
          <w:rFonts w:eastAsia="Times New Roman"/>
          <w:color w:val="000000"/>
          <w:sz w:val="23"/>
          <w:szCs w:val="23"/>
          <w:lang w:eastAsia="en-AU"/>
        </w:rPr>
        <w:tab/>
        <w:t>the court that made the finding of guilt.</w:t>
      </w:r>
    </w:p>
    <w:p w:rsidR="00A95E95" w:rsidRPr="00A95E95" w:rsidRDefault="00A95E95" w:rsidP="00A95E9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95E95">
        <w:rPr>
          <w:rFonts w:eastAsia="Times New Roman"/>
          <w:color w:val="000000"/>
          <w:sz w:val="23"/>
          <w:szCs w:val="23"/>
          <w:lang w:eastAsia="en-AU"/>
        </w:rPr>
        <w:tab/>
        <w:t>(2)</w:t>
      </w:r>
      <w:r w:rsidRPr="00A95E95">
        <w:rPr>
          <w:rFonts w:eastAsia="Times New Roman"/>
          <w:color w:val="000000"/>
          <w:sz w:val="23"/>
          <w:szCs w:val="23"/>
          <w:lang w:eastAsia="en-AU"/>
        </w:rPr>
        <w:tab/>
        <w:t xml:space="preserve">For the purposes of section 18U of the act, the information prescribed by </w:t>
      </w:r>
      <w:hyperlink w:anchor="idc9945ca6_4f0b_46d0_828f_8499f8f699" w:history="1">
        <w:r w:rsidRPr="00A95E95">
          <w:rPr>
            <w:rFonts w:eastAsia="Times New Roman"/>
            <w:color w:val="000000"/>
            <w:sz w:val="23"/>
            <w:szCs w:val="23"/>
            <w:lang w:eastAsia="en-AU"/>
          </w:rPr>
          <w:t>subregulation (1)</w:t>
        </w:r>
      </w:hyperlink>
      <w:r w:rsidRPr="00A95E95">
        <w:rPr>
          <w:rFonts w:eastAsia="Times New Roman"/>
          <w:color w:val="000000"/>
          <w:sz w:val="23"/>
          <w:szCs w:val="23"/>
          <w:lang w:eastAsia="en-AU"/>
        </w:rPr>
        <w:t xml:space="preserve"> must be provided to the central assessment unit in a manner and form determined by the Registrar.</w:t>
      </w:r>
    </w:p>
    <w:p w:rsidR="00A95E95" w:rsidRPr="00A95E95" w:rsidRDefault="00A95E95" w:rsidP="00A95E9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9" w:name="Elkera_Print_TOC15"/>
      <w:bookmarkStart w:id="60" w:name="Elkera_Print_BK15"/>
      <w:r w:rsidRPr="00A95E95">
        <w:rPr>
          <w:rFonts w:eastAsia="Times New Roman"/>
          <w:b/>
          <w:bCs/>
          <w:color w:val="000000"/>
          <w:sz w:val="26"/>
          <w:szCs w:val="26"/>
          <w:lang w:eastAsia="en-AU"/>
        </w:rPr>
        <w:t>13—Commissioner of Police to provide information on charging of certain persons</w:t>
      </w:r>
      <w:bookmarkEnd w:id="59"/>
      <w:bookmarkEnd w:id="60"/>
    </w:p>
    <w:p w:rsidR="00A95E95" w:rsidRPr="00A95E95" w:rsidRDefault="00A95E95" w:rsidP="00A95E9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95E95">
        <w:rPr>
          <w:rFonts w:eastAsia="Times New Roman"/>
          <w:color w:val="000000"/>
          <w:sz w:val="23"/>
          <w:szCs w:val="23"/>
          <w:lang w:eastAsia="en-AU"/>
        </w:rPr>
        <w:tab/>
        <w:t>(1)</w:t>
      </w:r>
      <w:r w:rsidRPr="00A95E95">
        <w:rPr>
          <w:rFonts w:eastAsia="Times New Roman"/>
          <w:color w:val="000000"/>
          <w:sz w:val="23"/>
          <w:szCs w:val="23"/>
          <w:lang w:eastAsia="en-AU"/>
        </w:rPr>
        <w:tab/>
        <w:t>For the purposes of section 18V of the Act, the following information relating to a charge of a disqualification offence or presumptive disqualification offence against a person is prescribed:</w:t>
      </w:r>
    </w:p>
    <w:p w:rsidR="00A95E95" w:rsidRPr="00A95E95" w:rsidRDefault="00A95E95" w:rsidP="00A95E9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95E95">
        <w:rPr>
          <w:rFonts w:eastAsia="Times New Roman"/>
          <w:color w:val="000000"/>
          <w:sz w:val="23"/>
          <w:szCs w:val="23"/>
          <w:lang w:eastAsia="en-AU"/>
        </w:rPr>
        <w:tab/>
        <w:t>(a)</w:t>
      </w:r>
      <w:r w:rsidRPr="00A95E95">
        <w:rPr>
          <w:rFonts w:eastAsia="Times New Roman"/>
          <w:color w:val="000000"/>
          <w:sz w:val="23"/>
          <w:szCs w:val="23"/>
          <w:lang w:eastAsia="en-AU"/>
        </w:rPr>
        <w:tab/>
        <w:t>the full name, date of birth and residential address of the charged person (if known);</w:t>
      </w:r>
    </w:p>
    <w:p w:rsidR="00A95E95" w:rsidRPr="00A95E95" w:rsidRDefault="00A95E95" w:rsidP="00A95E9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95E95">
        <w:rPr>
          <w:rFonts w:eastAsia="Times New Roman"/>
          <w:color w:val="000000"/>
          <w:sz w:val="23"/>
          <w:szCs w:val="23"/>
          <w:lang w:eastAsia="en-AU"/>
        </w:rPr>
        <w:tab/>
        <w:t>(b)</w:t>
      </w:r>
      <w:r w:rsidRPr="00A95E95">
        <w:rPr>
          <w:rFonts w:eastAsia="Times New Roman"/>
          <w:color w:val="000000"/>
          <w:sz w:val="23"/>
          <w:szCs w:val="23"/>
          <w:lang w:eastAsia="en-AU"/>
        </w:rPr>
        <w:tab/>
        <w:t>particulars of the charge;</w:t>
      </w:r>
    </w:p>
    <w:p w:rsidR="00A95E95" w:rsidRPr="00A95E95" w:rsidRDefault="00A95E95" w:rsidP="00A95E9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95E95">
        <w:rPr>
          <w:rFonts w:eastAsia="Times New Roman"/>
          <w:color w:val="000000"/>
          <w:sz w:val="23"/>
          <w:szCs w:val="23"/>
          <w:lang w:eastAsia="en-AU"/>
        </w:rPr>
        <w:tab/>
        <w:t>(c)</w:t>
      </w:r>
      <w:r w:rsidRPr="00A95E95">
        <w:rPr>
          <w:rFonts w:eastAsia="Times New Roman"/>
          <w:color w:val="000000"/>
          <w:sz w:val="23"/>
          <w:szCs w:val="23"/>
          <w:lang w:eastAsia="en-AU"/>
        </w:rPr>
        <w:tab/>
        <w:t>a description of any conduct to which the charge relates (including, but not limited to whether the alleged victim was a child or an adult);</w:t>
      </w:r>
    </w:p>
    <w:p w:rsidR="00A95E95" w:rsidRPr="00A95E95" w:rsidRDefault="00A95E95" w:rsidP="00A95E9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95E95">
        <w:rPr>
          <w:rFonts w:eastAsia="Times New Roman"/>
          <w:color w:val="000000"/>
          <w:sz w:val="23"/>
          <w:szCs w:val="23"/>
          <w:lang w:eastAsia="en-AU"/>
        </w:rPr>
        <w:tab/>
        <w:t>(d)</w:t>
      </w:r>
      <w:r w:rsidRPr="00A95E95">
        <w:rPr>
          <w:rFonts w:eastAsia="Times New Roman"/>
          <w:color w:val="000000"/>
          <w:sz w:val="23"/>
          <w:szCs w:val="23"/>
          <w:lang w:eastAsia="en-AU"/>
        </w:rPr>
        <w:tab/>
        <w:t xml:space="preserve">if the charge relates to an aggravated offence under the </w:t>
      </w:r>
      <w:hyperlink r:id="rId38" w:history="1">
        <w:r w:rsidRPr="00A95E95">
          <w:rPr>
            <w:rFonts w:eastAsia="Times New Roman"/>
            <w:i/>
            <w:iCs/>
            <w:color w:val="000000"/>
            <w:sz w:val="23"/>
            <w:szCs w:val="23"/>
            <w:lang w:eastAsia="en-AU"/>
          </w:rPr>
          <w:t>Criminal Law Consolidation Act 1935</w:t>
        </w:r>
      </w:hyperlink>
      <w:r w:rsidRPr="00A95E95">
        <w:rPr>
          <w:rFonts w:eastAsia="Times New Roman"/>
          <w:color w:val="000000"/>
          <w:sz w:val="23"/>
          <w:szCs w:val="23"/>
          <w:lang w:eastAsia="en-AU"/>
        </w:rPr>
        <w:t>—the aggravating circumstances.</w:t>
      </w:r>
    </w:p>
    <w:p w:rsidR="00A95E95" w:rsidRPr="00A95E95" w:rsidRDefault="00A95E95" w:rsidP="00A95E9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95E95">
        <w:rPr>
          <w:rFonts w:eastAsia="Times New Roman"/>
          <w:color w:val="000000"/>
          <w:sz w:val="23"/>
          <w:szCs w:val="23"/>
          <w:lang w:eastAsia="en-AU"/>
        </w:rPr>
        <w:tab/>
        <w:t>(2)</w:t>
      </w:r>
      <w:r w:rsidRPr="00A95E95">
        <w:rPr>
          <w:rFonts w:eastAsia="Times New Roman"/>
          <w:color w:val="000000"/>
          <w:sz w:val="23"/>
          <w:szCs w:val="23"/>
          <w:lang w:eastAsia="en-AU"/>
        </w:rPr>
        <w:tab/>
        <w:t xml:space="preserve">For the purposes of section 18V of the act, the information prescribed by </w:t>
      </w:r>
      <w:hyperlink w:anchor="idc9945ca6_4f0b_46d0_828f_8499f8f699" w:history="1">
        <w:r w:rsidRPr="00A95E95">
          <w:rPr>
            <w:rFonts w:eastAsia="Times New Roman"/>
            <w:color w:val="000000"/>
            <w:sz w:val="23"/>
            <w:szCs w:val="23"/>
            <w:lang w:eastAsia="en-AU"/>
          </w:rPr>
          <w:t>subregulation (1)</w:t>
        </w:r>
      </w:hyperlink>
      <w:r w:rsidRPr="00A95E95">
        <w:rPr>
          <w:rFonts w:eastAsia="Times New Roman"/>
          <w:color w:val="000000"/>
          <w:sz w:val="23"/>
          <w:szCs w:val="23"/>
          <w:lang w:eastAsia="en-AU"/>
        </w:rPr>
        <w:t xml:space="preserve"> must be provided to the central assessment unit in a manner and form determined by the Registrar.</w:t>
      </w:r>
    </w:p>
    <w:p w:rsidR="00A95E95" w:rsidRPr="00A95E95" w:rsidRDefault="00A95E95" w:rsidP="00A95E9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61" w:name="Elkera_Print_TOC16"/>
      <w:bookmarkStart w:id="62" w:name="Elkera_Print_BK16"/>
      <w:r w:rsidRPr="00A95E95">
        <w:rPr>
          <w:rFonts w:eastAsia="Times New Roman"/>
          <w:b/>
          <w:bCs/>
          <w:color w:val="000000"/>
          <w:sz w:val="26"/>
          <w:szCs w:val="26"/>
          <w:lang w:eastAsia="en-AU"/>
        </w:rPr>
        <w:lastRenderedPageBreak/>
        <w:t>14—Central assessment unit may disclose etc information with other jurisdictions</w:t>
      </w:r>
      <w:bookmarkEnd w:id="61"/>
      <w:bookmarkEnd w:id="62"/>
    </w:p>
    <w:p w:rsidR="00A95E95" w:rsidRPr="00A95E95" w:rsidRDefault="00A95E95" w:rsidP="00A95E95">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95E95">
        <w:rPr>
          <w:rFonts w:eastAsia="Times New Roman"/>
          <w:color w:val="000000"/>
          <w:sz w:val="23"/>
          <w:szCs w:val="23"/>
          <w:lang w:eastAsia="en-AU"/>
        </w:rPr>
        <w:t xml:space="preserve">For the purposes of paragraph (b) of the definition of </w:t>
      </w:r>
      <w:r w:rsidRPr="00A95E95">
        <w:rPr>
          <w:rFonts w:eastAsia="Times New Roman"/>
          <w:b/>
          <w:bCs/>
          <w:i/>
          <w:iCs/>
          <w:color w:val="000000"/>
          <w:sz w:val="23"/>
          <w:szCs w:val="23"/>
          <w:lang w:eastAsia="en-AU"/>
        </w:rPr>
        <w:t>prescribed person or body</w:t>
      </w:r>
      <w:r w:rsidRPr="00A95E95">
        <w:rPr>
          <w:rFonts w:eastAsia="Times New Roman"/>
          <w:color w:val="000000"/>
          <w:sz w:val="23"/>
          <w:szCs w:val="23"/>
          <w:lang w:eastAsia="en-AU"/>
        </w:rPr>
        <w:t xml:space="preserve"> in section 18Y(3) of the Act, the following persons and bodies are prescribed:</w:t>
      </w:r>
    </w:p>
    <w:p w:rsidR="00A95E95" w:rsidRPr="00A95E95" w:rsidRDefault="00A95E95" w:rsidP="00A95E9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95E95">
        <w:rPr>
          <w:rFonts w:eastAsia="Times New Roman"/>
          <w:color w:val="000000"/>
          <w:sz w:val="23"/>
          <w:szCs w:val="23"/>
          <w:lang w:eastAsia="en-AU"/>
        </w:rPr>
        <w:tab/>
        <w:t>(a)</w:t>
      </w:r>
      <w:r w:rsidRPr="00A95E95">
        <w:rPr>
          <w:rFonts w:eastAsia="Times New Roman"/>
          <w:color w:val="000000"/>
          <w:sz w:val="23"/>
          <w:szCs w:val="23"/>
          <w:lang w:eastAsia="en-AU"/>
        </w:rPr>
        <w:tab/>
        <w:t>the NDIS Commission;</w:t>
      </w:r>
    </w:p>
    <w:p w:rsidR="00A95E95" w:rsidRPr="00A95E95" w:rsidRDefault="00A95E95" w:rsidP="00A95E9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95E95">
        <w:rPr>
          <w:rFonts w:eastAsia="Times New Roman"/>
          <w:color w:val="000000"/>
          <w:sz w:val="23"/>
          <w:szCs w:val="23"/>
          <w:lang w:eastAsia="en-AU"/>
        </w:rPr>
        <w:tab/>
        <w:t>(b)</w:t>
      </w:r>
      <w:r w:rsidRPr="00A95E95">
        <w:rPr>
          <w:rFonts w:eastAsia="Times New Roman"/>
          <w:color w:val="000000"/>
          <w:sz w:val="23"/>
          <w:szCs w:val="23"/>
          <w:lang w:eastAsia="en-AU"/>
        </w:rPr>
        <w:tab/>
        <w:t>the Australian Criminal Intelligence Commission;</w:t>
      </w:r>
    </w:p>
    <w:p w:rsidR="00A95E95" w:rsidRPr="00A95E95" w:rsidRDefault="00A95E95" w:rsidP="00A95E9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95E95">
        <w:rPr>
          <w:rFonts w:eastAsia="Times New Roman"/>
          <w:color w:val="000000"/>
          <w:sz w:val="23"/>
          <w:szCs w:val="23"/>
          <w:lang w:eastAsia="en-AU"/>
        </w:rPr>
        <w:tab/>
        <w:t>(c)</w:t>
      </w:r>
      <w:r w:rsidRPr="00A95E95">
        <w:rPr>
          <w:rFonts w:eastAsia="Times New Roman"/>
          <w:color w:val="000000"/>
          <w:sz w:val="23"/>
          <w:szCs w:val="23"/>
          <w:lang w:eastAsia="en-AU"/>
        </w:rPr>
        <w:tab/>
        <w:t>the National Disability Insurance Agency;</w:t>
      </w:r>
    </w:p>
    <w:p w:rsidR="00A95E95" w:rsidRPr="00A95E95" w:rsidRDefault="00A95E95" w:rsidP="00A95E9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95E95">
        <w:rPr>
          <w:rFonts w:eastAsia="Times New Roman"/>
          <w:color w:val="000000"/>
          <w:sz w:val="23"/>
          <w:szCs w:val="23"/>
          <w:lang w:eastAsia="en-AU"/>
        </w:rPr>
        <w:tab/>
        <w:t>(d)</w:t>
      </w:r>
      <w:r w:rsidRPr="00A95E95">
        <w:rPr>
          <w:rFonts w:eastAsia="Times New Roman"/>
          <w:color w:val="000000"/>
          <w:sz w:val="23"/>
          <w:szCs w:val="23"/>
          <w:lang w:eastAsia="en-AU"/>
        </w:rPr>
        <w:tab/>
        <w:t>the Department of Social Services of the Commonwealth.</w:t>
      </w:r>
    </w:p>
    <w:p w:rsidR="00A95E95" w:rsidRPr="00A95E95" w:rsidRDefault="00A95E95" w:rsidP="00A95E9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63" w:name="Elkera_Print_TOC17"/>
      <w:bookmarkStart w:id="64" w:name="Elkera_Print_BK17"/>
      <w:r w:rsidRPr="00A95E95">
        <w:rPr>
          <w:rFonts w:eastAsia="Times New Roman"/>
          <w:b/>
          <w:bCs/>
          <w:color w:val="000000"/>
          <w:sz w:val="26"/>
          <w:szCs w:val="26"/>
          <w:lang w:eastAsia="en-AU"/>
        </w:rPr>
        <w:t>15—Disclosure of information about offences</w:t>
      </w:r>
      <w:bookmarkEnd w:id="63"/>
      <w:bookmarkEnd w:id="64"/>
    </w:p>
    <w:p w:rsidR="00A95E95" w:rsidRPr="00A95E95" w:rsidRDefault="00A95E95" w:rsidP="00A95E95">
      <w:pPr>
        <w:keepLines/>
        <w:autoSpaceDE w:val="0"/>
        <w:autoSpaceDN w:val="0"/>
        <w:adjustRightInd w:val="0"/>
        <w:spacing w:before="120" w:after="0" w:line="240" w:lineRule="auto"/>
        <w:ind w:left="794"/>
        <w:jc w:val="left"/>
        <w:rPr>
          <w:rFonts w:eastAsia="Times New Roman"/>
          <w:color w:val="000000"/>
          <w:sz w:val="23"/>
          <w:szCs w:val="23"/>
          <w:lang w:eastAsia="en-AU"/>
        </w:rPr>
      </w:pPr>
      <w:r w:rsidRPr="00A95E95">
        <w:rPr>
          <w:rFonts w:eastAsia="Times New Roman"/>
          <w:color w:val="000000"/>
          <w:sz w:val="23"/>
          <w:szCs w:val="23"/>
          <w:lang w:eastAsia="en-AU"/>
        </w:rPr>
        <w:t xml:space="preserve">For the purposes of the definition of </w:t>
      </w:r>
      <w:r w:rsidRPr="00A95E95">
        <w:rPr>
          <w:rFonts w:eastAsia="Times New Roman"/>
          <w:b/>
          <w:bCs/>
          <w:i/>
          <w:iCs/>
          <w:color w:val="000000"/>
          <w:sz w:val="23"/>
          <w:szCs w:val="23"/>
          <w:lang w:eastAsia="en-AU"/>
        </w:rPr>
        <w:t>relevant offence</w:t>
      </w:r>
      <w:r w:rsidRPr="00A95E95">
        <w:rPr>
          <w:rFonts w:eastAsia="Times New Roman"/>
          <w:color w:val="000000"/>
          <w:sz w:val="23"/>
          <w:szCs w:val="23"/>
          <w:lang w:eastAsia="en-AU"/>
        </w:rPr>
        <w:t xml:space="preserve"> in section 18ZG(2) of the Act, any offence determined by the central assessment unit to be a relevant offence is prescribed.</w:t>
      </w:r>
    </w:p>
    <w:p w:rsidR="00A95E95" w:rsidRPr="00A95E95" w:rsidRDefault="00A95E95" w:rsidP="00A95E9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65" w:name="Elkera_Print_TOC18"/>
      <w:bookmarkStart w:id="66" w:name="Elkera_Print_BK18"/>
      <w:r w:rsidRPr="00A95E95">
        <w:rPr>
          <w:rFonts w:eastAsia="Times New Roman"/>
          <w:b/>
          <w:bCs/>
          <w:color w:val="000000"/>
          <w:sz w:val="26"/>
          <w:szCs w:val="26"/>
          <w:lang w:eastAsia="en-AU"/>
        </w:rPr>
        <w:t>16—Non-reviewable decisions</w:t>
      </w:r>
      <w:bookmarkEnd w:id="65"/>
      <w:bookmarkEnd w:id="66"/>
    </w:p>
    <w:p w:rsidR="00A95E95" w:rsidRPr="00A95E95" w:rsidRDefault="00A95E95" w:rsidP="00A95E95">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95E95">
        <w:rPr>
          <w:rFonts w:eastAsia="Times New Roman"/>
          <w:color w:val="000000"/>
          <w:sz w:val="23"/>
          <w:szCs w:val="23"/>
          <w:lang w:eastAsia="en-AU"/>
        </w:rPr>
        <w:t xml:space="preserve">For the purposes of paragraph (c) of the definition of </w:t>
      </w:r>
      <w:r w:rsidRPr="00A95E95">
        <w:rPr>
          <w:rFonts w:eastAsia="Times New Roman"/>
          <w:b/>
          <w:bCs/>
          <w:i/>
          <w:iCs/>
          <w:color w:val="000000"/>
          <w:sz w:val="23"/>
          <w:szCs w:val="23"/>
          <w:lang w:eastAsia="en-AU"/>
        </w:rPr>
        <w:t>non</w:t>
      </w:r>
      <w:r w:rsidRPr="00A95E95">
        <w:rPr>
          <w:rFonts w:eastAsia="Times New Roman"/>
          <w:b/>
          <w:bCs/>
          <w:i/>
          <w:iCs/>
          <w:color w:val="000000"/>
          <w:sz w:val="23"/>
          <w:szCs w:val="23"/>
          <w:lang w:eastAsia="en-AU"/>
        </w:rPr>
        <w:noBreakHyphen/>
        <w:t>reviewable decision</w:t>
      </w:r>
      <w:r w:rsidRPr="00A95E95">
        <w:rPr>
          <w:rFonts w:eastAsia="Times New Roman"/>
          <w:color w:val="000000"/>
          <w:sz w:val="23"/>
          <w:szCs w:val="23"/>
          <w:lang w:eastAsia="en-AU"/>
        </w:rPr>
        <w:t xml:space="preserve"> in section 18ZI(5) of the Act, the following decisions are declared to be included in the ambit of that definition:</w:t>
      </w:r>
    </w:p>
    <w:p w:rsidR="00A95E95" w:rsidRPr="00A95E95" w:rsidRDefault="00A95E95" w:rsidP="00A95E9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95E95">
        <w:rPr>
          <w:rFonts w:eastAsia="Times New Roman"/>
          <w:color w:val="000000"/>
          <w:sz w:val="23"/>
          <w:szCs w:val="23"/>
          <w:lang w:eastAsia="en-AU"/>
        </w:rPr>
        <w:tab/>
        <w:t>(a)</w:t>
      </w:r>
      <w:r w:rsidRPr="00A95E95">
        <w:rPr>
          <w:rFonts w:eastAsia="Times New Roman"/>
          <w:color w:val="000000"/>
          <w:sz w:val="23"/>
          <w:szCs w:val="23"/>
          <w:lang w:eastAsia="en-AU"/>
        </w:rPr>
        <w:tab/>
        <w:t>a decision to refuse to grant a clearance under section 18I(2) of the Act;</w:t>
      </w:r>
    </w:p>
    <w:p w:rsidR="00A95E95" w:rsidRPr="00A95E95" w:rsidRDefault="00A95E95" w:rsidP="00A95E9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95E95">
        <w:rPr>
          <w:rFonts w:eastAsia="Times New Roman"/>
          <w:color w:val="000000"/>
          <w:sz w:val="23"/>
          <w:szCs w:val="23"/>
          <w:lang w:eastAsia="en-AU"/>
        </w:rPr>
        <w:tab/>
        <w:t>(b)</w:t>
      </w:r>
      <w:r w:rsidRPr="00A95E95">
        <w:rPr>
          <w:rFonts w:eastAsia="Times New Roman"/>
          <w:color w:val="000000"/>
          <w:sz w:val="23"/>
          <w:szCs w:val="23"/>
          <w:lang w:eastAsia="en-AU"/>
        </w:rPr>
        <w:tab/>
        <w:t>a decision to cancel a clearance under section 18S(2) of the Act;</w:t>
      </w:r>
    </w:p>
    <w:p w:rsidR="00A95E95" w:rsidRPr="00A95E95" w:rsidRDefault="00A95E95" w:rsidP="00A95E9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95E95">
        <w:rPr>
          <w:rFonts w:eastAsia="Times New Roman"/>
          <w:color w:val="000000"/>
          <w:sz w:val="23"/>
          <w:szCs w:val="23"/>
          <w:lang w:eastAsia="en-AU"/>
        </w:rPr>
        <w:tab/>
        <w:t>(c)</w:t>
      </w:r>
      <w:r w:rsidRPr="00A95E95">
        <w:rPr>
          <w:rFonts w:eastAsia="Times New Roman"/>
          <w:color w:val="000000"/>
          <w:sz w:val="23"/>
          <w:szCs w:val="23"/>
          <w:lang w:eastAsia="en-AU"/>
        </w:rPr>
        <w:tab/>
        <w:t>a decision to terminate an application for a clearance or cancel a clearance under section 18W of the Act;</w:t>
      </w:r>
    </w:p>
    <w:p w:rsidR="00A95E95" w:rsidRPr="00A95E95" w:rsidRDefault="00A95E95" w:rsidP="00A95E9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95E95">
        <w:rPr>
          <w:rFonts w:eastAsia="Times New Roman"/>
          <w:color w:val="000000"/>
          <w:sz w:val="23"/>
          <w:szCs w:val="23"/>
          <w:lang w:eastAsia="en-AU"/>
        </w:rPr>
        <w:tab/>
        <w:t>(d)</w:t>
      </w:r>
      <w:r w:rsidRPr="00A95E95">
        <w:rPr>
          <w:rFonts w:eastAsia="Times New Roman"/>
          <w:color w:val="000000"/>
          <w:sz w:val="23"/>
          <w:szCs w:val="23"/>
          <w:lang w:eastAsia="en-AU"/>
        </w:rPr>
        <w:tab/>
        <w:t xml:space="preserve">a decision to terminate an application under </w:t>
      </w:r>
      <w:hyperlink w:anchor="id490d054f_878b_4a0e_a99c_fc39c682f5" w:history="1">
        <w:r w:rsidRPr="00A95E95">
          <w:rPr>
            <w:rFonts w:eastAsia="Times New Roman"/>
            <w:color w:val="000000"/>
            <w:sz w:val="23"/>
            <w:szCs w:val="23"/>
            <w:lang w:eastAsia="en-AU"/>
          </w:rPr>
          <w:t>regulation 10(1)</w:t>
        </w:r>
      </w:hyperlink>
      <w:r w:rsidRPr="00A95E95">
        <w:rPr>
          <w:rFonts w:eastAsia="Times New Roman"/>
          <w:color w:val="000000"/>
          <w:sz w:val="23"/>
          <w:szCs w:val="23"/>
          <w:lang w:eastAsia="en-AU"/>
        </w:rPr>
        <w:t>.</w:t>
      </w:r>
    </w:p>
    <w:p w:rsidR="00A95E95" w:rsidRPr="00A95E95" w:rsidRDefault="00A95E95" w:rsidP="00A95E9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67" w:name="Elkera_Print_TOC19"/>
      <w:bookmarkStart w:id="68" w:name="Elkera_Print_BK19"/>
      <w:r w:rsidRPr="00A95E95">
        <w:rPr>
          <w:rFonts w:eastAsia="Times New Roman"/>
          <w:b/>
          <w:bCs/>
          <w:color w:val="000000"/>
          <w:sz w:val="26"/>
          <w:szCs w:val="26"/>
          <w:lang w:eastAsia="en-AU"/>
        </w:rPr>
        <w:t>17—Minister may establish advisory panel</w:t>
      </w:r>
      <w:bookmarkEnd w:id="67"/>
      <w:bookmarkEnd w:id="68"/>
    </w:p>
    <w:p w:rsidR="00A95E95" w:rsidRPr="00A95E95" w:rsidRDefault="00A95E95" w:rsidP="00A95E9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95E95">
        <w:rPr>
          <w:rFonts w:eastAsia="Times New Roman"/>
          <w:color w:val="000000"/>
          <w:sz w:val="23"/>
          <w:szCs w:val="23"/>
          <w:lang w:eastAsia="en-AU"/>
        </w:rPr>
        <w:tab/>
        <w:t>(1)</w:t>
      </w:r>
      <w:r w:rsidRPr="00A95E95">
        <w:rPr>
          <w:rFonts w:eastAsia="Times New Roman"/>
          <w:color w:val="000000"/>
          <w:sz w:val="23"/>
          <w:szCs w:val="23"/>
          <w:lang w:eastAsia="en-AU"/>
        </w:rPr>
        <w:tab/>
        <w:t>For the purposes of section 18ZP(2) of the Act, the Minister may establish an advisory panel to assist the central assessment unit in the performance of its functions under Part 5A of the Act.</w:t>
      </w:r>
    </w:p>
    <w:p w:rsidR="00A95E95" w:rsidRPr="00A95E95" w:rsidRDefault="00A95E95" w:rsidP="00A95E9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95E95">
        <w:rPr>
          <w:rFonts w:eastAsia="Times New Roman"/>
          <w:color w:val="000000"/>
          <w:sz w:val="23"/>
          <w:szCs w:val="23"/>
          <w:lang w:eastAsia="en-AU"/>
        </w:rPr>
        <w:tab/>
        <w:t>(2)</w:t>
      </w:r>
      <w:r w:rsidRPr="00A95E95">
        <w:rPr>
          <w:rFonts w:eastAsia="Times New Roman"/>
          <w:color w:val="000000"/>
          <w:sz w:val="23"/>
          <w:szCs w:val="23"/>
          <w:lang w:eastAsia="en-AU"/>
        </w:rPr>
        <w:tab/>
        <w:t>The advisory panel consists of such members as the Minister thinks fit.</w:t>
      </w:r>
    </w:p>
    <w:p w:rsidR="00A95E95" w:rsidRPr="00A95E95" w:rsidRDefault="00A95E95" w:rsidP="00A95E9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95E95">
        <w:rPr>
          <w:rFonts w:eastAsia="Times New Roman"/>
          <w:color w:val="000000"/>
          <w:sz w:val="23"/>
          <w:szCs w:val="23"/>
          <w:lang w:eastAsia="en-AU"/>
        </w:rPr>
        <w:tab/>
        <w:t>(3)</w:t>
      </w:r>
      <w:r w:rsidRPr="00A95E95">
        <w:rPr>
          <w:rFonts w:eastAsia="Times New Roman"/>
          <w:color w:val="000000"/>
          <w:sz w:val="23"/>
          <w:szCs w:val="23"/>
          <w:lang w:eastAsia="en-AU"/>
        </w:rPr>
        <w:tab/>
        <w:t>A member of the advisory panel will hold office for a term, and on conditions, determined by the Minister.</w:t>
      </w:r>
    </w:p>
    <w:p w:rsidR="00A95E95" w:rsidRPr="00A95E95" w:rsidRDefault="00A95E95" w:rsidP="00A95E9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95E95">
        <w:rPr>
          <w:rFonts w:eastAsia="Times New Roman"/>
          <w:color w:val="000000"/>
          <w:sz w:val="23"/>
          <w:szCs w:val="23"/>
          <w:lang w:eastAsia="en-AU"/>
        </w:rPr>
        <w:tab/>
        <w:t>(4)</w:t>
      </w:r>
      <w:r w:rsidRPr="00A95E95">
        <w:rPr>
          <w:rFonts w:eastAsia="Times New Roman"/>
          <w:color w:val="000000"/>
          <w:sz w:val="23"/>
          <w:szCs w:val="23"/>
          <w:lang w:eastAsia="en-AU"/>
        </w:rPr>
        <w:tab/>
        <w:t>A member of the advisory panel (not being a member who is a member of the Public Service) is entitled to such allowances and expenses as may be determined by the Minister.</w:t>
      </w:r>
    </w:p>
    <w:p w:rsidR="00A95E95" w:rsidRPr="00A95E95" w:rsidRDefault="00A95E95" w:rsidP="00A95E9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95E95">
        <w:rPr>
          <w:rFonts w:eastAsia="Times New Roman"/>
          <w:color w:val="000000"/>
          <w:sz w:val="23"/>
          <w:szCs w:val="23"/>
          <w:lang w:eastAsia="en-AU"/>
        </w:rPr>
        <w:tab/>
        <w:t>(5)</w:t>
      </w:r>
      <w:r w:rsidRPr="00A95E95">
        <w:rPr>
          <w:rFonts w:eastAsia="Times New Roman"/>
          <w:color w:val="000000"/>
          <w:sz w:val="23"/>
          <w:szCs w:val="23"/>
          <w:lang w:eastAsia="en-AU"/>
        </w:rPr>
        <w:tab/>
        <w:t>Subject to any direction of the Minister, the advisory panel may determine its own procedures.</w:t>
      </w:r>
    </w:p>
    <w:p w:rsidR="00A95E95" w:rsidRPr="00A95E95" w:rsidRDefault="00A95E95" w:rsidP="00A95E9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69" w:name="Elkera_Print_TOC20"/>
      <w:bookmarkStart w:id="70" w:name="Elkera_Print_BK20"/>
      <w:r w:rsidRPr="00A95E95">
        <w:rPr>
          <w:rFonts w:eastAsia="Times New Roman"/>
          <w:b/>
          <w:bCs/>
          <w:color w:val="000000"/>
          <w:sz w:val="26"/>
          <w:szCs w:val="26"/>
          <w:lang w:eastAsia="en-AU"/>
        </w:rPr>
        <w:t>18—Requirement to notify central assessment unit of change of particulars</w:t>
      </w:r>
      <w:bookmarkEnd w:id="69"/>
      <w:bookmarkEnd w:id="70"/>
    </w:p>
    <w:p w:rsidR="00A95E95" w:rsidRPr="00A95E95" w:rsidRDefault="00A95E95" w:rsidP="00A95E9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95E95">
        <w:rPr>
          <w:rFonts w:eastAsia="Times New Roman"/>
          <w:color w:val="000000"/>
          <w:sz w:val="23"/>
          <w:szCs w:val="23"/>
          <w:lang w:eastAsia="en-AU"/>
        </w:rPr>
        <w:tab/>
        <w:t>(1)</w:t>
      </w:r>
      <w:r w:rsidRPr="00A95E95">
        <w:rPr>
          <w:rFonts w:eastAsia="Times New Roman"/>
          <w:color w:val="000000"/>
          <w:sz w:val="23"/>
          <w:szCs w:val="23"/>
          <w:lang w:eastAsia="en-AU"/>
        </w:rPr>
        <w:tab/>
        <w:t>The holder of an NDIS worker check clearance must notify the central assessment unit in a form approved by the central assessment unit of any relevant change of particulars within 3 months of the change occurring.</w:t>
      </w:r>
    </w:p>
    <w:p w:rsidR="00A95E95" w:rsidRPr="00A95E95" w:rsidRDefault="00A95E95" w:rsidP="00A95E95">
      <w:pPr>
        <w:keepLines/>
        <w:autoSpaceDE w:val="0"/>
        <w:autoSpaceDN w:val="0"/>
        <w:adjustRightInd w:val="0"/>
        <w:spacing w:before="80" w:after="0" w:line="240" w:lineRule="auto"/>
        <w:ind w:left="794"/>
        <w:jc w:val="left"/>
        <w:rPr>
          <w:rFonts w:eastAsia="Times New Roman"/>
          <w:color w:val="000000"/>
          <w:sz w:val="23"/>
          <w:szCs w:val="23"/>
          <w:lang w:eastAsia="en-AU"/>
        </w:rPr>
      </w:pPr>
      <w:r w:rsidRPr="00A95E95">
        <w:rPr>
          <w:rFonts w:eastAsia="Times New Roman"/>
          <w:color w:val="000000"/>
          <w:sz w:val="23"/>
          <w:szCs w:val="23"/>
          <w:lang w:eastAsia="en-AU"/>
        </w:rPr>
        <w:t>Maximum penalty: $50 000.</w:t>
      </w:r>
    </w:p>
    <w:p w:rsidR="00A95E95" w:rsidRPr="00A95E95" w:rsidRDefault="00A95E95" w:rsidP="00A95E9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95E95">
        <w:rPr>
          <w:rFonts w:eastAsia="Times New Roman"/>
          <w:color w:val="000000"/>
          <w:sz w:val="23"/>
          <w:szCs w:val="23"/>
          <w:lang w:eastAsia="en-AU"/>
        </w:rPr>
        <w:tab/>
        <w:t>(2)</w:t>
      </w:r>
      <w:r w:rsidRPr="00A95E95">
        <w:rPr>
          <w:rFonts w:eastAsia="Times New Roman"/>
          <w:color w:val="000000"/>
          <w:sz w:val="23"/>
          <w:szCs w:val="23"/>
          <w:lang w:eastAsia="en-AU"/>
        </w:rPr>
        <w:tab/>
        <w:t>In this section—</w:t>
      </w:r>
    </w:p>
    <w:p w:rsidR="00A95E95" w:rsidRPr="00A95E95" w:rsidRDefault="00A95E95" w:rsidP="00A95E95">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95E95">
        <w:rPr>
          <w:rFonts w:eastAsia="Times New Roman"/>
          <w:b/>
          <w:bCs/>
          <w:i/>
          <w:iCs/>
          <w:color w:val="000000"/>
          <w:sz w:val="23"/>
          <w:szCs w:val="23"/>
          <w:lang w:eastAsia="en-AU"/>
        </w:rPr>
        <w:t>relevant change of particulars</w:t>
      </w:r>
      <w:r w:rsidRPr="00A95E95">
        <w:rPr>
          <w:rFonts w:eastAsia="Times New Roman"/>
          <w:color w:val="000000"/>
          <w:sz w:val="23"/>
          <w:szCs w:val="23"/>
          <w:lang w:eastAsia="en-AU"/>
        </w:rPr>
        <w:t xml:space="preserve"> means—</w:t>
      </w:r>
    </w:p>
    <w:p w:rsidR="00A95E95" w:rsidRPr="00A95E95" w:rsidRDefault="00A95E95" w:rsidP="00A95E9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95E95">
        <w:rPr>
          <w:rFonts w:eastAsia="Times New Roman"/>
          <w:color w:val="000000"/>
          <w:sz w:val="23"/>
          <w:szCs w:val="23"/>
          <w:lang w:eastAsia="en-AU"/>
        </w:rPr>
        <w:tab/>
        <w:t>(a)</w:t>
      </w:r>
      <w:r w:rsidRPr="00A95E95">
        <w:rPr>
          <w:rFonts w:eastAsia="Times New Roman"/>
          <w:color w:val="000000"/>
          <w:sz w:val="23"/>
          <w:szCs w:val="23"/>
          <w:lang w:eastAsia="en-AU"/>
        </w:rPr>
        <w:tab/>
        <w:t>a change in the holder's name, residential address or contact details; or</w:t>
      </w:r>
    </w:p>
    <w:p w:rsidR="00A95E95" w:rsidRPr="00A95E95" w:rsidRDefault="00A95E95" w:rsidP="00A95E9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95E95">
        <w:rPr>
          <w:rFonts w:eastAsia="Times New Roman"/>
          <w:color w:val="000000"/>
          <w:sz w:val="23"/>
          <w:szCs w:val="23"/>
          <w:lang w:eastAsia="en-AU"/>
        </w:rPr>
        <w:tab/>
        <w:t>(b)</w:t>
      </w:r>
      <w:r w:rsidRPr="00A95E95">
        <w:rPr>
          <w:rFonts w:eastAsia="Times New Roman"/>
          <w:color w:val="000000"/>
          <w:sz w:val="23"/>
          <w:szCs w:val="23"/>
          <w:lang w:eastAsia="en-AU"/>
        </w:rPr>
        <w:tab/>
        <w:t>the use of another name or names by the holder.</w:t>
      </w:r>
    </w:p>
    <w:p w:rsidR="00A95E95" w:rsidRPr="00A95E95" w:rsidRDefault="00A95E95" w:rsidP="00A95E95">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71" w:name="Elkera_Print_TOC22"/>
      <w:bookmarkStart w:id="72" w:name="id8a98370a_6aba_49be_9e0b_45a837c437"/>
      <w:r w:rsidRPr="00A95E95">
        <w:rPr>
          <w:rFonts w:eastAsia="Times New Roman"/>
          <w:b/>
          <w:bCs/>
          <w:color w:val="000000"/>
          <w:sz w:val="32"/>
          <w:szCs w:val="32"/>
          <w:lang w:eastAsia="en-AU"/>
        </w:rPr>
        <w:lastRenderedPageBreak/>
        <w:t>Schedule 1—Disqualification offences</w:t>
      </w:r>
      <w:bookmarkEnd w:id="71"/>
      <w:bookmarkEnd w:id="72"/>
    </w:p>
    <w:p w:rsidR="00A95E95" w:rsidRPr="00A95E95" w:rsidRDefault="00A95E95" w:rsidP="00A95E9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73" w:name="Elkera_Print_TOC24"/>
      <w:bookmarkStart w:id="74" w:name="id7af863ac_eb48_403d_a860_a0c30887f0"/>
      <w:r w:rsidRPr="00A95E95">
        <w:rPr>
          <w:rFonts w:eastAsia="Times New Roman"/>
          <w:b/>
          <w:bCs/>
          <w:color w:val="000000"/>
          <w:sz w:val="26"/>
          <w:szCs w:val="26"/>
          <w:lang w:eastAsia="en-AU"/>
        </w:rPr>
        <w:t>1—Disqualification offences</w:t>
      </w:r>
      <w:bookmarkEnd w:id="73"/>
      <w:bookmarkEnd w:id="74"/>
    </w:p>
    <w:p w:rsidR="00A95E95" w:rsidRPr="00A95E95" w:rsidRDefault="00A95E95" w:rsidP="00A95E9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95E95">
        <w:rPr>
          <w:rFonts w:eastAsia="Times New Roman"/>
          <w:color w:val="000000"/>
          <w:sz w:val="23"/>
          <w:szCs w:val="23"/>
          <w:lang w:eastAsia="en-AU"/>
        </w:rPr>
        <w:tab/>
        <w:t>(1)</w:t>
      </w:r>
      <w:r w:rsidRPr="00A95E95">
        <w:rPr>
          <w:rFonts w:eastAsia="Times New Roman"/>
          <w:color w:val="000000"/>
          <w:sz w:val="23"/>
          <w:szCs w:val="23"/>
          <w:lang w:eastAsia="en-AU"/>
        </w:rPr>
        <w:tab/>
        <w:t xml:space="preserve">Subject to this clause, the offences listed in the table in </w:t>
      </w:r>
      <w:hyperlink w:anchor="id76cfae4e_4023_47a6_bba3_f74d9993a5" w:history="1">
        <w:r w:rsidRPr="00A95E95">
          <w:rPr>
            <w:rFonts w:eastAsia="Times New Roman"/>
            <w:color w:val="000000"/>
            <w:sz w:val="23"/>
            <w:szCs w:val="23"/>
            <w:lang w:eastAsia="en-AU"/>
          </w:rPr>
          <w:t>clause 2</w:t>
        </w:r>
      </w:hyperlink>
      <w:r w:rsidRPr="00A95E95">
        <w:rPr>
          <w:rFonts w:eastAsia="Times New Roman"/>
          <w:color w:val="000000"/>
          <w:sz w:val="23"/>
          <w:szCs w:val="23"/>
          <w:lang w:eastAsia="en-AU"/>
        </w:rPr>
        <w:t xml:space="preserve"> are disqualification offences.</w:t>
      </w:r>
    </w:p>
    <w:p w:rsidR="00A95E95" w:rsidRPr="00A95E95" w:rsidRDefault="00A95E95" w:rsidP="00A95E9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75" w:name="id98b0a996_3f7e_4859_a110_01958b6fe9"/>
      <w:r w:rsidRPr="00A95E95">
        <w:rPr>
          <w:rFonts w:eastAsia="Times New Roman"/>
          <w:color w:val="000000"/>
          <w:sz w:val="23"/>
          <w:szCs w:val="23"/>
          <w:lang w:eastAsia="en-AU"/>
        </w:rPr>
        <w:tab/>
        <w:t>(2)</w:t>
      </w:r>
      <w:r w:rsidRPr="00A95E95">
        <w:rPr>
          <w:rFonts w:eastAsia="Times New Roman"/>
          <w:color w:val="000000"/>
          <w:sz w:val="23"/>
          <w:szCs w:val="23"/>
          <w:lang w:eastAsia="en-AU"/>
        </w:rPr>
        <w:tab/>
        <w:t>If there is a reference to condition A in column 3 of the table in respect of a particular offence, the offence will only be taken to be a disqualification offence if the victim of the offence was a child or vulnerable person, or the offence involved a child or vulnerable person.</w:t>
      </w:r>
      <w:bookmarkEnd w:id="75"/>
    </w:p>
    <w:p w:rsidR="00A95E95" w:rsidRPr="00A95E95" w:rsidRDefault="00A95E95" w:rsidP="00A95E95">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A95E95">
        <w:rPr>
          <w:rFonts w:eastAsia="Times New Roman"/>
          <w:b/>
          <w:bCs/>
          <w:color w:val="000000"/>
          <w:sz w:val="20"/>
          <w:szCs w:val="20"/>
          <w:lang w:eastAsia="en-AU"/>
        </w:rPr>
        <w:t>Note—</w:t>
      </w:r>
    </w:p>
    <w:p w:rsidR="00A95E95" w:rsidRPr="00A95E95" w:rsidRDefault="00A95E95" w:rsidP="00A95E95">
      <w:pPr>
        <w:keepLines/>
        <w:autoSpaceDE w:val="0"/>
        <w:autoSpaceDN w:val="0"/>
        <w:adjustRightInd w:val="0"/>
        <w:spacing w:before="120" w:after="0" w:line="240" w:lineRule="auto"/>
        <w:ind w:left="1588"/>
        <w:jc w:val="left"/>
        <w:rPr>
          <w:rFonts w:eastAsia="Times New Roman"/>
          <w:color w:val="000000"/>
          <w:sz w:val="20"/>
          <w:szCs w:val="20"/>
          <w:lang w:eastAsia="en-AU"/>
        </w:rPr>
      </w:pPr>
      <w:r w:rsidRPr="00A95E95">
        <w:rPr>
          <w:rFonts w:eastAsia="Times New Roman"/>
          <w:color w:val="000000"/>
          <w:sz w:val="20"/>
          <w:szCs w:val="20"/>
          <w:lang w:eastAsia="en-AU"/>
        </w:rPr>
        <w:t xml:space="preserve">If condition A is not satisfied, the offence is instead a presumptive disqualification offence—see </w:t>
      </w:r>
      <w:hyperlink w:anchor="id88bd3a34_99fc_46a8_a872_610eae01b7" w:history="1">
        <w:r w:rsidRPr="00A95E95">
          <w:rPr>
            <w:rFonts w:eastAsia="Times New Roman"/>
            <w:color w:val="000000"/>
            <w:sz w:val="20"/>
            <w:szCs w:val="20"/>
            <w:lang w:eastAsia="en-AU"/>
          </w:rPr>
          <w:t>Schedule 2 clause 2(1)(a)</w:t>
        </w:r>
      </w:hyperlink>
      <w:r w:rsidRPr="00A95E95">
        <w:rPr>
          <w:rFonts w:eastAsia="Times New Roman"/>
          <w:color w:val="000000"/>
          <w:sz w:val="20"/>
          <w:szCs w:val="20"/>
          <w:lang w:eastAsia="en-AU"/>
        </w:rPr>
        <w:t>.</w:t>
      </w:r>
    </w:p>
    <w:p w:rsidR="00A95E95" w:rsidRPr="00A95E95" w:rsidRDefault="00A95E95" w:rsidP="00A95E9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76" w:name="id94c849e5_b05a_45e3_9968_a2ee432681"/>
      <w:r w:rsidRPr="00A95E95">
        <w:rPr>
          <w:rFonts w:eastAsia="Times New Roman"/>
          <w:color w:val="000000"/>
          <w:sz w:val="23"/>
          <w:szCs w:val="23"/>
          <w:lang w:eastAsia="en-AU"/>
        </w:rPr>
        <w:tab/>
        <w:t>(3)</w:t>
      </w:r>
      <w:r w:rsidRPr="00A95E95">
        <w:rPr>
          <w:rFonts w:eastAsia="Times New Roman"/>
          <w:color w:val="000000"/>
          <w:sz w:val="23"/>
          <w:szCs w:val="23"/>
          <w:lang w:eastAsia="en-AU"/>
        </w:rPr>
        <w:tab/>
        <w:t>If there is a reference to a condition or conditions in column 3 of the table in respect of a particular offence, the offence will be taken not to be a disqualification offence if the condition is satisfied:</w:t>
      </w:r>
      <w:bookmarkEnd w:id="76"/>
    </w:p>
    <w:p w:rsidR="00A95E95" w:rsidRPr="00A95E95" w:rsidRDefault="00A95E95" w:rsidP="00A95E9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77" w:name="id433f4816_f003_482d_be4b_63f7c895d9"/>
      <w:r w:rsidRPr="00A95E95">
        <w:rPr>
          <w:rFonts w:eastAsia="Times New Roman"/>
          <w:color w:val="000000"/>
          <w:sz w:val="23"/>
          <w:szCs w:val="23"/>
          <w:lang w:eastAsia="en-AU"/>
        </w:rPr>
        <w:tab/>
        <w:t>(a)</w:t>
      </w:r>
      <w:r w:rsidRPr="00A95E95">
        <w:rPr>
          <w:rFonts w:eastAsia="Times New Roman"/>
          <w:color w:val="000000"/>
          <w:sz w:val="23"/>
          <w:szCs w:val="23"/>
          <w:lang w:eastAsia="en-AU"/>
        </w:rPr>
        <w:tab/>
        <w:t>condition B—at the time of the offence the victim was more than 14 years of age and the offender was not more than 5 years older than the victim, and the offence did not involve violence or coercion;</w:t>
      </w:r>
      <w:bookmarkEnd w:id="77"/>
    </w:p>
    <w:p w:rsidR="00A95E95" w:rsidRPr="00A95E95" w:rsidRDefault="00A95E95" w:rsidP="00A95E9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78" w:name="idb139cdf4_ac5b_4242_b938_11403da774"/>
      <w:r w:rsidRPr="00A95E95">
        <w:rPr>
          <w:rFonts w:eastAsia="Times New Roman"/>
          <w:color w:val="000000"/>
          <w:sz w:val="23"/>
          <w:szCs w:val="23"/>
          <w:lang w:eastAsia="en-AU"/>
        </w:rPr>
        <w:tab/>
        <w:t>(b)</w:t>
      </w:r>
      <w:r w:rsidRPr="00A95E95">
        <w:rPr>
          <w:rFonts w:eastAsia="Times New Roman"/>
          <w:color w:val="000000"/>
          <w:sz w:val="23"/>
          <w:szCs w:val="23"/>
          <w:lang w:eastAsia="en-AU"/>
        </w:rPr>
        <w:tab/>
        <w:t>condition C—the offender was a relative of the victim.</w:t>
      </w:r>
      <w:bookmarkEnd w:id="78"/>
    </w:p>
    <w:p w:rsidR="00A95E95" w:rsidRPr="00A95E95" w:rsidRDefault="00A95E95" w:rsidP="00A95E95">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A95E95">
        <w:rPr>
          <w:rFonts w:eastAsia="Times New Roman"/>
          <w:b/>
          <w:bCs/>
          <w:color w:val="000000"/>
          <w:sz w:val="20"/>
          <w:szCs w:val="20"/>
          <w:lang w:eastAsia="en-AU"/>
        </w:rPr>
        <w:t>Note—</w:t>
      </w:r>
    </w:p>
    <w:p w:rsidR="00A95E95" w:rsidRPr="00A95E95" w:rsidRDefault="00A95E95" w:rsidP="00A95E95">
      <w:pPr>
        <w:keepLines/>
        <w:autoSpaceDE w:val="0"/>
        <w:autoSpaceDN w:val="0"/>
        <w:adjustRightInd w:val="0"/>
        <w:spacing w:before="120" w:after="0" w:line="240" w:lineRule="auto"/>
        <w:ind w:left="1588"/>
        <w:jc w:val="left"/>
        <w:rPr>
          <w:rFonts w:eastAsia="Times New Roman"/>
          <w:color w:val="000000"/>
          <w:sz w:val="20"/>
          <w:szCs w:val="20"/>
          <w:lang w:eastAsia="en-AU"/>
        </w:rPr>
      </w:pPr>
      <w:r w:rsidRPr="00A95E95">
        <w:rPr>
          <w:rFonts w:eastAsia="Times New Roman"/>
          <w:color w:val="000000"/>
          <w:sz w:val="20"/>
          <w:szCs w:val="20"/>
          <w:lang w:eastAsia="en-AU"/>
        </w:rPr>
        <w:t xml:space="preserve">Such an offence is instead a presumptive disqualification offence—see </w:t>
      </w:r>
      <w:hyperlink w:anchor="id2d4c10fe_7dad_4a3e_b845_918c5043a1" w:history="1">
        <w:r w:rsidRPr="00A95E95">
          <w:rPr>
            <w:rFonts w:eastAsia="Times New Roman"/>
            <w:color w:val="000000"/>
            <w:sz w:val="20"/>
            <w:szCs w:val="20"/>
            <w:lang w:eastAsia="en-AU"/>
          </w:rPr>
          <w:t>Schedule 2 clause 2(1)(b)</w:t>
        </w:r>
      </w:hyperlink>
      <w:r w:rsidRPr="00A95E95">
        <w:rPr>
          <w:rFonts w:eastAsia="Times New Roman"/>
          <w:color w:val="000000"/>
          <w:sz w:val="20"/>
          <w:szCs w:val="20"/>
          <w:lang w:eastAsia="en-AU"/>
        </w:rPr>
        <w:t>.</w:t>
      </w:r>
    </w:p>
    <w:p w:rsidR="00A95E95" w:rsidRPr="00A95E95" w:rsidRDefault="00A95E95" w:rsidP="00A95E9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95E95">
        <w:rPr>
          <w:rFonts w:eastAsia="Times New Roman"/>
          <w:color w:val="000000"/>
          <w:sz w:val="23"/>
          <w:szCs w:val="23"/>
          <w:lang w:eastAsia="en-AU"/>
        </w:rPr>
        <w:tab/>
        <w:t>(4)</w:t>
      </w:r>
      <w:r w:rsidRPr="00A95E95">
        <w:rPr>
          <w:rFonts w:eastAsia="Times New Roman"/>
          <w:color w:val="000000"/>
          <w:sz w:val="23"/>
          <w:szCs w:val="23"/>
          <w:lang w:eastAsia="en-AU"/>
        </w:rPr>
        <w:tab/>
        <w:t xml:space="preserve">A reference to an offence in the table in </w:t>
      </w:r>
      <w:hyperlink w:anchor="id76cfae4e_4023_47a6_bba3_f74d9993a5" w:history="1">
        <w:r w:rsidRPr="00A95E95">
          <w:rPr>
            <w:rFonts w:eastAsia="Times New Roman"/>
            <w:color w:val="000000"/>
            <w:sz w:val="23"/>
            <w:szCs w:val="23"/>
            <w:lang w:eastAsia="en-AU"/>
          </w:rPr>
          <w:t>clause 2</w:t>
        </w:r>
      </w:hyperlink>
      <w:r w:rsidRPr="00A95E95">
        <w:rPr>
          <w:rFonts w:eastAsia="Times New Roman"/>
          <w:color w:val="000000"/>
          <w:sz w:val="23"/>
          <w:szCs w:val="23"/>
          <w:lang w:eastAsia="en-AU"/>
        </w:rPr>
        <w:t xml:space="preserve"> will be taken to include a reference to the following offences:</w:t>
      </w:r>
    </w:p>
    <w:p w:rsidR="00A95E95" w:rsidRPr="00A95E95" w:rsidRDefault="00A95E95" w:rsidP="00A95E9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95E95">
        <w:rPr>
          <w:rFonts w:eastAsia="Times New Roman"/>
          <w:color w:val="000000"/>
          <w:sz w:val="23"/>
          <w:szCs w:val="23"/>
          <w:lang w:eastAsia="en-AU"/>
        </w:rPr>
        <w:tab/>
        <w:t>(a)</w:t>
      </w:r>
      <w:r w:rsidRPr="00A95E95">
        <w:rPr>
          <w:rFonts w:eastAsia="Times New Roman"/>
          <w:color w:val="000000"/>
          <w:sz w:val="23"/>
          <w:szCs w:val="23"/>
          <w:lang w:eastAsia="en-AU"/>
        </w:rPr>
        <w:tab/>
        <w:t>an attempt to commit the offence;</w:t>
      </w:r>
    </w:p>
    <w:p w:rsidR="00A95E95" w:rsidRPr="00A95E95" w:rsidRDefault="00A95E95" w:rsidP="00A95E9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95E95">
        <w:rPr>
          <w:rFonts w:eastAsia="Times New Roman"/>
          <w:color w:val="000000"/>
          <w:sz w:val="23"/>
          <w:szCs w:val="23"/>
          <w:lang w:eastAsia="en-AU"/>
        </w:rPr>
        <w:tab/>
        <w:t>(b)</w:t>
      </w:r>
      <w:r w:rsidRPr="00A95E95">
        <w:rPr>
          <w:rFonts w:eastAsia="Times New Roman"/>
          <w:color w:val="000000"/>
          <w:sz w:val="23"/>
          <w:szCs w:val="23"/>
          <w:lang w:eastAsia="en-AU"/>
        </w:rPr>
        <w:tab/>
        <w:t>a conspiracy to commit the offence;</w:t>
      </w:r>
    </w:p>
    <w:p w:rsidR="00A95E95" w:rsidRPr="00A95E95" w:rsidRDefault="00A95E95" w:rsidP="00A95E9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95E95">
        <w:rPr>
          <w:rFonts w:eastAsia="Times New Roman"/>
          <w:color w:val="000000"/>
          <w:sz w:val="23"/>
          <w:szCs w:val="23"/>
          <w:lang w:eastAsia="en-AU"/>
        </w:rPr>
        <w:tab/>
        <w:t>(c)</w:t>
      </w:r>
      <w:r w:rsidRPr="00A95E95">
        <w:rPr>
          <w:rFonts w:eastAsia="Times New Roman"/>
          <w:color w:val="000000"/>
          <w:sz w:val="23"/>
          <w:szCs w:val="23"/>
          <w:lang w:eastAsia="en-AU"/>
        </w:rPr>
        <w:tab/>
        <w:t>aiding, abetting, counselling or procuring the offence;</w:t>
      </w:r>
    </w:p>
    <w:p w:rsidR="00A95E95" w:rsidRPr="00A95E95" w:rsidRDefault="00A95E95" w:rsidP="00A95E9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95E95">
        <w:rPr>
          <w:rFonts w:eastAsia="Times New Roman"/>
          <w:color w:val="000000"/>
          <w:sz w:val="23"/>
          <w:szCs w:val="23"/>
          <w:lang w:eastAsia="en-AU"/>
        </w:rPr>
        <w:tab/>
        <w:t>(d)</w:t>
      </w:r>
      <w:r w:rsidRPr="00A95E95">
        <w:rPr>
          <w:rFonts w:eastAsia="Times New Roman"/>
          <w:color w:val="000000"/>
          <w:sz w:val="23"/>
          <w:szCs w:val="23"/>
          <w:lang w:eastAsia="en-AU"/>
        </w:rPr>
        <w:tab/>
        <w:t>a corresponding offence under a previous enactment;</w:t>
      </w:r>
    </w:p>
    <w:p w:rsidR="00A95E95" w:rsidRPr="00A95E95" w:rsidRDefault="00A95E95" w:rsidP="00A95E9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95E95">
        <w:rPr>
          <w:rFonts w:eastAsia="Times New Roman"/>
          <w:color w:val="000000"/>
          <w:sz w:val="23"/>
          <w:szCs w:val="23"/>
          <w:lang w:eastAsia="en-AU"/>
        </w:rPr>
        <w:tab/>
        <w:t>(e)</w:t>
      </w:r>
      <w:r w:rsidRPr="00A95E95">
        <w:rPr>
          <w:rFonts w:eastAsia="Times New Roman"/>
          <w:color w:val="000000"/>
          <w:sz w:val="23"/>
          <w:szCs w:val="23"/>
          <w:lang w:eastAsia="en-AU"/>
        </w:rPr>
        <w:tab/>
        <w:t>a corresponding offence under a law of another State or Territory, including an offence referred to in a preceding paragraph in relation to the corresponding offence.</w:t>
      </w:r>
    </w:p>
    <w:p w:rsidR="006829D6" w:rsidRDefault="006829D6">
      <w:pPr>
        <w:spacing w:after="0" w:line="240" w:lineRule="auto"/>
        <w:jc w:val="left"/>
        <w:rPr>
          <w:rFonts w:eastAsia="Times New Roman"/>
          <w:b/>
          <w:bCs/>
          <w:color w:val="000000"/>
          <w:sz w:val="26"/>
          <w:szCs w:val="26"/>
          <w:lang w:eastAsia="en-AU"/>
        </w:rPr>
      </w:pPr>
      <w:bookmarkStart w:id="79" w:name="Elkera_Print_TOC26"/>
      <w:bookmarkStart w:id="80" w:name="id76cfae4e_4023_47a6_bba3_f74d9993a5"/>
      <w:r>
        <w:rPr>
          <w:rFonts w:eastAsia="Times New Roman"/>
          <w:b/>
          <w:bCs/>
          <w:color w:val="000000"/>
          <w:sz w:val="26"/>
          <w:szCs w:val="26"/>
          <w:lang w:eastAsia="en-AU"/>
        </w:rPr>
        <w:br w:type="page"/>
      </w:r>
    </w:p>
    <w:p w:rsidR="00A95E95" w:rsidRPr="00A95E95" w:rsidRDefault="00A95E95" w:rsidP="00A95E9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95E95">
        <w:rPr>
          <w:rFonts w:eastAsia="Times New Roman"/>
          <w:b/>
          <w:bCs/>
          <w:color w:val="000000"/>
          <w:sz w:val="26"/>
          <w:szCs w:val="26"/>
          <w:lang w:eastAsia="en-AU"/>
        </w:rPr>
        <w:lastRenderedPageBreak/>
        <w:t>2—Table of disqualification offences</w:t>
      </w:r>
      <w:bookmarkEnd w:id="79"/>
      <w:bookmarkEnd w:id="80"/>
    </w:p>
    <w:p w:rsidR="00A95E95" w:rsidRPr="00A95E95" w:rsidRDefault="00A95E95" w:rsidP="00A95E95">
      <w:pPr>
        <w:keepNext/>
        <w:keepLines/>
        <w:autoSpaceDE w:val="0"/>
        <w:autoSpaceDN w:val="0"/>
        <w:adjustRightInd w:val="0"/>
        <w:spacing w:before="120" w:after="0" w:line="240" w:lineRule="auto"/>
        <w:ind w:left="794"/>
        <w:jc w:val="left"/>
        <w:rPr>
          <w:rFonts w:eastAsia="Times New Roman"/>
          <w:color w:val="000000"/>
          <w:sz w:val="2"/>
          <w:szCs w:val="2"/>
          <w:lang w:eastAsia="en-AU"/>
        </w:rPr>
      </w:pPr>
    </w:p>
    <w:tbl>
      <w:tblPr>
        <w:tblW w:w="0" w:type="auto"/>
        <w:tblInd w:w="854" w:type="dxa"/>
        <w:tblLayout w:type="fixed"/>
        <w:tblCellMar>
          <w:left w:w="60" w:type="dxa"/>
          <w:right w:w="60" w:type="dxa"/>
        </w:tblCellMar>
        <w:tblLook w:val="0000" w:firstRow="0" w:lastRow="0" w:firstColumn="0" w:lastColumn="0" w:noHBand="0" w:noVBand="0"/>
      </w:tblPr>
      <w:tblGrid>
        <w:gridCol w:w="1524"/>
        <w:gridCol w:w="4459"/>
        <w:gridCol w:w="2008"/>
      </w:tblGrid>
      <w:tr w:rsidR="00A95E95" w:rsidRPr="00A95E95" w:rsidTr="00046B75">
        <w:trPr>
          <w:cantSplit/>
          <w:tblHeader/>
        </w:trPr>
        <w:tc>
          <w:tcPr>
            <w:tcW w:w="1524" w:type="dxa"/>
            <w:tcBorders>
              <w:top w:val="nil"/>
              <w:left w:val="nil"/>
              <w:bottom w:val="single" w:sz="4" w:space="0" w:color="auto"/>
              <w:right w:val="nil"/>
            </w:tcBorders>
          </w:tcPr>
          <w:p w:rsidR="00A95E95" w:rsidRPr="00A95E95" w:rsidRDefault="00A95E95" w:rsidP="00A95E95">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A95E95">
              <w:rPr>
                <w:rFonts w:eastAsia="Times New Roman"/>
                <w:b/>
                <w:bCs/>
                <w:color w:val="000000"/>
                <w:sz w:val="20"/>
                <w:szCs w:val="20"/>
                <w:lang w:eastAsia="en-AU"/>
              </w:rPr>
              <w:t>Act</w:t>
            </w:r>
          </w:p>
        </w:tc>
        <w:tc>
          <w:tcPr>
            <w:tcW w:w="4459" w:type="dxa"/>
            <w:tcBorders>
              <w:top w:val="nil"/>
              <w:left w:val="nil"/>
              <w:bottom w:val="single" w:sz="4" w:space="0" w:color="auto"/>
              <w:right w:val="nil"/>
            </w:tcBorders>
          </w:tcPr>
          <w:p w:rsidR="00A95E95" w:rsidRPr="00A95E95" w:rsidRDefault="00A95E95" w:rsidP="00A95E95">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A95E95">
              <w:rPr>
                <w:rFonts w:eastAsia="Times New Roman"/>
                <w:b/>
                <w:bCs/>
                <w:color w:val="000000"/>
                <w:sz w:val="20"/>
                <w:szCs w:val="20"/>
                <w:lang w:eastAsia="en-AU"/>
              </w:rPr>
              <w:t>Offences</w:t>
            </w:r>
          </w:p>
        </w:tc>
        <w:tc>
          <w:tcPr>
            <w:tcW w:w="2008" w:type="dxa"/>
            <w:tcBorders>
              <w:top w:val="nil"/>
              <w:left w:val="nil"/>
              <w:bottom w:val="single" w:sz="4" w:space="0" w:color="auto"/>
              <w:right w:val="nil"/>
            </w:tcBorders>
          </w:tcPr>
          <w:p w:rsidR="00A95E95" w:rsidRPr="00A95E95" w:rsidRDefault="00A95E95" w:rsidP="00A95E95">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A95E95">
              <w:rPr>
                <w:rFonts w:eastAsia="Times New Roman"/>
                <w:b/>
                <w:bCs/>
                <w:color w:val="000000"/>
                <w:sz w:val="20"/>
                <w:szCs w:val="20"/>
                <w:lang w:eastAsia="en-AU"/>
              </w:rPr>
              <w:t>Conditions</w:t>
            </w:r>
          </w:p>
        </w:tc>
      </w:tr>
      <w:tr w:rsidR="00A95E95" w:rsidRPr="00A95E95" w:rsidTr="00046B75">
        <w:trPr>
          <w:cantSplit/>
        </w:trPr>
        <w:tc>
          <w:tcPr>
            <w:tcW w:w="1524" w:type="dxa"/>
            <w:tcBorders>
              <w:top w:val="single" w:sz="4" w:space="0" w:color="auto"/>
              <w:left w:val="nil"/>
              <w:bottom w:val="nil"/>
              <w:right w:val="nil"/>
            </w:tcBorders>
          </w:tcPr>
          <w:p w:rsidR="00A95E95" w:rsidRPr="00A95E95" w:rsidRDefault="00607847" w:rsidP="00A95E95">
            <w:pPr>
              <w:keepNext/>
              <w:keepLines/>
              <w:autoSpaceDE w:val="0"/>
              <w:autoSpaceDN w:val="0"/>
              <w:adjustRightInd w:val="0"/>
              <w:spacing w:before="120" w:after="0" w:line="240" w:lineRule="auto"/>
              <w:jc w:val="left"/>
              <w:rPr>
                <w:rFonts w:eastAsia="Times New Roman"/>
                <w:color w:val="000000"/>
                <w:sz w:val="20"/>
                <w:szCs w:val="20"/>
                <w:lang w:eastAsia="en-AU"/>
              </w:rPr>
            </w:pPr>
            <w:hyperlink r:id="rId39" w:history="1">
              <w:r w:rsidR="00A95E95" w:rsidRPr="00A95E95">
                <w:rPr>
                  <w:rFonts w:eastAsia="Times New Roman"/>
                  <w:i/>
                  <w:iCs/>
                  <w:color w:val="000000"/>
                  <w:sz w:val="20"/>
                  <w:szCs w:val="20"/>
                  <w:lang w:eastAsia="en-AU"/>
                </w:rPr>
                <w:t>Criminal Law Consolidation Act 1935</w:t>
              </w:r>
            </w:hyperlink>
          </w:p>
        </w:tc>
        <w:tc>
          <w:tcPr>
            <w:tcW w:w="4459" w:type="dxa"/>
            <w:tcBorders>
              <w:top w:val="single" w:sz="4" w:space="0" w:color="auto"/>
              <w:left w:val="nil"/>
              <w:bottom w:val="nil"/>
              <w:right w:val="nil"/>
            </w:tcBorders>
          </w:tcPr>
          <w:p w:rsidR="00A95E95" w:rsidRPr="00A95E95" w:rsidRDefault="00A95E95" w:rsidP="00A95E95">
            <w:pPr>
              <w:keepNext/>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11 (Murder)</w:t>
            </w:r>
          </w:p>
        </w:tc>
        <w:tc>
          <w:tcPr>
            <w:tcW w:w="2008" w:type="dxa"/>
            <w:tcBorders>
              <w:top w:val="single" w:sz="4" w:space="0" w:color="auto"/>
              <w:left w:val="nil"/>
              <w:bottom w:val="nil"/>
              <w:right w:val="nil"/>
            </w:tcBorders>
          </w:tcPr>
          <w:p w:rsidR="00A95E95" w:rsidRPr="00A95E95" w:rsidRDefault="00A95E95" w:rsidP="00A95E95">
            <w:pPr>
              <w:keepNext/>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12 (Conspiring or soliciting to commit murder)</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19A(1) (Causing death or harm by use of vehicle or vessel) being an offence where the offender intended to cause death</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20A (Choking, suffocation or strangulation in a domestic setting)</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A</w:t>
            </w: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23 (Causing serious harm)</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A</w:t>
            </w: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24 (Causing harm)</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A</w:t>
            </w: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29 (Acts endangering life or creating risk of serious harm)</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A</w:t>
            </w: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 xml:space="preserve">section 33A (Female genital mutilation) </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A</w:t>
            </w: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 xml:space="preserve">section 33B (Removal of child from state for genital mutilation) </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39 (Kidnapping)</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A, C</w:t>
            </w: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40 (Unlawful removal of child from jurisdiction)</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C</w:t>
            </w: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48 (Rape)</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A</w:t>
            </w: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48A (Compelled sexual manipulation)</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A</w:t>
            </w: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49(1) (Unlawful sexual intercourse where victim under 14)</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49(3) (Unlawful sexual intercourse where victim under 17 years)</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B</w:t>
            </w: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49(5) (Unlawful sexual intercourse in position of authority)</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49(6) (Sexual intercourse with intellectually disabled person)</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50(1) (Persistent sexual abuse of child)</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51 (Sexual exploitation of a person with a cognitive impairment)</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56 (Indecent assault)</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A, B</w:t>
            </w: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58 (Acts of gross indecency)</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A, B</w:t>
            </w: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59 (Abduction of male or female person)</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A</w:t>
            </w: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 xml:space="preserve">section 60 (Procuring sexual intercourse) </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A</w:t>
            </w: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61 (Permit unlawful sexual intercourse on premises)</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63 (Production etc of child exploitation material)</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B</w:t>
            </w: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63AA (Production etc of child</w:t>
            </w:r>
            <w:r w:rsidRPr="00A95E95">
              <w:rPr>
                <w:rFonts w:eastAsia="Times New Roman"/>
                <w:color w:val="000000"/>
                <w:sz w:val="20"/>
                <w:szCs w:val="20"/>
                <w:lang w:eastAsia="en-AU"/>
              </w:rPr>
              <w:noBreakHyphen/>
              <w:t>like sex dolls</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63A (Possession of child exploitation material)</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B</w:t>
            </w: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63AAB (Possession of child</w:t>
            </w:r>
            <w:r w:rsidRPr="00A95E95">
              <w:rPr>
                <w:rFonts w:eastAsia="Times New Roman"/>
                <w:color w:val="000000"/>
                <w:sz w:val="20"/>
                <w:szCs w:val="20"/>
                <w:lang w:eastAsia="en-AU"/>
              </w:rPr>
              <w:noBreakHyphen/>
              <w:t>like sex dolls)</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63AB (Offences relating to websites)</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63B (Procure child to commit indecent act etc)</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B</w:t>
            </w: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66 (Sexual servitude and related offences)</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A</w:t>
            </w: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67 (Deceptive recruiting for commercial sexual services)</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A</w:t>
            </w: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68 (Use of children in commercial sexual services)</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69 (Bestiality)</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72 (Incest)</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A</w:t>
            </w: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 xml:space="preserve">section 74 (Persistent sexual abuse of a child) as in force before the commencement of the </w:t>
            </w:r>
            <w:hyperlink r:id="rId40" w:history="1">
              <w:r w:rsidRPr="00A95E95">
                <w:rPr>
                  <w:rFonts w:eastAsia="Times New Roman"/>
                  <w:i/>
                  <w:iCs/>
                  <w:color w:val="000000"/>
                  <w:sz w:val="20"/>
                  <w:szCs w:val="20"/>
                  <w:lang w:eastAsia="en-AU"/>
                </w:rPr>
                <w:t>Criminal Law Consolidation (Rape and Sexual Offences) Amendment Act 2008</w:t>
              </w:r>
            </w:hyperlink>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B</w:t>
            </w: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80 (Abduction of child under 16 years)</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C</w:t>
            </w: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 xml:space="preserve">section 83E(2) (Participation in criminal organisation) </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A</w:t>
            </w: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139A (Dishonest communication with children)</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241 (Impeding investigation of offences or assisting offenders) being an offence of assisting a principal offender who commits murder</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270B (Assault with intent)</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A</w:t>
            </w: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607847" w:rsidP="00A95E95">
            <w:pPr>
              <w:keepLines/>
              <w:autoSpaceDE w:val="0"/>
              <w:autoSpaceDN w:val="0"/>
              <w:adjustRightInd w:val="0"/>
              <w:spacing w:before="120" w:after="0" w:line="240" w:lineRule="auto"/>
              <w:jc w:val="left"/>
              <w:rPr>
                <w:rFonts w:eastAsia="Times New Roman"/>
                <w:color w:val="000000"/>
                <w:sz w:val="20"/>
                <w:szCs w:val="20"/>
                <w:lang w:eastAsia="en-AU"/>
              </w:rPr>
            </w:pPr>
            <w:hyperlink r:id="rId41" w:history="1">
              <w:r w:rsidR="00A95E95" w:rsidRPr="00A95E95">
                <w:rPr>
                  <w:rFonts w:eastAsia="Times New Roman"/>
                  <w:i/>
                  <w:iCs/>
                  <w:color w:val="000000"/>
                  <w:sz w:val="20"/>
                  <w:szCs w:val="20"/>
                  <w:lang w:eastAsia="en-AU"/>
                </w:rPr>
                <w:t>Aircraft Offences Act 1971</w:t>
              </w:r>
            </w:hyperlink>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9 (Destroy an aircraft to cause death)</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607847" w:rsidP="00A95E95">
            <w:pPr>
              <w:keepNext/>
              <w:keepLines/>
              <w:autoSpaceDE w:val="0"/>
              <w:autoSpaceDN w:val="0"/>
              <w:adjustRightInd w:val="0"/>
              <w:spacing w:before="120" w:after="0" w:line="240" w:lineRule="auto"/>
              <w:jc w:val="left"/>
              <w:rPr>
                <w:rFonts w:eastAsia="Times New Roman"/>
                <w:color w:val="000000"/>
                <w:sz w:val="20"/>
                <w:szCs w:val="20"/>
                <w:lang w:eastAsia="en-AU"/>
              </w:rPr>
            </w:pPr>
            <w:hyperlink r:id="rId42" w:history="1">
              <w:r w:rsidR="00A95E95" w:rsidRPr="00A95E95">
                <w:rPr>
                  <w:rFonts w:eastAsia="Times New Roman"/>
                  <w:i/>
                  <w:iCs/>
                  <w:color w:val="000000"/>
                  <w:sz w:val="20"/>
                  <w:szCs w:val="20"/>
                  <w:lang w:eastAsia="en-AU"/>
                </w:rPr>
                <w:t>Summary Offences Act 1953</w:t>
              </w:r>
            </w:hyperlink>
          </w:p>
        </w:tc>
        <w:tc>
          <w:tcPr>
            <w:tcW w:w="4459" w:type="dxa"/>
            <w:tcBorders>
              <w:top w:val="nil"/>
              <w:left w:val="nil"/>
              <w:bottom w:val="nil"/>
              <w:right w:val="nil"/>
            </w:tcBorders>
          </w:tcPr>
          <w:p w:rsidR="00A95E95" w:rsidRPr="00A95E95" w:rsidRDefault="00A95E95" w:rsidP="00A95E95">
            <w:pPr>
              <w:keepNext/>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 xml:space="preserve">section 33(3) as in force before the commencement of the </w:t>
            </w:r>
            <w:hyperlink r:id="rId43" w:history="1">
              <w:r w:rsidRPr="00A95E95">
                <w:rPr>
                  <w:rFonts w:eastAsia="Times New Roman"/>
                  <w:i/>
                  <w:iCs/>
                  <w:color w:val="000000"/>
                  <w:sz w:val="20"/>
                  <w:szCs w:val="20"/>
                  <w:lang w:eastAsia="en-AU"/>
                </w:rPr>
                <w:t>Criminal Law Consolidation (Child Pornography) Amendment Act 2004</w:t>
              </w:r>
            </w:hyperlink>
          </w:p>
        </w:tc>
        <w:tc>
          <w:tcPr>
            <w:tcW w:w="2008" w:type="dxa"/>
            <w:tcBorders>
              <w:top w:val="nil"/>
              <w:left w:val="nil"/>
              <w:bottom w:val="nil"/>
              <w:right w:val="nil"/>
            </w:tcBorders>
          </w:tcPr>
          <w:p w:rsidR="00A95E95" w:rsidRPr="00A95E95" w:rsidRDefault="00A95E95" w:rsidP="00A95E95">
            <w:pPr>
              <w:keepNext/>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A, B</w:t>
            </w: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Next/>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i/>
                <w:iCs/>
                <w:color w:val="000000"/>
                <w:sz w:val="20"/>
                <w:szCs w:val="20"/>
                <w:lang w:eastAsia="en-AU"/>
              </w:rPr>
              <w:t>Criminal Code</w:t>
            </w:r>
            <w:r w:rsidRPr="00A95E95">
              <w:rPr>
                <w:rFonts w:eastAsia="Times New Roman"/>
                <w:color w:val="000000"/>
                <w:sz w:val="20"/>
                <w:szCs w:val="20"/>
                <w:lang w:eastAsia="en-AU"/>
              </w:rPr>
              <w:t xml:space="preserve"> of the Commonwealth</w:t>
            </w:r>
          </w:p>
        </w:tc>
        <w:tc>
          <w:tcPr>
            <w:tcW w:w="4459" w:type="dxa"/>
            <w:tcBorders>
              <w:top w:val="nil"/>
              <w:left w:val="nil"/>
              <w:bottom w:val="nil"/>
              <w:right w:val="nil"/>
            </w:tcBorders>
          </w:tcPr>
          <w:p w:rsidR="00A95E95" w:rsidRPr="00A95E95" w:rsidRDefault="00A95E95" w:rsidP="00A95E95">
            <w:pPr>
              <w:keepNext/>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71.2 (Murder of a UN person etc)</w:t>
            </w:r>
          </w:p>
        </w:tc>
        <w:tc>
          <w:tcPr>
            <w:tcW w:w="2008" w:type="dxa"/>
            <w:tcBorders>
              <w:top w:val="nil"/>
              <w:left w:val="nil"/>
              <w:bottom w:val="nil"/>
              <w:right w:val="nil"/>
            </w:tcBorders>
          </w:tcPr>
          <w:p w:rsidR="00A95E95" w:rsidRPr="00A95E95" w:rsidRDefault="00A95E95" w:rsidP="00A95E95">
            <w:pPr>
              <w:keepNext/>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71.4 (Intentionally causing serious harm to a UN person etc)</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A</w:t>
            </w: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71.5 (Recklessly causing serious harm to a UN person etc)</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A</w:t>
            </w: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71.8 (Unlawful sexual penetration)</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A</w:t>
            </w: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71.9 or 10 (Kidnapping etc a UN person etc)</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A, C</w:t>
            </w: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73.2, 3 or 3A (People smuggling)</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A</w:t>
            </w: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115.1 (Murder of an Australian citizen etc)</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115.3 (Intentionally causing serious harm to an Australian citizen etc)</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A</w:t>
            </w: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115.4 (Recklessly causing serious harm to an Australian citizen etc)</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A</w:t>
            </w: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268.3, 5, 6 or 7 (Genocide)</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268.4 (Genocide by causing serious bodily or mental harm)</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A</w:t>
            </w: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268.8 or 9 (Crimes against humanity)</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268.10, 13 to 16, 19 or 21(1) (Crimes against humanity)</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A</w:t>
            </w: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268.24, 47(1), 48(1), 49(1), 70, 71(1), 76(2), 90(1), 92(1) or 93(1) (War crimes)</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268.38(1), 40(1), 41 to 44, 50, 55, 56, 65, 91, 97 or 98 (War crimes—various) being an offence that results in the death of a person</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268.25 to 28, 47(2), 48(2), 59, 60, 61, 64, 71(2), 73, 82, 84, 87(1) or 92(2) (War crimes—various)</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A</w:t>
            </w: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270.3, 5, 6A, 7, 7B or 7C (Slavery etc)</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A</w:t>
            </w: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271.2, 3, 4, 5, 6, 7, 7B, 7C , 7D or 7E (Trafficking in persons etc)</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A</w:t>
            </w: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272.8, 9, 10, 11, 12, 13, 14, 15, 18, 19 or 20 (Child sex offences outside Australia)</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273.6 or 7 (Offences involving child abuse material outside Australia)</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273A.1 (Possession of child</w:t>
            </w:r>
            <w:r w:rsidRPr="00A95E95">
              <w:rPr>
                <w:rFonts w:eastAsia="Times New Roman"/>
                <w:color w:val="000000"/>
                <w:sz w:val="20"/>
                <w:szCs w:val="20"/>
                <w:lang w:eastAsia="en-AU"/>
              </w:rPr>
              <w:noBreakHyphen/>
              <w:t>like sex dolls etc)</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274.2 (Torture)</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A</w:t>
            </w: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471.19, 20, 22, 24, 25 or 26(1) (Postal offences)</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474.22, 22A, 23, 24A, 25A, 25B, 25C, 26, 27 or 27A(1) (Telecommunications offences)</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Next/>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i/>
                <w:iCs/>
                <w:color w:val="000000"/>
                <w:sz w:val="20"/>
                <w:szCs w:val="20"/>
                <w:lang w:eastAsia="en-AU"/>
              </w:rPr>
              <w:t>Crimes (Internationally Protected Persons) Act 1976</w:t>
            </w:r>
            <w:r w:rsidRPr="00A95E95">
              <w:rPr>
                <w:rFonts w:eastAsia="Times New Roman"/>
                <w:color w:val="000000"/>
                <w:sz w:val="20"/>
                <w:szCs w:val="20"/>
                <w:lang w:eastAsia="en-AU"/>
              </w:rPr>
              <w:t xml:space="preserve"> of the Commonwealth</w:t>
            </w:r>
          </w:p>
        </w:tc>
        <w:tc>
          <w:tcPr>
            <w:tcW w:w="4459" w:type="dxa"/>
            <w:tcBorders>
              <w:top w:val="nil"/>
              <w:left w:val="nil"/>
              <w:bottom w:val="nil"/>
              <w:right w:val="nil"/>
            </w:tcBorders>
          </w:tcPr>
          <w:p w:rsidR="00A95E95" w:rsidRPr="00A95E95" w:rsidRDefault="00A95E95" w:rsidP="00A95E95">
            <w:pPr>
              <w:keepNext/>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8(1) (Murder of internationally protected person)</w:t>
            </w:r>
          </w:p>
        </w:tc>
        <w:tc>
          <w:tcPr>
            <w:tcW w:w="2008" w:type="dxa"/>
            <w:tcBorders>
              <w:top w:val="nil"/>
              <w:left w:val="nil"/>
              <w:bottom w:val="nil"/>
              <w:right w:val="nil"/>
            </w:tcBorders>
          </w:tcPr>
          <w:p w:rsidR="00A95E95" w:rsidRPr="00A95E95" w:rsidRDefault="00A95E95" w:rsidP="00A95E95">
            <w:pPr>
              <w:keepNext/>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8(2) (Attack internationally protected person) being an offence that results in grievous bodily harm</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A</w:t>
            </w: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i/>
                <w:iCs/>
                <w:color w:val="000000"/>
                <w:sz w:val="20"/>
                <w:szCs w:val="20"/>
                <w:lang w:eastAsia="en-AU"/>
              </w:rPr>
              <w:t>Customs Act 1901</w:t>
            </w:r>
            <w:r w:rsidRPr="00A95E95">
              <w:rPr>
                <w:rFonts w:eastAsia="Times New Roman"/>
                <w:color w:val="000000"/>
                <w:sz w:val="20"/>
                <w:szCs w:val="20"/>
                <w:lang w:eastAsia="en-AU"/>
              </w:rPr>
              <w:t xml:space="preserve"> of the Commonwealth</w:t>
            </w: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233BAB</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bl>
    <w:p w:rsidR="00A95E95" w:rsidRPr="00A95E95" w:rsidRDefault="00A95E95" w:rsidP="00A95E95">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81" w:name="Elkera_Print_TOC28"/>
      <w:bookmarkStart w:id="82" w:name="ide562fe31_0dcf_47ed_acc5_681a6269f1"/>
      <w:r w:rsidRPr="00A95E95">
        <w:rPr>
          <w:rFonts w:eastAsia="Times New Roman"/>
          <w:b/>
          <w:bCs/>
          <w:color w:val="000000"/>
          <w:sz w:val="32"/>
          <w:szCs w:val="32"/>
          <w:lang w:eastAsia="en-AU"/>
        </w:rPr>
        <w:lastRenderedPageBreak/>
        <w:t>Schedule 2—Presumptive disqualification offences</w:t>
      </w:r>
      <w:bookmarkEnd w:id="81"/>
      <w:bookmarkEnd w:id="82"/>
    </w:p>
    <w:p w:rsidR="00A95E95" w:rsidRPr="00A95E95" w:rsidRDefault="00A95E95" w:rsidP="00A95E9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83" w:name="Elkera_Print_TOC29"/>
      <w:bookmarkStart w:id="84" w:name="Elkera_Print_BK29"/>
      <w:r w:rsidRPr="00A95E95">
        <w:rPr>
          <w:rFonts w:eastAsia="Times New Roman"/>
          <w:b/>
          <w:bCs/>
          <w:color w:val="000000"/>
          <w:sz w:val="26"/>
          <w:szCs w:val="26"/>
          <w:lang w:eastAsia="en-AU"/>
        </w:rPr>
        <w:t>1—Interpretation</w:t>
      </w:r>
      <w:bookmarkEnd w:id="83"/>
      <w:bookmarkEnd w:id="84"/>
    </w:p>
    <w:p w:rsidR="00A95E95" w:rsidRPr="00A95E95" w:rsidRDefault="00A95E95" w:rsidP="00A95E95">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95E95">
        <w:rPr>
          <w:rFonts w:eastAsia="Times New Roman"/>
          <w:color w:val="000000"/>
          <w:sz w:val="23"/>
          <w:szCs w:val="23"/>
          <w:lang w:eastAsia="en-AU"/>
        </w:rPr>
        <w:t>In this Schedule—</w:t>
      </w:r>
    </w:p>
    <w:p w:rsidR="00A95E95" w:rsidRPr="00A95E95" w:rsidRDefault="00A95E95" w:rsidP="00A95E95">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95E95">
        <w:rPr>
          <w:rFonts w:eastAsia="Times New Roman"/>
          <w:b/>
          <w:bCs/>
          <w:i/>
          <w:iCs/>
          <w:color w:val="000000"/>
          <w:sz w:val="23"/>
          <w:szCs w:val="23"/>
          <w:lang w:eastAsia="en-AU"/>
        </w:rPr>
        <w:t>person under care</w:t>
      </w:r>
      <w:r w:rsidRPr="00A95E95">
        <w:rPr>
          <w:rFonts w:eastAsia="Times New Roman"/>
          <w:color w:val="000000"/>
          <w:sz w:val="23"/>
          <w:szCs w:val="23"/>
          <w:lang w:eastAsia="en-AU"/>
        </w:rPr>
        <w:t>, in respect of an offender, means a child or vulnerable person who has a relationship with the offender in the context of receiving supports or services because of their vulnerability (other than activities that are part of normal familial care relationships).</w:t>
      </w:r>
    </w:p>
    <w:p w:rsidR="00A95E95" w:rsidRPr="00A95E95" w:rsidRDefault="00A95E95" w:rsidP="00A95E95">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A95E95">
        <w:rPr>
          <w:rFonts w:eastAsia="Times New Roman"/>
          <w:b/>
          <w:bCs/>
          <w:color w:val="000000"/>
          <w:sz w:val="20"/>
          <w:szCs w:val="20"/>
          <w:lang w:eastAsia="en-AU"/>
        </w:rPr>
        <w:t>Example—</w:t>
      </w:r>
    </w:p>
    <w:p w:rsidR="00A95E95" w:rsidRPr="00A95E95" w:rsidRDefault="00A95E95" w:rsidP="00A95E95">
      <w:pPr>
        <w:keepNext/>
        <w:keepLines/>
        <w:autoSpaceDE w:val="0"/>
        <w:autoSpaceDN w:val="0"/>
        <w:adjustRightInd w:val="0"/>
        <w:spacing w:before="120" w:after="0" w:line="240" w:lineRule="auto"/>
        <w:ind w:left="1588"/>
        <w:jc w:val="left"/>
        <w:rPr>
          <w:rFonts w:eastAsia="Times New Roman"/>
          <w:color w:val="000000"/>
          <w:sz w:val="20"/>
          <w:szCs w:val="20"/>
          <w:lang w:eastAsia="en-AU"/>
        </w:rPr>
      </w:pPr>
      <w:r w:rsidRPr="00A95E95">
        <w:rPr>
          <w:rFonts w:eastAsia="Times New Roman"/>
          <w:color w:val="000000"/>
          <w:sz w:val="20"/>
          <w:szCs w:val="20"/>
          <w:lang w:eastAsia="en-AU"/>
        </w:rPr>
        <w:t>The following are examples of persons who may be persons under care:</w:t>
      </w:r>
    </w:p>
    <w:p w:rsidR="00A95E95" w:rsidRPr="00A95E95" w:rsidRDefault="00A95E95" w:rsidP="00A95E9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0"/>
          <w:szCs w:val="20"/>
          <w:lang w:eastAsia="en-AU"/>
        </w:rPr>
      </w:pPr>
      <w:r w:rsidRPr="00A95E95">
        <w:rPr>
          <w:rFonts w:eastAsia="Times New Roman"/>
          <w:color w:val="000000"/>
          <w:sz w:val="20"/>
          <w:szCs w:val="20"/>
          <w:lang w:eastAsia="en-AU"/>
        </w:rPr>
        <w:tab/>
        <w:t>(a)</w:t>
      </w:r>
      <w:r w:rsidRPr="00A95E95">
        <w:rPr>
          <w:rFonts w:eastAsia="Times New Roman"/>
          <w:color w:val="000000"/>
          <w:sz w:val="20"/>
          <w:szCs w:val="20"/>
          <w:lang w:eastAsia="en-AU"/>
        </w:rPr>
        <w:tab/>
        <w:t>a child in foster care;</w:t>
      </w:r>
    </w:p>
    <w:p w:rsidR="00A95E95" w:rsidRPr="00A95E95" w:rsidRDefault="00A95E95" w:rsidP="00A95E9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0"/>
          <w:szCs w:val="20"/>
          <w:lang w:eastAsia="en-AU"/>
        </w:rPr>
      </w:pPr>
      <w:r w:rsidRPr="00A95E95">
        <w:rPr>
          <w:rFonts w:eastAsia="Times New Roman"/>
          <w:color w:val="000000"/>
          <w:sz w:val="20"/>
          <w:szCs w:val="20"/>
          <w:lang w:eastAsia="en-AU"/>
        </w:rPr>
        <w:tab/>
        <w:t>(b)</w:t>
      </w:r>
      <w:r w:rsidRPr="00A95E95">
        <w:rPr>
          <w:rFonts w:eastAsia="Times New Roman"/>
          <w:color w:val="000000"/>
          <w:sz w:val="20"/>
          <w:szCs w:val="20"/>
          <w:lang w:eastAsia="en-AU"/>
        </w:rPr>
        <w:tab/>
        <w:t>an elderly person in residential aged care;</w:t>
      </w:r>
    </w:p>
    <w:p w:rsidR="00A95E95" w:rsidRPr="00A95E95" w:rsidRDefault="00A95E95" w:rsidP="00A95E9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0"/>
          <w:szCs w:val="20"/>
          <w:lang w:eastAsia="en-AU"/>
        </w:rPr>
      </w:pPr>
      <w:r w:rsidRPr="00A95E95">
        <w:rPr>
          <w:rFonts w:eastAsia="Times New Roman"/>
          <w:color w:val="000000"/>
          <w:sz w:val="20"/>
          <w:szCs w:val="20"/>
          <w:lang w:eastAsia="en-AU"/>
        </w:rPr>
        <w:tab/>
        <w:t>(c)</w:t>
      </w:r>
      <w:r w:rsidRPr="00A95E95">
        <w:rPr>
          <w:rFonts w:eastAsia="Times New Roman"/>
          <w:color w:val="000000"/>
          <w:sz w:val="20"/>
          <w:szCs w:val="20"/>
          <w:lang w:eastAsia="en-AU"/>
        </w:rPr>
        <w:tab/>
        <w:t>a person with mental illness receiving treatment in a hospital;</w:t>
      </w:r>
    </w:p>
    <w:p w:rsidR="00A95E95" w:rsidRPr="00A95E95" w:rsidRDefault="00A95E95" w:rsidP="00A95E9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0"/>
          <w:szCs w:val="20"/>
          <w:lang w:eastAsia="en-AU"/>
        </w:rPr>
      </w:pPr>
      <w:r w:rsidRPr="00A95E95">
        <w:rPr>
          <w:rFonts w:eastAsia="Times New Roman"/>
          <w:color w:val="000000"/>
          <w:sz w:val="20"/>
          <w:szCs w:val="20"/>
          <w:lang w:eastAsia="en-AU"/>
        </w:rPr>
        <w:tab/>
        <w:t>(d)</w:t>
      </w:r>
      <w:r w:rsidRPr="00A95E95">
        <w:rPr>
          <w:rFonts w:eastAsia="Times New Roman"/>
          <w:color w:val="000000"/>
          <w:sz w:val="20"/>
          <w:szCs w:val="20"/>
          <w:lang w:eastAsia="en-AU"/>
        </w:rPr>
        <w:tab/>
        <w:t>a person with disability receiving services (to support their disability) in their home or in the community.</w:t>
      </w:r>
    </w:p>
    <w:p w:rsidR="00A95E95" w:rsidRPr="00A95E95" w:rsidRDefault="00A95E95" w:rsidP="00A95E9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85" w:name="Elkera_Print_TOC31"/>
      <w:bookmarkStart w:id="86" w:name="idaf7699f6_575e_4903_8d50_83e7e32cfb"/>
      <w:r w:rsidRPr="00A95E95">
        <w:rPr>
          <w:rFonts w:eastAsia="Times New Roman"/>
          <w:b/>
          <w:bCs/>
          <w:color w:val="000000"/>
          <w:sz w:val="26"/>
          <w:szCs w:val="26"/>
          <w:lang w:eastAsia="en-AU"/>
        </w:rPr>
        <w:t>2—Presumptive disqualification offences</w:t>
      </w:r>
      <w:bookmarkEnd w:id="85"/>
      <w:bookmarkEnd w:id="86"/>
    </w:p>
    <w:p w:rsidR="00A95E95" w:rsidRPr="00A95E95" w:rsidRDefault="00A95E95" w:rsidP="00A95E9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87" w:name="id3d733acc_736f_4f30_91ec_4877d631ce"/>
      <w:r w:rsidRPr="00A95E95">
        <w:rPr>
          <w:rFonts w:eastAsia="Times New Roman"/>
          <w:color w:val="000000"/>
          <w:sz w:val="23"/>
          <w:szCs w:val="23"/>
          <w:lang w:eastAsia="en-AU"/>
        </w:rPr>
        <w:tab/>
        <w:t>(1)</w:t>
      </w:r>
      <w:r w:rsidRPr="00A95E95">
        <w:rPr>
          <w:rFonts w:eastAsia="Times New Roman"/>
          <w:color w:val="000000"/>
          <w:sz w:val="23"/>
          <w:szCs w:val="23"/>
          <w:lang w:eastAsia="en-AU"/>
        </w:rPr>
        <w:tab/>
        <w:t>Subject to this clause, the following offences are presumptive disqualification offences:</w:t>
      </w:r>
      <w:bookmarkEnd w:id="87"/>
    </w:p>
    <w:p w:rsidR="00A95E95" w:rsidRPr="00A95E95" w:rsidRDefault="00A95E95" w:rsidP="00A95E9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88" w:name="id88bd3a34_99fc_46a8_a872_610eae01b7"/>
      <w:r w:rsidRPr="00A95E95">
        <w:rPr>
          <w:rFonts w:eastAsia="Times New Roman"/>
          <w:color w:val="000000"/>
          <w:sz w:val="23"/>
          <w:szCs w:val="23"/>
          <w:lang w:eastAsia="en-AU"/>
        </w:rPr>
        <w:tab/>
        <w:t>(a)</w:t>
      </w:r>
      <w:r w:rsidRPr="00A95E95">
        <w:rPr>
          <w:rFonts w:eastAsia="Times New Roman"/>
          <w:color w:val="000000"/>
          <w:sz w:val="23"/>
          <w:szCs w:val="23"/>
          <w:lang w:eastAsia="en-AU"/>
        </w:rPr>
        <w:tab/>
        <w:t xml:space="preserve">an offence referred to in the table in </w:t>
      </w:r>
      <w:hyperlink w:anchor="id76cfae4e_4023_47a6_bba3_f74d9993a5" w:history="1">
        <w:r w:rsidRPr="00A95E95">
          <w:rPr>
            <w:rFonts w:eastAsia="Times New Roman"/>
            <w:color w:val="000000"/>
            <w:sz w:val="23"/>
            <w:szCs w:val="23"/>
            <w:lang w:eastAsia="en-AU"/>
          </w:rPr>
          <w:t>Schedule 1 clause 2</w:t>
        </w:r>
      </w:hyperlink>
      <w:r w:rsidRPr="00A95E95">
        <w:rPr>
          <w:rFonts w:eastAsia="Times New Roman"/>
          <w:color w:val="000000"/>
          <w:sz w:val="23"/>
          <w:szCs w:val="23"/>
          <w:lang w:eastAsia="en-AU"/>
        </w:rPr>
        <w:t xml:space="preserve"> (being an offence that is subject to condition A under that Schedule) when committed against, or involving, a person who is not a child or vulnerable person;</w:t>
      </w:r>
      <w:bookmarkEnd w:id="88"/>
    </w:p>
    <w:p w:rsidR="00A95E95" w:rsidRPr="00A95E95" w:rsidRDefault="00A95E95" w:rsidP="00A95E9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89" w:name="id2d4c10fe_7dad_4a3e_b845_918c5043a1"/>
      <w:r w:rsidRPr="00A95E95">
        <w:rPr>
          <w:rFonts w:eastAsia="Times New Roman"/>
          <w:color w:val="000000"/>
          <w:sz w:val="23"/>
          <w:szCs w:val="23"/>
          <w:lang w:eastAsia="en-AU"/>
        </w:rPr>
        <w:tab/>
        <w:t>(b)</w:t>
      </w:r>
      <w:r w:rsidRPr="00A95E95">
        <w:rPr>
          <w:rFonts w:eastAsia="Times New Roman"/>
          <w:color w:val="000000"/>
          <w:sz w:val="23"/>
          <w:szCs w:val="23"/>
          <w:lang w:eastAsia="en-AU"/>
        </w:rPr>
        <w:tab/>
        <w:t xml:space="preserve">an offence that would, but for the operation of </w:t>
      </w:r>
      <w:hyperlink w:anchor="id94c849e5_b05a_45e3_9968_a2ee432681" w:history="1">
        <w:r w:rsidRPr="00A95E95">
          <w:rPr>
            <w:rFonts w:eastAsia="Times New Roman"/>
            <w:color w:val="000000"/>
            <w:sz w:val="23"/>
            <w:szCs w:val="23"/>
            <w:lang w:eastAsia="en-AU"/>
          </w:rPr>
          <w:t>Schedule 1 clause 1(3)</w:t>
        </w:r>
      </w:hyperlink>
      <w:r w:rsidRPr="00A95E95">
        <w:rPr>
          <w:rFonts w:eastAsia="Times New Roman"/>
          <w:color w:val="000000"/>
          <w:sz w:val="23"/>
          <w:szCs w:val="23"/>
          <w:lang w:eastAsia="en-AU"/>
        </w:rPr>
        <w:t>, be a disqualification offence;</w:t>
      </w:r>
      <w:bookmarkEnd w:id="89"/>
    </w:p>
    <w:p w:rsidR="00A95E95" w:rsidRPr="00A95E95" w:rsidRDefault="00A95E95" w:rsidP="00A95E95">
      <w:pPr>
        <w:keepNext/>
        <w:keepLines/>
        <w:autoSpaceDE w:val="0"/>
        <w:autoSpaceDN w:val="0"/>
        <w:adjustRightInd w:val="0"/>
        <w:spacing w:before="120" w:after="0" w:line="240" w:lineRule="auto"/>
        <w:ind w:left="2382" w:hanging="794"/>
        <w:jc w:val="left"/>
        <w:rPr>
          <w:rFonts w:eastAsia="Times New Roman"/>
          <w:b/>
          <w:bCs/>
          <w:color w:val="000000"/>
          <w:sz w:val="20"/>
          <w:szCs w:val="20"/>
          <w:lang w:eastAsia="en-AU"/>
        </w:rPr>
      </w:pPr>
      <w:r w:rsidRPr="00A95E95">
        <w:rPr>
          <w:rFonts w:eastAsia="Times New Roman"/>
          <w:b/>
          <w:bCs/>
          <w:color w:val="000000"/>
          <w:sz w:val="20"/>
          <w:szCs w:val="20"/>
          <w:lang w:eastAsia="en-AU"/>
        </w:rPr>
        <w:t>Note—</w:t>
      </w:r>
    </w:p>
    <w:p w:rsidR="00A95E95" w:rsidRPr="00A95E95" w:rsidRDefault="00A95E95" w:rsidP="00A95E95">
      <w:pPr>
        <w:keepLines/>
        <w:autoSpaceDE w:val="0"/>
        <w:autoSpaceDN w:val="0"/>
        <w:adjustRightInd w:val="0"/>
        <w:spacing w:before="120" w:after="0" w:line="240" w:lineRule="auto"/>
        <w:ind w:left="2382"/>
        <w:jc w:val="left"/>
        <w:rPr>
          <w:rFonts w:eastAsia="Times New Roman"/>
          <w:color w:val="000000"/>
          <w:sz w:val="20"/>
          <w:szCs w:val="20"/>
          <w:lang w:eastAsia="en-AU"/>
        </w:rPr>
      </w:pPr>
      <w:r w:rsidRPr="00A95E95">
        <w:rPr>
          <w:rFonts w:eastAsia="Times New Roman"/>
          <w:color w:val="000000"/>
          <w:sz w:val="20"/>
          <w:szCs w:val="20"/>
          <w:lang w:eastAsia="en-AU"/>
        </w:rPr>
        <w:t>These are offences where, at the time of the offence, the victim was more than 14 years of age and the offender was not more than 5 years older than the victim and the offence did not involve violence or coercion, or where the victim was a relative of the offender.</w:t>
      </w:r>
    </w:p>
    <w:p w:rsidR="00A95E95" w:rsidRPr="00A95E95" w:rsidRDefault="00A95E95" w:rsidP="00A95E9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95E95">
        <w:rPr>
          <w:rFonts w:eastAsia="Times New Roman"/>
          <w:color w:val="000000"/>
          <w:sz w:val="23"/>
          <w:szCs w:val="23"/>
          <w:lang w:eastAsia="en-AU"/>
        </w:rPr>
        <w:tab/>
        <w:t>(c)</w:t>
      </w:r>
      <w:r w:rsidRPr="00A95E95">
        <w:rPr>
          <w:rFonts w:eastAsia="Times New Roman"/>
          <w:color w:val="000000"/>
          <w:sz w:val="23"/>
          <w:szCs w:val="23"/>
          <w:lang w:eastAsia="en-AU"/>
        </w:rPr>
        <w:tab/>
        <w:t xml:space="preserve">an offence listed in the table in </w:t>
      </w:r>
      <w:hyperlink w:anchor="id22d52c3e_e589_4772_9671_96f25e8d59" w:history="1">
        <w:r w:rsidRPr="00A95E95">
          <w:rPr>
            <w:rFonts w:eastAsia="Times New Roman"/>
            <w:color w:val="000000"/>
            <w:sz w:val="23"/>
            <w:szCs w:val="23"/>
            <w:lang w:eastAsia="en-AU"/>
          </w:rPr>
          <w:t>clause 3</w:t>
        </w:r>
      </w:hyperlink>
      <w:r w:rsidRPr="00A95E95">
        <w:rPr>
          <w:rFonts w:eastAsia="Times New Roman"/>
          <w:color w:val="000000"/>
          <w:sz w:val="23"/>
          <w:szCs w:val="23"/>
          <w:lang w:eastAsia="en-AU"/>
        </w:rPr>
        <w:t xml:space="preserve"> (other than offences that are disqualification offences);</w:t>
      </w:r>
    </w:p>
    <w:p w:rsidR="00A95E95" w:rsidRPr="00A95E95" w:rsidRDefault="00A95E95" w:rsidP="00A95E9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95E95">
        <w:rPr>
          <w:rFonts w:eastAsia="Times New Roman"/>
          <w:color w:val="000000"/>
          <w:sz w:val="23"/>
          <w:szCs w:val="23"/>
          <w:lang w:eastAsia="en-AU"/>
        </w:rPr>
        <w:tab/>
        <w:t>(d)</w:t>
      </w:r>
      <w:r w:rsidRPr="00A95E95">
        <w:rPr>
          <w:rFonts w:eastAsia="Times New Roman"/>
          <w:color w:val="000000"/>
          <w:sz w:val="23"/>
          <w:szCs w:val="23"/>
          <w:lang w:eastAsia="en-AU"/>
        </w:rPr>
        <w:tab/>
        <w:t>any other offence declared by the Minister by notice in the Gazette to be a presumptive disqualification offence.</w:t>
      </w:r>
    </w:p>
    <w:p w:rsidR="00A95E95" w:rsidRPr="00A95E95" w:rsidRDefault="00A95E95" w:rsidP="00A95E9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95E95">
        <w:rPr>
          <w:rFonts w:eastAsia="Times New Roman"/>
          <w:color w:val="000000"/>
          <w:sz w:val="23"/>
          <w:szCs w:val="23"/>
          <w:lang w:eastAsia="en-AU"/>
        </w:rPr>
        <w:tab/>
        <w:t>(2)</w:t>
      </w:r>
      <w:r w:rsidRPr="00A95E95">
        <w:rPr>
          <w:rFonts w:eastAsia="Times New Roman"/>
          <w:color w:val="000000"/>
          <w:sz w:val="23"/>
          <w:szCs w:val="23"/>
          <w:lang w:eastAsia="en-AU"/>
        </w:rPr>
        <w:tab/>
        <w:t xml:space="preserve">If there is a reference to a condition in column 3 of the table in </w:t>
      </w:r>
      <w:hyperlink w:anchor="id22d52c3e_e589_4772_9671_96f25e8d59" w:history="1">
        <w:r w:rsidRPr="00A95E95">
          <w:rPr>
            <w:rFonts w:eastAsia="Times New Roman"/>
            <w:color w:val="000000"/>
            <w:sz w:val="23"/>
            <w:szCs w:val="23"/>
            <w:lang w:eastAsia="en-AU"/>
          </w:rPr>
          <w:t>clause 3</w:t>
        </w:r>
      </w:hyperlink>
      <w:r w:rsidRPr="00A95E95">
        <w:rPr>
          <w:rFonts w:eastAsia="Times New Roman"/>
          <w:color w:val="000000"/>
          <w:sz w:val="23"/>
          <w:szCs w:val="23"/>
          <w:lang w:eastAsia="en-AU"/>
        </w:rPr>
        <w:t xml:space="preserve"> in respect of a particular offence, the offence will only be taken to be a presumptive disqualification offence if the condition is satisfied:</w:t>
      </w:r>
    </w:p>
    <w:p w:rsidR="00A95E95" w:rsidRPr="00A95E95" w:rsidRDefault="00A95E95" w:rsidP="00A95E9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95E95">
        <w:rPr>
          <w:rFonts w:eastAsia="Times New Roman"/>
          <w:color w:val="000000"/>
          <w:sz w:val="23"/>
          <w:szCs w:val="23"/>
          <w:lang w:eastAsia="en-AU"/>
        </w:rPr>
        <w:tab/>
        <w:t>(a)</w:t>
      </w:r>
      <w:r w:rsidRPr="00A95E95">
        <w:rPr>
          <w:rFonts w:eastAsia="Times New Roman"/>
          <w:color w:val="000000"/>
          <w:sz w:val="23"/>
          <w:szCs w:val="23"/>
          <w:lang w:eastAsia="en-AU"/>
        </w:rPr>
        <w:tab/>
        <w:t>condition A—the victim of the offence was a child or vulnerable person, or the offence involved a child or vulnerable person;</w:t>
      </w:r>
    </w:p>
    <w:p w:rsidR="00A95E95" w:rsidRPr="00A95E95" w:rsidRDefault="00A95E95" w:rsidP="00A95E9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95E95">
        <w:rPr>
          <w:rFonts w:eastAsia="Times New Roman"/>
          <w:color w:val="000000"/>
          <w:sz w:val="23"/>
          <w:szCs w:val="23"/>
          <w:lang w:eastAsia="en-AU"/>
        </w:rPr>
        <w:tab/>
        <w:t>(b)</w:t>
      </w:r>
      <w:r w:rsidRPr="00A95E95">
        <w:rPr>
          <w:rFonts w:eastAsia="Times New Roman"/>
          <w:color w:val="000000"/>
          <w:sz w:val="23"/>
          <w:szCs w:val="23"/>
          <w:lang w:eastAsia="en-AU"/>
        </w:rPr>
        <w:tab/>
        <w:t>condition D—the victim of the offence was a person under care in respect of the offender, or the offence involved such a person under care;</w:t>
      </w:r>
    </w:p>
    <w:p w:rsidR="00A95E95" w:rsidRPr="00A95E95" w:rsidRDefault="00A95E95" w:rsidP="00A95E9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95E95">
        <w:rPr>
          <w:rFonts w:eastAsia="Times New Roman"/>
          <w:color w:val="000000"/>
          <w:sz w:val="23"/>
          <w:szCs w:val="23"/>
          <w:lang w:eastAsia="en-AU"/>
        </w:rPr>
        <w:tab/>
        <w:t>(c)</w:t>
      </w:r>
      <w:r w:rsidRPr="00A95E95">
        <w:rPr>
          <w:rFonts w:eastAsia="Times New Roman"/>
          <w:color w:val="000000"/>
          <w:sz w:val="23"/>
          <w:szCs w:val="23"/>
          <w:lang w:eastAsia="en-AU"/>
        </w:rPr>
        <w:tab/>
        <w:t xml:space="preserve">condition E—the offence is an aggravated offence (within the meaning of the </w:t>
      </w:r>
      <w:hyperlink r:id="rId44" w:history="1">
        <w:r w:rsidRPr="00A95E95">
          <w:rPr>
            <w:rFonts w:eastAsia="Times New Roman"/>
            <w:i/>
            <w:iCs/>
            <w:color w:val="000000"/>
            <w:sz w:val="23"/>
            <w:szCs w:val="23"/>
            <w:lang w:eastAsia="en-AU"/>
          </w:rPr>
          <w:t>Criminal Law Consolidation Act 1935</w:t>
        </w:r>
      </w:hyperlink>
      <w:r w:rsidRPr="00A95E95">
        <w:rPr>
          <w:rFonts w:eastAsia="Times New Roman"/>
          <w:color w:val="000000"/>
          <w:sz w:val="23"/>
          <w:szCs w:val="23"/>
          <w:lang w:eastAsia="en-AU"/>
        </w:rPr>
        <w:t>) aggravated by the circumstances referred to in section 5AA(1)(a) of that Act.</w:t>
      </w:r>
    </w:p>
    <w:p w:rsidR="006829D6" w:rsidRDefault="006829D6">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rsidR="00A95E95" w:rsidRPr="00A95E95" w:rsidRDefault="00A95E95" w:rsidP="00A95E9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95E95">
        <w:rPr>
          <w:rFonts w:eastAsia="Times New Roman"/>
          <w:color w:val="000000"/>
          <w:sz w:val="23"/>
          <w:szCs w:val="23"/>
          <w:lang w:eastAsia="en-AU"/>
        </w:rPr>
        <w:lastRenderedPageBreak/>
        <w:tab/>
        <w:t>(3)</w:t>
      </w:r>
      <w:r w:rsidRPr="00A95E95">
        <w:rPr>
          <w:rFonts w:eastAsia="Times New Roman"/>
          <w:color w:val="000000"/>
          <w:sz w:val="23"/>
          <w:szCs w:val="23"/>
          <w:lang w:eastAsia="en-AU"/>
        </w:rPr>
        <w:tab/>
        <w:t xml:space="preserve">A reference to an offence in the table in </w:t>
      </w:r>
      <w:hyperlink w:anchor="id22d52c3e_e589_4772_9671_96f25e8d59" w:history="1">
        <w:r w:rsidRPr="00A95E95">
          <w:rPr>
            <w:rFonts w:eastAsia="Times New Roman"/>
            <w:color w:val="000000"/>
            <w:sz w:val="23"/>
            <w:szCs w:val="23"/>
            <w:lang w:eastAsia="en-AU"/>
          </w:rPr>
          <w:t>clause 3</w:t>
        </w:r>
      </w:hyperlink>
      <w:r w:rsidRPr="00A95E95">
        <w:rPr>
          <w:rFonts w:eastAsia="Times New Roman"/>
          <w:color w:val="000000"/>
          <w:sz w:val="23"/>
          <w:szCs w:val="23"/>
          <w:lang w:eastAsia="en-AU"/>
        </w:rPr>
        <w:t xml:space="preserve"> will be taken to include a reference to the following offences:</w:t>
      </w:r>
    </w:p>
    <w:p w:rsidR="00A95E95" w:rsidRPr="00A95E95" w:rsidRDefault="00A95E95" w:rsidP="00A95E9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95E95">
        <w:rPr>
          <w:rFonts w:eastAsia="Times New Roman"/>
          <w:color w:val="000000"/>
          <w:sz w:val="23"/>
          <w:szCs w:val="23"/>
          <w:lang w:eastAsia="en-AU"/>
        </w:rPr>
        <w:tab/>
        <w:t>(a)</w:t>
      </w:r>
      <w:r w:rsidRPr="00A95E95">
        <w:rPr>
          <w:rFonts w:eastAsia="Times New Roman"/>
          <w:color w:val="000000"/>
          <w:sz w:val="23"/>
          <w:szCs w:val="23"/>
          <w:lang w:eastAsia="en-AU"/>
        </w:rPr>
        <w:tab/>
        <w:t>an attempt to commit the offence;</w:t>
      </w:r>
    </w:p>
    <w:p w:rsidR="00A95E95" w:rsidRPr="00A95E95" w:rsidRDefault="00A95E95" w:rsidP="00A95E9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95E95">
        <w:rPr>
          <w:rFonts w:eastAsia="Times New Roman"/>
          <w:color w:val="000000"/>
          <w:sz w:val="23"/>
          <w:szCs w:val="23"/>
          <w:lang w:eastAsia="en-AU"/>
        </w:rPr>
        <w:tab/>
        <w:t>(b)</w:t>
      </w:r>
      <w:r w:rsidRPr="00A95E95">
        <w:rPr>
          <w:rFonts w:eastAsia="Times New Roman"/>
          <w:color w:val="000000"/>
          <w:sz w:val="23"/>
          <w:szCs w:val="23"/>
          <w:lang w:eastAsia="en-AU"/>
        </w:rPr>
        <w:tab/>
        <w:t>a conspiracy to commit the offence;</w:t>
      </w:r>
    </w:p>
    <w:p w:rsidR="00A95E95" w:rsidRPr="00A95E95" w:rsidRDefault="00A95E95" w:rsidP="00A95E9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95E95">
        <w:rPr>
          <w:rFonts w:eastAsia="Times New Roman"/>
          <w:color w:val="000000"/>
          <w:sz w:val="23"/>
          <w:szCs w:val="23"/>
          <w:lang w:eastAsia="en-AU"/>
        </w:rPr>
        <w:tab/>
        <w:t>(c)</w:t>
      </w:r>
      <w:r w:rsidRPr="00A95E95">
        <w:rPr>
          <w:rFonts w:eastAsia="Times New Roman"/>
          <w:color w:val="000000"/>
          <w:sz w:val="23"/>
          <w:szCs w:val="23"/>
          <w:lang w:eastAsia="en-AU"/>
        </w:rPr>
        <w:tab/>
        <w:t>aiding, abetting, counselling or procuring the offence;</w:t>
      </w:r>
    </w:p>
    <w:p w:rsidR="00A95E95" w:rsidRPr="00A95E95" w:rsidRDefault="00A95E95" w:rsidP="00A95E9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95E95">
        <w:rPr>
          <w:rFonts w:eastAsia="Times New Roman"/>
          <w:color w:val="000000"/>
          <w:sz w:val="23"/>
          <w:szCs w:val="23"/>
          <w:lang w:eastAsia="en-AU"/>
        </w:rPr>
        <w:tab/>
        <w:t>(d)</w:t>
      </w:r>
      <w:r w:rsidRPr="00A95E95">
        <w:rPr>
          <w:rFonts w:eastAsia="Times New Roman"/>
          <w:color w:val="000000"/>
          <w:sz w:val="23"/>
          <w:szCs w:val="23"/>
          <w:lang w:eastAsia="en-AU"/>
        </w:rPr>
        <w:tab/>
        <w:t>a corresponding offence under a previous enactment;</w:t>
      </w:r>
    </w:p>
    <w:p w:rsidR="00A95E95" w:rsidRPr="00A95E95" w:rsidRDefault="00A95E95" w:rsidP="00A95E9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95E95">
        <w:rPr>
          <w:rFonts w:eastAsia="Times New Roman"/>
          <w:color w:val="000000"/>
          <w:sz w:val="23"/>
          <w:szCs w:val="23"/>
          <w:lang w:eastAsia="en-AU"/>
        </w:rPr>
        <w:tab/>
        <w:t>(e)</w:t>
      </w:r>
      <w:r w:rsidRPr="00A95E95">
        <w:rPr>
          <w:rFonts w:eastAsia="Times New Roman"/>
          <w:color w:val="000000"/>
          <w:sz w:val="23"/>
          <w:szCs w:val="23"/>
          <w:lang w:eastAsia="en-AU"/>
        </w:rPr>
        <w:tab/>
        <w:t>a corresponding offence under a law of another State or Territory, including an offence referred to in a preceding paragraph in relation to the corresponding offence.</w:t>
      </w:r>
    </w:p>
    <w:p w:rsidR="00A95E95" w:rsidRPr="00A95E95" w:rsidRDefault="00A95E95" w:rsidP="00A95E9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90" w:name="Elkera_Print_TOC33"/>
      <w:bookmarkStart w:id="91" w:name="id22d52c3e_e589_4772_9671_96f25e8d59"/>
      <w:r w:rsidRPr="00A95E95">
        <w:rPr>
          <w:rFonts w:eastAsia="Times New Roman"/>
          <w:b/>
          <w:bCs/>
          <w:color w:val="000000"/>
          <w:sz w:val="26"/>
          <w:szCs w:val="26"/>
          <w:lang w:eastAsia="en-AU"/>
        </w:rPr>
        <w:t>3—Table of presumptive disqualification offences</w:t>
      </w:r>
      <w:bookmarkEnd w:id="90"/>
      <w:bookmarkEnd w:id="91"/>
    </w:p>
    <w:p w:rsidR="00A95E95" w:rsidRPr="00A95E95" w:rsidRDefault="00A95E95" w:rsidP="00A95E95">
      <w:pPr>
        <w:keepNext/>
        <w:keepLines/>
        <w:autoSpaceDE w:val="0"/>
        <w:autoSpaceDN w:val="0"/>
        <w:adjustRightInd w:val="0"/>
        <w:spacing w:before="120" w:after="0" w:line="240" w:lineRule="auto"/>
        <w:ind w:left="794"/>
        <w:jc w:val="left"/>
        <w:rPr>
          <w:rFonts w:eastAsia="Times New Roman"/>
          <w:color w:val="000000"/>
          <w:sz w:val="2"/>
          <w:szCs w:val="2"/>
          <w:lang w:eastAsia="en-AU"/>
        </w:rPr>
      </w:pPr>
    </w:p>
    <w:tbl>
      <w:tblPr>
        <w:tblW w:w="0" w:type="auto"/>
        <w:tblInd w:w="854" w:type="dxa"/>
        <w:tblLayout w:type="fixed"/>
        <w:tblCellMar>
          <w:left w:w="60" w:type="dxa"/>
          <w:right w:w="60" w:type="dxa"/>
        </w:tblCellMar>
        <w:tblLook w:val="0000" w:firstRow="0" w:lastRow="0" w:firstColumn="0" w:lastColumn="0" w:noHBand="0" w:noVBand="0"/>
      </w:tblPr>
      <w:tblGrid>
        <w:gridCol w:w="1524"/>
        <w:gridCol w:w="4459"/>
        <w:gridCol w:w="2008"/>
      </w:tblGrid>
      <w:tr w:rsidR="00A95E95" w:rsidRPr="00A95E95" w:rsidTr="00046B75">
        <w:trPr>
          <w:cantSplit/>
          <w:tblHeader/>
        </w:trPr>
        <w:tc>
          <w:tcPr>
            <w:tcW w:w="1524" w:type="dxa"/>
            <w:tcBorders>
              <w:top w:val="nil"/>
              <w:left w:val="nil"/>
              <w:bottom w:val="single" w:sz="4" w:space="0" w:color="auto"/>
              <w:right w:val="nil"/>
            </w:tcBorders>
          </w:tcPr>
          <w:p w:rsidR="00A95E95" w:rsidRPr="00A95E95" w:rsidRDefault="00A95E95" w:rsidP="00A95E95">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A95E95">
              <w:rPr>
                <w:rFonts w:eastAsia="Times New Roman"/>
                <w:b/>
                <w:bCs/>
                <w:color w:val="000000"/>
                <w:sz w:val="20"/>
                <w:szCs w:val="20"/>
                <w:lang w:eastAsia="en-AU"/>
              </w:rPr>
              <w:t>Act</w:t>
            </w:r>
          </w:p>
        </w:tc>
        <w:tc>
          <w:tcPr>
            <w:tcW w:w="4459" w:type="dxa"/>
            <w:tcBorders>
              <w:top w:val="nil"/>
              <w:left w:val="nil"/>
              <w:bottom w:val="single" w:sz="4" w:space="0" w:color="auto"/>
              <w:right w:val="nil"/>
            </w:tcBorders>
          </w:tcPr>
          <w:p w:rsidR="00A95E95" w:rsidRPr="00A95E95" w:rsidRDefault="00A95E95" w:rsidP="00A95E95">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A95E95">
              <w:rPr>
                <w:rFonts w:eastAsia="Times New Roman"/>
                <w:b/>
                <w:bCs/>
                <w:color w:val="000000"/>
                <w:sz w:val="20"/>
                <w:szCs w:val="20"/>
                <w:lang w:eastAsia="en-AU"/>
              </w:rPr>
              <w:t>Offences</w:t>
            </w:r>
          </w:p>
        </w:tc>
        <w:tc>
          <w:tcPr>
            <w:tcW w:w="2008" w:type="dxa"/>
            <w:tcBorders>
              <w:top w:val="nil"/>
              <w:left w:val="nil"/>
              <w:bottom w:val="single" w:sz="4" w:space="0" w:color="auto"/>
              <w:right w:val="nil"/>
            </w:tcBorders>
          </w:tcPr>
          <w:p w:rsidR="00A95E95" w:rsidRPr="00A95E95" w:rsidRDefault="00A95E95" w:rsidP="00A95E95">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A95E95">
              <w:rPr>
                <w:rFonts w:eastAsia="Times New Roman"/>
                <w:b/>
                <w:bCs/>
                <w:color w:val="000000"/>
                <w:sz w:val="20"/>
                <w:szCs w:val="20"/>
                <w:lang w:eastAsia="en-AU"/>
              </w:rPr>
              <w:t>Conditions</w:t>
            </w:r>
          </w:p>
        </w:tc>
      </w:tr>
      <w:tr w:rsidR="00A95E95" w:rsidRPr="00A95E95" w:rsidTr="00046B75">
        <w:trPr>
          <w:cantSplit/>
        </w:trPr>
        <w:tc>
          <w:tcPr>
            <w:tcW w:w="1524" w:type="dxa"/>
            <w:tcBorders>
              <w:top w:val="single" w:sz="4" w:space="0" w:color="auto"/>
              <w:left w:val="nil"/>
              <w:bottom w:val="nil"/>
              <w:right w:val="nil"/>
            </w:tcBorders>
          </w:tcPr>
          <w:p w:rsidR="00A95E95" w:rsidRPr="00A95E95" w:rsidRDefault="00607847" w:rsidP="00A95E95">
            <w:pPr>
              <w:keepNext/>
              <w:keepLines/>
              <w:autoSpaceDE w:val="0"/>
              <w:autoSpaceDN w:val="0"/>
              <w:adjustRightInd w:val="0"/>
              <w:spacing w:before="120" w:after="0" w:line="240" w:lineRule="auto"/>
              <w:jc w:val="left"/>
              <w:rPr>
                <w:rFonts w:eastAsia="Times New Roman"/>
                <w:color w:val="000000"/>
                <w:sz w:val="20"/>
                <w:szCs w:val="20"/>
                <w:lang w:eastAsia="en-AU"/>
              </w:rPr>
            </w:pPr>
            <w:hyperlink r:id="rId45" w:history="1">
              <w:r w:rsidR="00A95E95" w:rsidRPr="00A95E95">
                <w:rPr>
                  <w:rFonts w:eastAsia="Times New Roman"/>
                  <w:i/>
                  <w:iCs/>
                  <w:color w:val="000000"/>
                  <w:sz w:val="20"/>
                  <w:szCs w:val="20"/>
                  <w:lang w:eastAsia="en-AU"/>
                </w:rPr>
                <w:t>Criminal Law Consolidation Act 1935</w:t>
              </w:r>
            </w:hyperlink>
          </w:p>
        </w:tc>
        <w:tc>
          <w:tcPr>
            <w:tcW w:w="4459" w:type="dxa"/>
            <w:tcBorders>
              <w:top w:val="single" w:sz="4" w:space="0" w:color="auto"/>
              <w:left w:val="nil"/>
              <w:bottom w:val="nil"/>
              <w:right w:val="nil"/>
            </w:tcBorders>
          </w:tcPr>
          <w:p w:rsidR="00A95E95" w:rsidRPr="00A95E95" w:rsidRDefault="00A95E95" w:rsidP="00A95E95">
            <w:pPr>
              <w:keepNext/>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7 or 10A (Treason)</w:t>
            </w:r>
          </w:p>
        </w:tc>
        <w:tc>
          <w:tcPr>
            <w:tcW w:w="2008" w:type="dxa"/>
            <w:tcBorders>
              <w:top w:val="single" w:sz="4" w:space="0" w:color="auto"/>
              <w:left w:val="nil"/>
              <w:bottom w:val="nil"/>
              <w:right w:val="nil"/>
            </w:tcBorders>
          </w:tcPr>
          <w:p w:rsidR="00A95E95" w:rsidRPr="00A95E95" w:rsidRDefault="00A95E95" w:rsidP="00A95E95">
            <w:pPr>
              <w:keepNext/>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13 (Manslaughter)</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13A (Criminal liability in relation to suicide)</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14 (Criminal neglect)</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D</w:t>
            </w: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14A (Failing to provide food etc)</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D</w:t>
            </w: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19A(1) (Cause death or harm by use of vehicle or vessel)</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19AA(2) (Unlawful stalking)</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E</w:t>
            </w: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20 (Assault) being an aggravated offence</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A</w:t>
            </w: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137 (Robbery)</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E</w:t>
            </w: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139 (Deception)</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A</w:t>
            </w: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140(4) (Dishonest dealing with documents)</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A</w:t>
            </w: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142 (Dishonest exploitation of position of advantage)</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A</w:t>
            </w: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144B (False identity etc) where the serious offence to which the offence relates involves a child or vulnerable person</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144C (Misuse of personal identification information) where the serious offence to which the offence relates involves a child or vulnerable person</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144D(1) or (2) (Prohibited material)</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A</w:t>
            </w: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169 (Serious criminal trespass—non</w:t>
            </w:r>
            <w:r w:rsidRPr="00A95E95">
              <w:rPr>
                <w:rFonts w:eastAsia="Times New Roman"/>
                <w:color w:val="000000"/>
                <w:sz w:val="20"/>
                <w:szCs w:val="20"/>
                <w:lang w:eastAsia="en-AU"/>
              </w:rPr>
              <w:noBreakHyphen/>
              <w:t>residential buildings)</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E</w:t>
            </w: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170 (Serious criminal trespass—places of residence)</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E</w:t>
            </w: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174 (Piracy)</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270(1)(c) (Cheat or fraud at common law)</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A</w:t>
            </w: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270AB (Attempted manslaughter)</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607847" w:rsidP="00A95E95">
            <w:pPr>
              <w:keepNext/>
              <w:keepLines/>
              <w:autoSpaceDE w:val="0"/>
              <w:autoSpaceDN w:val="0"/>
              <w:adjustRightInd w:val="0"/>
              <w:spacing w:before="120" w:after="0" w:line="240" w:lineRule="auto"/>
              <w:jc w:val="left"/>
              <w:rPr>
                <w:rFonts w:eastAsia="Times New Roman"/>
                <w:color w:val="000000"/>
                <w:sz w:val="20"/>
                <w:szCs w:val="20"/>
                <w:lang w:eastAsia="en-AU"/>
              </w:rPr>
            </w:pPr>
            <w:hyperlink r:id="rId46" w:history="1">
              <w:r w:rsidR="00A95E95" w:rsidRPr="00A95E95">
                <w:rPr>
                  <w:rFonts w:eastAsia="Times New Roman"/>
                  <w:i/>
                  <w:iCs/>
                  <w:color w:val="000000"/>
                  <w:sz w:val="20"/>
                  <w:szCs w:val="20"/>
                  <w:lang w:eastAsia="en-AU"/>
                </w:rPr>
                <w:t>Controlled Substances Act 1984</w:t>
              </w:r>
            </w:hyperlink>
          </w:p>
        </w:tc>
        <w:tc>
          <w:tcPr>
            <w:tcW w:w="4459" w:type="dxa"/>
            <w:tcBorders>
              <w:top w:val="nil"/>
              <w:left w:val="nil"/>
              <w:bottom w:val="nil"/>
              <w:right w:val="nil"/>
            </w:tcBorders>
          </w:tcPr>
          <w:p w:rsidR="00A95E95" w:rsidRPr="00A95E95" w:rsidRDefault="00A95E95" w:rsidP="00A95E95">
            <w:pPr>
              <w:keepNext/>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32 (Trafficking) where the offence relates to a commercial or large commercial quantity</w:t>
            </w:r>
          </w:p>
        </w:tc>
        <w:tc>
          <w:tcPr>
            <w:tcW w:w="2008" w:type="dxa"/>
            <w:tcBorders>
              <w:top w:val="nil"/>
              <w:left w:val="nil"/>
              <w:bottom w:val="nil"/>
              <w:right w:val="nil"/>
            </w:tcBorders>
          </w:tcPr>
          <w:p w:rsidR="00A95E95" w:rsidRPr="00A95E95" w:rsidRDefault="00A95E95" w:rsidP="00A95E95">
            <w:pPr>
              <w:keepNext/>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33 (Manufacture of controlled drugs for sale) where the offence relates to a commercial or large commercial quantity</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 xml:space="preserve">section 33A (Sale, manufacture etc of controlled precursor) where the offence relates to a commercial or large commercial quantity </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33B (Cultivation of controlled plants for sale) where the offence relates to a commercial or large commercial quantity</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33C (Sale of controlled plants) where the offence relates to a commercial or large commercial quantity</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33F (Sale, supply or administration of controlled drug to child)</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33G (Sale, supply or administration of controlled drug in school zone)</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33GA (Sale of equipment to child for use in connection with consumption of controlled drugs)</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33GB (Sale of instructions to a child)</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33H (Procuring child to commit offence)</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607847" w:rsidP="00A95E95">
            <w:pPr>
              <w:keepLines/>
              <w:autoSpaceDE w:val="0"/>
              <w:autoSpaceDN w:val="0"/>
              <w:adjustRightInd w:val="0"/>
              <w:spacing w:before="120" w:after="0" w:line="240" w:lineRule="auto"/>
              <w:jc w:val="left"/>
              <w:rPr>
                <w:rFonts w:eastAsia="Times New Roman"/>
                <w:color w:val="000000"/>
                <w:sz w:val="20"/>
                <w:szCs w:val="20"/>
                <w:lang w:eastAsia="en-AU"/>
              </w:rPr>
            </w:pPr>
            <w:hyperlink r:id="rId47" w:history="1">
              <w:r w:rsidR="00A95E95" w:rsidRPr="00A95E95">
                <w:rPr>
                  <w:rFonts w:eastAsia="Times New Roman"/>
                  <w:i/>
                  <w:iCs/>
                  <w:color w:val="000000"/>
                  <w:sz w:val="20"/>
                  <w:szCs w:val="20"/>
                  <w:lang w:eastAsia="en-AU"/>
                </w:rPr>
                <w:t>Animal Welfare Act 1985</w:t>
              </w:r>
            </w:hyperlink>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13(1) (Ill treatment of animals)</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607847" w:rsidP="00A95E95">
            <w:pPr>
              <w:keepNext/>
              <w:keepLines/>
              <w:autoSpaceDE w:val="0"/>
              <w:autoSpaceDN w:val="0"/>
              <w:adjustRightInd w:val="0"/>
              <w:spacing w:before="120" w:after="0" w:line="240" w:lineRule="auto"/>
              <w:jc w:val="left"/>
              <w:rPr>
                <w:rFonts w:eastAsia="Times New Roman"/>
                <w:color w:val="000000"/>
                <w:sz w:val="20"/>
                <w:szCs w:val="20"/>
                <w:lang w:eastAsia="en-AU"/>
              </w:rPr>
            </w:pPr>
            <w:hyperlink r:id="rId48" w:history="1">
              <w:r w:rsidR="00A95E95" w:rsidRPr="00A95E95">
                <w:rPr>
                  <w:rFonts w:eastAsia="Times New Roman"/>
                  <w:i/>
                  <w:iCs/>
                  <w:color w:val="000000"/>
                  <w:sz w:val="20"/>
                  <w:szCs w:val="20"/>
                  <w:lang w:eastAsia="en-AU"/>
                </w:rPr>
                <w:t>Summary Offences Act 1953</w:t>
              </w:r>
            </w:hyperlink>
          </w:p>
        </w:tc>
        <w:tc>
          <w:tcPr>
            <w:tcW w:w="4459" w:type="dxa"/>
            <w:tcBorders>
              <w:top w:val="nil"/>
              <w:left w:val="nil"/>
              <w:bottom w:val="nil"/>
              <w:right w:val="nil"/>
            </w:tcBorders>
          </w:tcPr>
          <w:p w:rsidR="00A95E95" w:rsidRPr="00A95E95" w:rsidRDefault="00A95E95" w:rsidP="00A95E95">
            <w:pPr>
              <w:keepNext/>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6A (Violent disorder)</w:t>
            </w:r>
          </w:p>
        </w:tc>
        <w:tc>
          <w:tcPr>
            <w:tcW w:w="2008" w:type="dxa"/>
            <w:tcBorders>
              <w:top w:val="nil"/>
              <w:left w:val="nil"/>
              <w:bottom w:val="nil"/>
              <w:right w:val="nil"/>
            </w:tcBorders>
          </w:tcPr>
          <w:p w:rsidR="00A95E95" w:rsidRPr="00A95E95" w:rsidRDefault="00A95E95" w:rsidP="00A95E95">
            <w:pPr>
              <w:keepNext/>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A</w:t>
            </w: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26B(1) and (2) (Humiliating and degrading filming)</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A</w:t>
            </w: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26C (Distribution of invasive image)</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A</w:t>
            </w: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26D (Indecent filming)</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A</w:t>
            </w: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37 (Possession, production or distribution of extremist material)</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39 (Valueless cheque)</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A</w:t>
            </w: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607847" w:rsidP="00A95E95">
            <w:pPr>
              <w:keepLines/>
              <w:autoSpaceDE w:val="0"/>
              <w:autoSpaceDN w:val="0"/>
              <w:adjustRightInd w:val="0"/>
              <w:spacing w:before="120" w:after="0" w:line="240" w:lineRule="auto"/>
              <w:jc w:val="left"/>
              <w:rPr>
                <w:rFonts w:eastAsia="Times New Roman"/>
                <w:color w:val="000000"/>
                <w:sz w:val="20"/>
                <w:szCs w:val="20"/>
                <w:lang w:eastAsia="en-AU"/>
              </w:rPr>
            </w:pPr>
            <w:hyperlink r:id="rId49" w:history="1">
              <w:r w:rsidR="00A95E95" w:rsidRPr="00A95E95">
                <w:rPr>
                  <w:rFonts w:eastAsia="Times New Roman"/>
                  <w:i/>
                  <w:iCs/>
                  <w:color w:val="000000"/>
                  <w:sz w:val="20"/>
                  <w:szCs w:val="20"/>
                  <w:lang w:eastAsia="en-AU"/>
                </w:rPr>
                <w:t>Guardianship and Administration Act 1993</w:t>
              </w:r>
            </w:hyperlink>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76 (Ill treatment or neglect of person with mental incapacity)</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D</w:t>
            </w: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607847" w:rsidP="00A95E95">
            <w:pPr>
              <w:keepLines/>
              <w:autoSpaceDE w:val="0"/>
              <w:autoSpaceDN w:val="0"/>
              <w:adjustRightInd w:val="0"/>
              <w:spacing w:before="120" w:after="0" w:line="240" w:lineRule="auto"/>
              <w:jc w:val="left"/>
              <w:rPr>
                <w:rFonts w:eastAsia="Times New Roman"/>
                <w:color w:val="000000"/>
                <w:sz w:val="20"/>
                <w:szCs w:val="20"/>
                <w:lang w:eastAsia="en-AU"/>
              </w:rPr>
            </w:pPr>
            <w:hyperlink r:id="rId50" w:history="1">
              <w:r w:rsidR="00A95E95" w:rsidRPr="00A95E95">
                <w:rPr>
                  <w:rFonts w:eastAsia="Times New Roman"/>
                  <w:i/>
                  <w:iCs/>
                  <w:color w:val="000000"/>
                  <w:sz w:val="20"/>
                  <w:szCs w:val="20"/>
                  <w:lang w:eastAsia="en-AU"/>
                </w:rPr>
                <w:t>Mental Health Act 2009</w:t>
              </w:r>
            </w:hyperlink>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49 (Neglect or ill treatment)</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Next/>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i/>
                <w:iCs/>
                <w:color w:val="000000"/>
                <w:sz w:val="20"/>
                <w:szCs w:val="20"/>
                <w:lang w:eastAsia="en-AU"/>
              </w:rPr>
              <w:lastRenderedPageBreak/>
              <w:t>Criminal Code</w:t>
            </w:r>
            <w:r w:rsidRPr="00A95E95">
              <w:rPr>
                <w:rFonts w:eastAsia="Times New Roman"/>
                <w:color w:val="000000"/>
                <w:sz w:val="20"/>
                <w:szCs w:val="20"/>
                <w:lang w:eastAsia="en-AU"/>
              </w:rPr>
              <w:t xml:space="preserve"> of the Commonwealth</w:t>
            </w:r>
          </w:p>
        </w:tc>
        <w:tc>
          <w:tcPr>
            <w:tcW w:w="4459" w:type="dxa"/>
            <w:tcBorders>
              <w:top w:val="nil"/>
              <w:left w:val="nil"/>
              <w:bottom w:val="nil"/>
              <w:right w:val="nil"/>
            </w:tcBorders>
          </w:tcPr>
          <w:p w:rsidR="00A95E95" w:rsidRPr="00A95E95" w:rsidRDefault="00A95E95" w:rsidP="00A95E95">
            <w:pPr>
              <w:keepNext/>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71.3 (Manslaughter of a UN person etc)</w:t>
            </w:r>
          </w:p>
        </w:tc>
        <w:tc>
          <w:tcPr>
            <w:tcW w:w="2008" w:type="dxa"/>
            <w:tcBorders>
              <w:top w:val="nil"/>
              <w:left w:val="nil"/>
              <w:bottom w:val="nil"/>
              <w:right w:val="nil"/>
            </w:tcBorders>
          </w:tcPr>
          <w:p w:rsidR="00A95E95" w:rsidRPr="00A95E95" w:rsidRDefault="00A95E95" w:rsidP="00A95E95">
            <w:pPr>
              <w:keepNext/>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73.8, 9 or 10 (Document offences relating to people smuggling etc)</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A</w:t>
            </w: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Division 80 (Treason etc)</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82.3 to 9 (Sabotage)</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83.1, 2 or 3 (Other threats to security)</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91.1, 2, 3, 6, 8, 11 or 12 (Espionage)</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92.2, 3, 4, 7, 8, 9 or 10 (Foreign interference)</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92A.1 (Theft of trade secrets involving foreign government principal)</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101.1, 2, 4, 5 or 6 (Terrorism)</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102.2(1), 3, 4, 5, 6, 7 or 8 (Terrorist organisations)</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103.1 or 2 (Financing terrorism)</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115.2 (Manslaughter of an Australian citizen etc)</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119.1(1) or 4(2) (Foreign incursions and recruitment)</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122.1, 2 or 4 (Secrecy of information)</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134.1 or 2 (Obtaining property or a financial advantage by deception)</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A</w:t>
            </w: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135.1(1) or (2), 2 or 4(1) (Other offences involving fraudulent conduct)</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A</w:t>
            </w: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136.1 (False or misleading statements in applications)</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A</w:t>
            </w: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137.1 or 2 (False or misleading information or documents)</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A</w:t>
            </w: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142.2 (Abuse of public office)</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A</w:t>
            </w: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144.1 (Forgery)</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A</w:t>
            </w: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145.1, 2, 4 or 5 (Offences relating to forgery)</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A</w:t>
            </w: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148.1(1) or 2(1) or (3) (Impersonation of Commonwealth officials)</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A</w:t>
            </w: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268.11, 12, 17, 18, 20, 21(2), 22 or 23 (Crimes against humanity)</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268.29 to 37, 38(2), 39, 45, 46, 49(2), 51 to 54, 57 to 59, 62, 63, 66 to 68, 72, 74, 75, 76(1), 77 to 81, 85, 86, 88, 89, 90(2), 93(2), 94 to 96, 99, 100 or 101 (War crimes)</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268.40(2), 41 to 44, 50, 55, 56, 91, 97 or 98 (War crimes not resulting in death)</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273B.4 (Failing to protect child at risk of child sexual abuse offence)</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302.2 (Trafficking commercial quantities of controlled drugs)</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303.4 (Cultivating commercial quantities of controlled plants)</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304.1 (Selling commercial quantities of controlled plants)</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305.3 (Manufacturing commercial quantities of controlled drugs)</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305.4 (Manufacturing marketable quantities of controlled drugs)</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A</w:t>
            </w: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306.2, 3, 4 (Pre</w:t>
            </w:r>
            <w:r w:rsidRPr="00A95E95">
              <w:rPr>
                <w:rFonts w:eastAsia="Times New Roman"/>
                <w:color w:val="000000"/>
                <w:sz w:val="20"/>
                <w:szCs w:val="20"/>
                <w:lang w:eastAsia="en-AU"/>
              </w:rPr>
              <w:noBreakHyphen/>
              <w:t>trafficking controlled precursors)</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A</w:t>
            </w: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307.1 or 11 (Importing and exporting offences)</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308.3 (Possessing plant material, equipment or instructions for commercial cultivation of controlled plants)</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309.2, 3, 4, 7, 8, 10 to 15 (Drug offences involving children)</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310.2 or 3 (Harm and danger to children under 14 from serious drug offences)</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372.1, 1A or 2 (Identity fraud offences)</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A</w:t>
            </w: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474.17A (Aggravated offences involving private sexual material—using a carriage service to menace, harass or cause offence)</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r>
      <w:tr w:rsidR="00A95E95" w:rsidRPr="00A95E95" w:rsidTr="00046B75">
        <w:trPr>
          <w:cantSplit/>
        </w:trPr>
        <w:tc>
          <w:tcPr>
            <w:tcW w:w="1524"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p>
        </w:tc>
        <w:tc>
          <w:tcPr>
            <w:tcW w:w="4459"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section 480.4 (Dishonestly obtain or deal in personal financial information)</w:t>
            </w:r>
          </w:p>
        </w:tc>
        <w:tc>
          <w:tcPr>
            <w:tcW w:w="2008" w:type="dxa"/>
            <w:tcBorders>
              <w:top w:val="nil"/>
              <w:left w:val="nil"/>
              <w:bottom w:val="nil"/>
              <w:right w:val="nil"/>
            </w:tcBorders>
          </w:tcPr>
          <w:p w:rsidR="00A95E95" w:rsidRPr="00A95E95" w:rsidRDefault="00A95E95" w:rsidP="00A95E95">
            <w:pPr>
              <w:keepLines/>
              <w:autoSpaceDE w:val="0"/>
              <w:autoSpaceDN w:val="0"/>
              <w:adjustRightInd w:val="0"/>
              <w:spacing w:before="120" w:after="0" w:line="240" w:lineRule="auto"/>
              <w:jc w:val="left"/>
              <w:rPr>
                <w:rFonts w:eastAsia="Times New Roman"/>
                <w:color w:val="000000"/>
                <w:sz w:val="20"/>
                <w:szCs w:val="20"/>
                <w:lang w:eastAsia="en-AU"/>
              </w:rPr>
            </w:pPr>
            <w:r w:rsidRPr="00A95E95">
              <w:rPr>
                <w:rFonts w:eastAsia="Times New Roman"/>
                <w:color w:val="000000"/>
                <w:sz w:val="20"/>
                <w:szCs w:val="20"/>
                <w:lang w:eastAsia="en-AU"/>
              </w:rPr>
              <w:t>A</w:t>
            </w:r>
          </w:p>
        </w:tc>
      </w:tr>
    </w:tbl>
    <w:p w:rsidR="00A95E95" w:rsidRPr="00A95E95" w:rsidRDefault="00A95E95" w:rsidP="00A95E95">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A95E95">
        <w:rPr>
          <w:rFonts w:eastAsia="Times New Roman"/>
          <w:b/>
          <w:bCs/>
          <w:color w:val="000000"/>
          <w:sz w:val="20"/>
          <w:szCs w:val="20"/>
          <w:lang w:eastAsia="en-AU"/>
        </w:rPr>
        <w:t>Note—</w:t>
      </w:r>
    </w:p>
    <w:p w:rsidR="00A95E95" w:rsidRPr="00A95E95" w:rsidRDefault="00A95E95" w:rsidP="00A95E95">
      <w:pPr>
        <w:keepLines/>
        <w:autoSpaceDE w:val="0"/>
        <w:autoSpaceDN w:val="0"/>
        <w:adjustRightInd w:val="0"/>
        <w:spacing w:before="120" w:after="0" w:line="240" w:lineRule="auto"/>
        <w:ind w:left="794"/>
        <w:jc w:val="left"/>
        <w:rPr>
          <w:rFonts w:eastAsia="Times New Roman"/>
          <w:color w:val="000000"/>
          <w:sz w:val="20"/>
          <w:szCs w:val="20"/>
          <w:lang w:eastAsia="en-AU"/>
        </w:rPr>
      </w:pPr>
      <w:r w:rsidRPr="00A95E95">
        <w:rPr>
          <w:rFonts w:eastAsia="Times New Roman"/>
          <w:color w:val="000000"/>
          <w:sz w:val="20"/>
          <w:szCs w:val="20"/>
          <w:lang w:eastAsia="en-AU"/>
        </w:rPr>
        <w:t xml:space="preserve">As required by section 10AA(2) of the </w:t>
      </w:r>
      <w:hyperlink r:id="rId51" w:history="1">
        <w:r w:rsidRPr="00A95E95">
          <w:rPr>
            <w:rFonts w:eastAsia="Times New Roman"/>
            <w:i/>
            <w:iCs/>
            <w:color w:val="000000"/>
            <w:sz w:val="20"/>
            <w:szCs w:val="20"/>
            <w:lang w:eastAsia="en-AU"/>
          </w:rPr>
          <w:t>Subordinate Legislation Act 1978</w:t>
        </w:r>
      </w:hyperlink>
      <w:r w:rsidRPr="00A95E95">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A95E95" w:rsidRPr="00A95E95" w:rsidRDefault="00A95E95" w:rsidP="00A95E95">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A95E95">
        <w:rPr>
          <w:rFonts w:eastAsia="Times New Roman"/>
          <w:b/>
          <w:bCs/>
          <w:color w:val="000000"/>
          <w:sz w:val="26"/>
          <w:szCs w:val="26"/>
          <w:lang w:eastAsia="en-AU"/>
        </w:rPr>
        <w:t>Made by the Governor</w:t>
      </w:r>
    </w:p>
    <w:p w:rsidR="00A95E95" w:rsidRPr="00A95E95" w:rsidRDefault="00A95E95" w:rsidP="00A95E95">
      <w:pPr>
        <w:keepNext/>
        <w:keepLines/>
        <w:autoSpaceDE w:val="0"/>
        <w:autoSpaceDN w:val="0"/>
        <w:adjustRightInd w:val="0"/>
        <w:spacing w:before="120" w:after="0" w:line="240" w:lineRule="auto"/>
        <w:jc w:val="left"/>
        <w:rPr>
          <w:rFonts w:eastAsia="Times New Roman"/>
          <w:color w:val="000000"/>
          <w:sz w:val="23"/>
          <w:szCs w:val="23"/>
          <w:lang w:eastAsia="en-AU"/>
        </w:rPr>
      </w:pPr>
      <w:r w:rsidRPr="00A95E95">
        <w:rPr>
          <w:rFonts w:eastAsia="Times New Roman"/>
          <w:color w:val="000000"/>
          <w:sz w:val="23"/>
          <w:szCs w:val="23"/>
          <w:lang w:eastAsia="en-AU"/>
        </w:rPr>
        <w:t>with the advice and consent of the Executive Council</w:t>
      </w:r>
    </w:p>
    <w:p w:rsidR="00A95E95" w:rsidRPr="00A95E95" w:rsidRDefault="00A95E95" w:rsidP="00A95E95">
      <w:pPr>
        <w:keepNext/>
        <w:keepLines/>
        <w:autoSpaceDE w:val="0"/>
        <w:autoSpaceDN w:val="0"/>
        <w:adjustRightInd w:val="0"/>
        <w:spacing w:after="0" w:line="240" w:lineRule="auto"/>
        <w:jc w:val="left"/>
        <w:rPr>
          <w:rFonts w:eastAsia="Times New Roman"/>
          <w:color w:val="000000"/>
          <w:sz w:val="23"/>
          <w:szCs w:val="23"/>
          <w:lang w:eastAsia="en-AU"/>
        </w:rPr>
      </w:pPr>
      <w:r w:rsidRPr="00A95E95">
        <w:rPr>
          <w:rFonts w:eastAsia="Times New Roman"/>
          <w:color w:val="000000"/>
          <w:sz w:val="23"/>
          <w:szCs w:val="23"/>
          <w:lang w:eastAsia="en-AU"/>
        </w:rPr>
        <w:t>on 17 December 2020</w:t>
      </w:r>
    </w:p>
    <w:p w:rsidR="00A95E95" w:rsidRDefault="00A95E95" w:rsidP="00A95E95">
      <w:pPr>
        <w:keepNext/>
        <w:keepLines/>
        <w:autoSpaceDE w:val="0"/>
        <w:autoSpaceDN w:val="0"/>
        <w:adjustRightInd w:val="0"/>
        <w:spacing w:before="120" w:line="240" w:lineRule="auto"/>
        <w:jc w:val="left"/>
        <w:rPr>
          <w:rFonts w:eastAsia="Times New Roman"/>
          <w:color w:val="000000"/>
          <w:sz w:val="23"/>
          <w:szCs w:val="23"/>
          <w:lang w:eastAsia="en-AU"/>
        </w:rPr>
      </w:pPr>
      <w:r w:rsidRPr="00A95E95">
        <w:rPr>
          <w:rFonts w:eastAsia="Times New Roman"/>
          <w:color w:val="000000"/>
          <w:sz w:val="23"/>
          <w:szCs w:val="23"/>
          <w:lang w:eastAsia="en-AU"/>
        </w:rPr>
        <w:t>No 316 of 2020</w:t>
      </w:r>
    </w:p>
    <w:p w:rsidR="00A95E95" w:rsidRDefault="00A95E95" w:rsidP="00A95E95">
      <w:pPr>
        <w:pBdr>
          <w:top w:val="single" w:sz="4" w:space="1" w:color="auto"/>
        </w:pBdr>
        <w:autoSpaceDE w:val="0"/>
        <w:autoSpaceDN w:val="0"/>
        <w:adjustRightInd w:val="0"/>
        <w:spacing w:before="100" w:after="0" w:line="14" w:lineRule="exact"/>
        <w:jc w:val="center"/>
        <w:rPr>
          <w:rFonts w:eastAsia="Times New Roman"/>
          <w:color w:val="000000"/>
          <w:sz w:val="23"/>
          <w:szCs w:val="23"/>
          <w:lang w:eastAsia="en-AU"/>
        </w:rPr>
      </w:pPr>
    </w:p>
    <w:p w:rsidR="00772E2B" w:rsidRDefault="00772E2B" w:rsidP="0016463B">
      <w:pPr>
        <w:pStyle w:val="GG-body"/>
      </w:pPr>
    </w:p>
    <w:p w:rsidR="00E2228C" w:rsidRDefault="00E2228C">
      <w:pPr>
        <w:spacing w:after="0" w:line="240" w:lineRule="auto"/>
        <w:jc w:val="left"/>
        <w:rPr>
          <w:rFonts w:eastAsia="Times New Roman"/>
          <w:szCs w:val="17"/>
        </w:rPr>
      </w:pPr>
      <w:r>
        <w:br w:type="page"/>
      </w:r>
    </w:p>
    <w:p w:rsidR="007E16A4" w:rsidRDefault="007E16A4" w:rsidP="007E16A4">
      <w:pPr>
        <w:pStyle w:val="RegSpace"/>
        <w:rPr>
          <w:lang w:eastAsia="en-AU"/>
        </w:rPr>
      </w:pPr>
    </w:p>
    <w:p w:rsidR="007E16A4" w:rsidRPr="007E16A4" w:rsidRDefault="007E16A4" w:rsidP="007E16A4">
      <w:pPr>
        <w:keepLines/>
        <w:autoSpaceDE w:val="0"/>
        <w:autoSpaceDN w:val="0"/>
        <w:adjustRightInd w:val="0"/>
        <w:spacing w:before="240" w:after="0" w:line="240" w:lineRule="auto"/>
        <w:jc w:val="left"/>
        <w:rPr>
          <w:rFonts w:eastAsia="Times New Roman"/>
          <w:color w:val="000000"/>
          <w:sz w:val="28"/>
          <w:szCs w:val="28"/>
          <w:lang w:eastAsia="en-AU"/>
        </w:rPr>
      </w:pPr>
      <w:r w:rsidRPr="007E16A4">
        <w:rPr>
          <w:rFonts w:eastAsia="Times New Roman"/>
          <w:color w:val="000000"/>
          <w:sz w:val="28"/>
          <w:szCs w:val="28"/>
          <w:lang w:eastAsia="en-AU"/>
        </w:rPr>
        <w:t>South Australia</w:t>
      </w:r>
    </w:p>
    <w:p w:rsidR="007E16A4" w:rsidRPr="00457935" w:rsidRDefault="007E16A4" w:rsidP="00457935">
      <w:pPr>
        <w:pStyle w:val="Heading3"/>
      </w:pPr>
      <w:bookmarkStart w:id="92" w:name="_Toc59098935"/>
      <w:r w:rsidRPr="00457935">
        <w:t>Bail (Bail Authorities) Variation Regulations 2020</w:t>
      </w:r>
      <w:bookmarkEnd w:id="92"/>
    </w:p>
    <w:p w:rsidR="007E16A4" w:rsidRPr="007E16A4" w:rsidRDefault="007E16A4" w:rsidP="007E16A4">
      <w:pPr>
        <w:keepLines/>
        <w:autoSpaceDE w:val="0"/>
        <w:autoSpaceDN w:val="0"/>
        <w:adjustRightInd w:val="0"/>
        <w:spacing w:before="80" w:after="240" w:line="240" w:lineRule="auto"/>
        <w:jc w:val="left"/>
        <w:rPr>
          <w:rFonts w:eastAsia="Times New Roman"/>
          <w:color w:val="000000"/>
          <w:sz w:val="24"/>
          <w:szCs w:val="24"/>
          <w:lang w:eastAsia="en-AU"/>
        </w:rPr>
      </w:pPr>
      <w:r w:rsidRPr="007E16A4">
        <w:rPr>
          <w:rFonts w:eastAsia="Times New Roman"/>
          <w:color w:val="000000"/>
          <w:sz w:val="24"/>
          <w:szCs w:val="24"/>
          <w:lang w:eastAsia="en-AU"/>
        </w:rPr>
        <w:t xml:space="preserve">under the </w:t>
      </w:r>
      <w:r w:rsidRPr="007E16A4">
        <w:rPr>
          <w:rFonts w:eastAsia="Times New Roman"/>
          <w:i/>
          <w:iCs/>
          <w:color w:val="000000"/>
          <w:sz w:val="24"/>
          <w:szCs w:val="24"/>
          <w:lang w:eastAsia="en-AU"/>
        </w:rPr>
        <w:t>Bail Act 1985</w:t>
      </w:r>
    </w:p>
    <w:p w:rsidR="007E16A4" w:rsidRPr="007E16A4" w:rsidRDefault="007E16A4" w:rsidP="007E16A4">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7E16A4" w:rsidRPr="007E16A4" w:rsidRDefault="007E16A4" w:rsidP="007E16A4">
      <w:pPr>
        <w:keepLines/>
        <w:autoSpaceDE w:val="0"/>
        <w:autoSpaceDN w:val="0"/>
        <w:adjustRightInd w:val="0"/>
        <w:spacing w:before="120" w:after="0" w:line="240" w:lineRule="auto"/>
        <w:jc w:val="left"/>
        <w:rPr>
          <w:rFonts w:eastAsia="Times New Roman"/>
          <w:b/>
          <w:bCs/>
          <w:color w:val="000000"/>
          <w:sz w:val="32"/>
          <w:szCs w:val="32"/>
          <w:lang w:eastAsia="en-AU"/>
        </w:rPr>
      </w:pPr>
      <w:r w:rsidRPr="007E16A4">
        <w:rPr>
          <w:rFonts w:eastAsia="Times New Roman"/>
          <w:b/>
          <w:bCs/>
          <w:color w:val="000000"/>
          <w:sz w:val="32"/>
          <w:szCs w:val="32"/>
          <w:lang w:eastAsia="en-AU"/>
        </w:rPr>
        <w:t>Contents</w:t>
      </w:r>
    </w:p>
    <w:p w:rsidR="007E16A4" w:rsidRPr="007E16A4" w:rsidRDefault="00607847" w:rsidP="007E16A4">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7E16A4" w:rsidRPr="007E16A4">
          <w:rPr>
            <w:rFonts w:eastAsia="Times New Roman"/>
            <w:color w:val="000000"/>
            <w:sz w:val="28"/>
            <w:szCs w:val="28"/>
            <w:lang w:eastAsia="en-AU"/>
          </w:rPr>
          <w:t>Part 1—Preliminary</w:t>
        </w:r>
      </w:hyperlink>
    </w:p>
    <w:p w:rsidR="007E16A4" w:rsidRPr="007E16A4" w:rsidRDefault="00607847" w:rsidP="007E16A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7E16A4" w:rsidRPr="007E16A4">
          <w:rPr>
            <w:rFonts w:eastAsia="Times New Roman"/>
            <w:color w:val="000000"/>
            <w:sz w:val="22"/>
            <w:lang w:eastAsia="en-AU"/>
          </w:rPr>
          <w:t>1</w:t>
        </w:r>
        <w:r w:rsidR="007E16A4" w:rsidRPr="007E16A4">
          <w:rPr>
            <w:rFonts w:eastAsia="Times New Roman"/>
            <w:color w:val="000000"/>
            <w:sz w:val="22"/>
            <w:lang w:eastAsia="en-AU"/>
          </w:rPr>
          <w:tab/>
          <w:t>Short title</w:t>
        </w:r>
      </w:hyperlink>
    </w:p>
    <w:p w:rsidR="007E16A4" w:rsidRPr="007E16A4" w:rsidRDefault="00607847" w:rsidP="007E16A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7E16A4" w:rsidRPr="007E16A4">
          <w:rPr>
            <w:rFonts w:eastAsia="Times New Roman"/>
            <w:color w:val="000000"/>
            <w:sz w:val="22"/>
            <w:lang w:eastAsia="en-AU"/>
          </w:rPr>
          <w:t>2</w:t>
        </w:r>
        <w:r w:rsidR="007E16A4" w:rsidRPr="007E16A4">
          <w:rPr>
            <w:rFonts w:eastAsia="Times New Roman"/>
            <w:color w:val="000000"/>
            <w:sz w:val="22"/>
            <w:lang w:eastAsia="en-AU"/>
          </w:rPr>
          <w:tab/>
          <w:t>Commencement</w:t>
        </w:r>
      </w:hyperlink>
    </w:p>
    <w:p w:rsidR="007E16A4" w:rsidRPr="007E16A4" w:rsidRDefault="00607847" w:rsidP="007E16A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7E16A4" w:rsidRPr="007E16A4">
          <w:rPr>
            <w:rFonts w:eastAsia="Times New Roman"/>
            <w:color w:val="000000"/>
            <w:sz w:val="22"/>
            <w:lang w:eastAsia="en-AU"/>
          </w:rPr>
          <w:t>3</w:t>
        </w:r>
        <w:r w:rsidR="007E16A4" w:rsidRPr="007E16A4">
          <w:rPr>
            <w:rFonts w:eastAsia="Times New Roman"/>
            <w:color w:val="000000"/>
            <w:sz w:val="22"/>
            <w:lang w:eastAsia="en-AU"/>
          </w:rPr>
          <w:tab/>
          <w:t>Variation provisions</w:t>
        </w:r>
      </w:hyperlink>
    </w:p>
    <w:p w:rsidR="007E16A4" w:rsidRPr="007E16A4" w:rsidRDefault="00607847" w:rsidP="007E16A4">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7E16A4" w:rsidRPr="007E16A4">
          <w:rPr>
            <w:rFonts w:eastAsia="Times New Roman"/>
            <w:color w:val="000000"/>
            <w:sz w:val="28"/>
            <w:szCs w:val="28"/>
            <w:lang w:eastAsia="en-AU"/>
          </w:rPr>
          <w:t xml:space="preserve">Part 2—Variation of </w:t>
        </w:r>
        <w:r w:rsidR="007E16A4" w:rsidRPr="007E16A4">
          <w:rPr>
            <w:rFonts w:eastAsia="Times New Roman"/>
            <w:i/>
            <w:iCs/>
            <w:color w:val="000000"/>
            <w:sz w:val="28"/>
            <w:szCs w:val="28"/>
            <w:lang w:eastAsia="en-AU"/>
          </w:rPr>
          <w:t>Bail Regulations 2015</w:t>
        </w:r>
      </w:hyperlink>
    </w:p>
    <w:p w:rsidR="007E16A4" w:rsidRPr="007E16A4" w:rsidRDefault="00607847" w:rsidP="007E16A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7E16A4" w:rsidRPr="007E16A4">
          <w:rPr>
            <w:rFonts w:eastAsia="Times New Roman"/>
            <w:color w:val="000000"/>
            <w:sz w:val="22"/>
            <w:lang w:eastAsia="en-AU"/>
          </w:rPr>
          <w:t>4</w:t>
        </w:r>
        <w:r w:rsidR="007E16A4" w:rsidRPr="007E16A4">
          <w:rPr>
            <w:rFonts w:eastAsia="Times New Roman"/>
            <w:color w:val="000000"/>
            <w:sz w:val="22"/>
            <w:lang w:eastAsia="en-AU"/>
          </w:rPr>
          <w:tab/>
          <w:t>Variation of Schedule 2—Section 13 statement</w:t>
        </w:r>
      </w:hyperlink>
    </w:p>
    <w:p w:rsidR="007E16A4" w:rsidRPr="007E16A4" w:rsidRDefault="007E16A4" w:rsidP="007E16A4">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7E16A4" w:rsidRPr="007E16A4" w:rsidRDefault="007E16A4" w:rsidP="007E16A4">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7E16A4">
        <w:rPr>
          <w:rFonts w:eastAsia="Times New Roman"/>
          <w:b/>
          <w:bCs/>
          <w:color w:val="000000"/>
          <w:sz w:val="32"/>
          <w:szCs w:val="32"/>
          <w:lang w:eastAsia="en-AU"/>
        </w:rPr>
        <w:t>Part 1—Preliminary</w:t>
      </w:r>
    </w:p>
    <w:p w:rsidR="007E16A4" w:rsidRPr="007E16A4" w:rsidRDefault="007E16A4" w:rsidP="007E16A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E16A4">
        <w:rPr>
          <w:rFonts w:eastAsia="Times New Roman"/>
          <w:b/>
          <w:bCs/>
          <w:color w:val="000000"/>
          <w:sz w:val="26"/>
          <w:szCs w:val="26"/>
          <w:lang w:eastAsia="en-AU"/>
        </w:rPr>
        <w:t>1—Short title</w:t>
      </w:r>
    </w:p>
    <w:p w:rsidR="007E16A4" w:rsidRPr="007E16A4" w:rsidRDefault="007E16A4" w:rsidP="007E16A4">
      <w:pPr>
        <w:keepLines/>
        <w:autoSpaceDE w:val="0"/>
        <w:autoSpaceDN w:val="0"/>
        <w:adjustRightInd w:val="0"/>
        <w:spacing w:before="120" w:after="0" w:line="240" w:lineRule="auto"/>
        <w:ind w:left="794"/>
        <w:jc w:val="left"/>
        <w:rPr>
          <w:rFonts w:eastAsia="Times New Roman"/>
          <w:color w:val="000000"/>
          <w:sz w:val="23"/>
          <w:szCs w:val="23"/>
          <w:lang w:eastAsia="en-AU"/>
        </w:rPr>
      </w:pPr>
      <w:r w:rsidRPr="007E16A4">
        <w:rPr>
          <w:rFonts w:eastAsia="Times New Roman"/>
          <w:color w:val="000000"/>
          <w:sz w:val="23"/>
          <w:szCs w:val="23"/>
          <w:lang w:eastAsia="en-AU"/>
        </w:rPr>
        <w:t xml:space="preserve">These regulations may be cited as the </w:t>
      </w:r>
      <w:r w:rsidRPr="007E16A4">
        <w:rPr>
          <w:rFonts w:eastAsia="Times New Roman"/>
          <w:i/>
          <w:iCs/>
          <w:color w:val="000000"/>
          <w:sz w:val="23"/>
          <w:szCs w:val="23"/>
          <w:lang w:eastAsia="en-AU"/>
        </w:rPr>
        <w:t>Bail (Bail Authorities) Variation Regulations 2020</w:t>
      </w:r>
      <w:r w:rsidRPr="007E16A4">
        <w:rPr>
          <w:rFonts w:eastAsia="Times New Roman"/>
          <w:color w:val="000000"/>
          <w:sz w:val="23"/>
          <w:szCs w:val="23"/>
          <w:lang w:eastAsia="en-AU"/>
        </w:rPr>
        <w:t>.</w:t>
      </w:r>
    </w:p>
    <w:p w:rsidR="007E16A4" w:rsidRPr="007E16A4" w:rsidRDefault="007E16A4" w:rsidP="007E16A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E16A4">
        <w:rPr>
          <w:rFonts w:eastAsia="Times New Roman"/>
          <w:b/>
          <w:bCs/>
          <w:color w:val="000000"/>
          <w:sz w:val="26"/>
          <w:szCs w:val="26"/>
          <w:lang w:eastAsia="en-AU"/>
        </w:rPr>
        <w:t>2—Commencement</w:t>
      </w:r>
    </w:p>
    <w:p w:rsidR="007E16A4" w:rsidRPr="007E16A4" w:rsidRDefault="007E16A4" w:rsidP="007E16A4">
      <w:pPr>
        <w:keepLines/>
        <w:autoSpaceDE w:val="0"/>
        <w:autoSpaceDN w:val="0"/>
        <w:adjustRightInd w:val="0"/>
        <w:spacing w:before="120" w:after="0" w:line="240" w:lineRule="auto"/>
        <w:ind w:left="794"/>
        <w:jc w:val="left"/>
        <w:rPr>
          <w:rFonts w:eastAsia="Times New Roman"/>
          <w:color w:val="000000"/>
          <w:sz w:val="23"/>
          <w:szCs w:val="23"/>
          <w:lang w:eastAsia="en-AU"/>
        </w:rPr>
      </w:pPr>
      <w:r w:rsidRPr="007E16A4">
        <w:rPr>
          <w:rFonts w:eastAsia="Times New Roman"/>
          <w:color w:val="000000"/>
          <w:sz w:val="23"/>
          <w:szCs w:val="23"/>
          <w:lang w:eastAsia="en-AU"/>
        </w:rPr>
        <w:t xml:space="preserve">These regulations come into operation on the day on which the </w:t>
      </w:r>
      <w:hyperlink r:id="rId52" w:history="1">
        <w:r w:rsidRPr="007E16A4">
          <w:rPr>
            <w:rFonts w:eastAsia="Times New Roman"/>
            <w:i/>
            <w:iCs/>
            <w:color w:val="000000"/>
            <w:sz w:val="23"/>
            <w:szCs w:val="23"/>
            <w:lang w:eastAsia="en-AU"/>
          </w:rPr>
          <w:t>Statutes Amendment (Bail Authorities) Act 2020</w:t>
        </w:r>
      </w:hyperlink>
      <w:r w:rsidRPr="007E16A4">
        <w:rPr>
          <w:rFonts w:eastAsia="Times New Roman"/>
          <w:color w:val="000000"/>
          <w:sz w:val="23"/>
          <w:szCs w:val="23"/>
          <w:lang w:eastAsia="en-AU"/>
        </w:rPr>
        <w:t xml:space="preserve"> comes into operation.</w:t>
      </w:r>
    </w:p>
    <w:p w:rsidR="007E16A4" w:rsidRPr="007E16A4" w:rsidRDefault="007E16A4" w:rsidP="007E16A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E16A4">
        <w:rPr>
          <w:rFonts w:eastAsia="Times New Roman"/>
          <w:b/>
          <w:bCs/>
          <w:color w:val="000000"/>
          <w:sz w:val="26"/>
          <w:szCs w:val="26"/>
          <w:lang w:eastAsia="en-AU"/>
        </w:rPr>
        <w:t>3—Variation provisions</w:t>
      </w:r>
    </w:p>
    <w:p w:rsidR="007E16A4" w:rsidRPr="007E16A4" w:rsidRDefault="007E16A4" w:rsidP="007E16A4">
      <w:pPr>
        <w:keepLines/>
        <w:autoSpaceDE w:val="0"/>
        <w:autoSpaceDN w:val="0"/>
        <w:adjustRightInd w:val="0"/>
        <w:spacing w:before="120" w:after="0" w:line="240" w:lineRule="auto"/>
        <w:ind w:left="794"/>
        <w:jc w:val="left"/>
        <w:rPr>
          <w:rFonts w:eastAsia="Times New Roman"/>
          <w:color w:val="000000"/>
          <w:sz w:val="23"/>
          <w:szCs w:val="23"/>
          <w:lang w:eastAsia="en-AU"/>
        </w:rPr>
      </w:pPr>
      <w:r w:rsidRPr="007E16A4">
        <w:rPr>
          <w:rFonts w:eastAsia="Times New Roman"/>
          <w:color w:val="000000"/>
          <w:sz w:val="23"/>
          <w:szCs w:val="23"/>
          <w:lang w:eastAsia="en-AU"/>
        </w:rPr>
        <w:t>In these regulations, a provision under a heading referring to the variation of specified regulations varies the regulations so specified.</w:t>
      </w:r>
    </w:p>
    <w:p w:rsidR="007E16A4" w:rsidRPr="007E16A4" w:rsidRDefault="007E16A4" w:rsidP="007E16A4">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7E16A4">
        <w:rPr>
          <w:rFonts w:eastAsia="Times New Roman"/>
          <w:b/>
          <w:bCs/>
          <w:color w:val="000000"/>
          <w:sz w:val="32"/>
          <w:szCs w:val="32"/>
          <w:lang w:eastAsia="en-AU"/>
        </w:rPr>
        <w:t xml:space="preserve">Part 2—Variation of </w:t>
      </w:r>
      <w:r w:rsidRPr="007E16A4">
        <w:rPr>
          <w:rFonts w:eastAsia="Times New Roman"/>
          <w:b/>
          <w:bCs/>
          <w:i/>
          <w:iCs/>
          <w:color w:val="000000"/>
          <w:sz w:val="32"/>
          <w:szCs w:val="32"/>
          <w:lang w:eastAsia="en-AU"/>
        </w:rPr>
        <w:t>Bail Regulations 2015</w:t>
      </w:r>
    </w:p>
    <w:p w:rsidR="007E16A4" w:rsidRPr="007E16A4" w:rsidRDefault="007E16A4" w:rsidP="007E16A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E16A4">
        <w:rPr>
          <w:rFonts w:eastAsia="Times New Roman"/>
          <w:b/>
          <w:bCs/>
          <w:color w:val="000000"/>
          <w:sz w:val="26"/>
          <w:szCs w:val="26"/>
          <w:lang w:eastAsia="en-AU"/>
        </w:rPr>
        <w:t>4—Variation of Schedule 2—Section 13 statement</w:t>
      </w:r>
    </w:p>
    <w:p w:rsidR="007E16A4" w:rsidRPr="007E16A4" w:rsidRDefault="007E16A4" w:rsidP="007E16A4">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7E16A4">
        <w:rPr>
          <w:rFonts w:eastAsia="Times New Roman"/>
          <w:color w:val="000000"/>
          <w:sz w:val="23"/>
          <w:szCs w:val="23"/>
          <w:lang w:eastAsia="en-AU"/>
        </w:rPr>
        <w:t>Schedule 2, Form, clause 4, dot point 2—delete dot point 2 and substitute:</w:t>
      </w:r>
    </w:p>
    <w:p w:rsidR="007E16A4" w:rsidRPr="007E16A4" w:rsidRDefault="007E16A4" w:rsidP="007E16A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7E16A4">
        <w:rPr>
          <w:rFonts w:eastAsia="Times New Roman"/>
          <w:color w:val="000000"/>
          <w:sz w:val="23"/>
          <w:szCs w:val="23"/>
          <w:lang w:eastAsia="en-AU"/>
        </w:rPr>
        <w:tab/>
        <w:t>•</w:t>
      </w:r>
      <w:r w:rsidRPr="007E16A4">
        <w:rPr>
          <w:rFonts w:eastAsia="Times New Roman"/>
          <w:color w:val="000000"/>
          <w:sz w:val="23"/>
          <w:szCs w:val="23"/>
          <w:lang w:eastAsia="en-AU"/>
        </w:rPr>
        <w:tab/>
        <w:t>the District Court;</w:t>
      </w:r>
    </w:p>
    <w:p w:rsidR="007E16A4" w:rsidRPr="007E16A4" w:rsidRDefault="007E16A4" w:rsidP="007E16A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7E16A4">
        <w:rPr>
          <w:rFonts w:eastAsia="Times New Roman"/>
          <w:color w:val="000000"/>
          <w:sz w:val="23"/>
          <w:szCs w:val="23"/>
          <w:lang w:eastAsia="en-AU"/>
        </w:rPr>
        <w:tab/>
        <w:t>•</w:t>
      </w:r>
      <w:r w:rsidRPr="007E16A4">
        <w:rPr>
          <w:rFonts w:eastAsia="Times New Roman"/>
          <w:color w:val="000000"/>
          <w:sz w:val="23"/>
          <w:szCs w:val="23"/>
          <w:lang w:eastAsia="en-AU"/>
        </w:rPr>
        <w:tab/>
        <w:t>the Magistrates Court;</w:t>
      </w:r>
    </w:p>
    <w:p w:rsidR="007E16A4" w:rsidRPr="007E16A4" w:rsidRDefault="007E16A4" w:rsidP="007E16A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7E16A4">
        <w:rPr>
          <w:rFonts w:eastAsia="Times New Roman"/>
          <w:color w:val="000000"/>
          <w:sz w:val="23"/>
          <w:szCs w:val="23"/>
          <w:lang w:eastAsia="en-AU"/>
        </w:rPr>
        <w:tab/>
        <w:t>•</w:t>
      </w:r>
      <w:r w:rsidRPr="007E16A4">
        <w:rPr>
          <w:rFonts w:eastAsia="Times New Roman"/>
          <w:color w:val="000000"/>
          <w:sz w:val="23"/>
          <w:szCs w:val="23"/>
          <w:lang w:eastAsia="en-AU"/>
        </w:rPr>
        <w:tab/>
        <w:t>the Youth Court;</w:t>
      </w:r>
    </w:p>
    <w:p w:rsidR="007E16A4" w:rsidRPr="007E16A4" w:rsidRDefault="007E16A4" w:rsidP="007E16A4">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7E16A4">
        <w:rPr>
          <w:rFonts w:eastAsia="Times New Roman"/>
          <w:b/>
          <w:bCs/>
          <w:color w:val="000000"/>
          <w:sz w:val="20"/>
          <w:szCs w:val="20"/>
          <w:lang w:eastAsia="en-AU"/>
        </w:rPr>
        <w:t>Note—</w:t>
      </w:r>
    </w:p>
    <w:p w:rsidR="007E16A4" w:rsidRPr="007E16A4" w:rsidRDefault="007E16A4" w:rsidP="007E16A4">
      <w:pPr>
        <w:keepLines/>
        <w:autoSpaceDE w:val="0"/>
        <w:autoSpaceDN w:val="0"/>
        <w:adjustRightInd w:val="0"/>
        <w:spacing w:before="120" w:after="0" w:line="240" w:lineRule="auto"/>
        <w:ind w:left="794"/>
        <w:jc w:val="left"/>
        <w:rPr>
          <w:rFonts w:eastAsia="Times New Roman"/>
          <w:color w:val="000000"/>
          <w:sz w:val="20"/>
          <w:szCs w:val="20"/>
          <w:lang w:eastAsia="en-AU"/>
        </w:rPr>
      </w:pPr>
      <w:r w:rsidRPr="007E16A4">
        <w:rPr>
          <w:rFonts w:eastAsia="Times New Roman"/>
          <w:color w:val="000000"/>
          <w:sz w:val="20"/>
          <w:szCs w:val="20"/>
          <w:lang w:eastAsia="en-AU"/>
        </w:rPr>
        <w:t xml:space="preserve">As required by section 10AA(2) of the </w:t>
      </w:r>
      <w:hyperlink r:id="rId53" w:history="1">
        <w:r w:rsidRPr="007E16A4">
          <w:rPr>
            <w:rFonts w:eastAsia="Times New Roman"/>
            <w:i/>
            <w:iCs/>
            <w:color w:val="000000"/>
            <w:sz w:val="20"/>
            <w:szCs w:val="20"/>
            <w:lang w:eastAsia="en-AU"/>
          </w:rPr>
          <w:t>Subordinate Legislation Act 1978</w:t>
        </w:r>
      </w:hyperlink>
      <w:r w:rsidRPr="007E16A4">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7E16A4" w:rsidRPr="007E16A4" w:rsidRDefault="007E16A4" w:rsidP="007E16A4">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7E16A4">
        <w:rPr>
          <w:rFonts w:eastAsia="Times New Roman"/>
          <w:b/>
          <w:bCs/>
          <w:color w:val="000000"/>
          <w:sz w:val="26"/>
          <w:szCs w:val="26"/>
          <w:lang w:eastAsia="en-AU"/>
        </w:rPr>
        <w:t>Made by the Governor</w:t>
      </w:r>
    </w:p>
    <w:p w:rsidR="007E16A4" w:rsidRPr="007E16A4" w:rsidRDefault="007E16A4" w:rsidP="007E16A4">
      <w:pPr>
        <w:keepNext/>
        <w:keepLines/>
        <w:autoSpaceDE w:val="0"/>
        <w:autoSpaceDN w:val="0"/>
        <w:adjustRightInd w:val="0"/>
        <w:spacing w:before="120" w:after="0" w:line="240" w:lineRule="auto"/>
        <w:jc w:val="left"/>
        <w:rPr>
          <w:rFonts w:eastAsia="Times New Roman"/>
          <w:color w:val="000000"/>
          <w:sz w:val="23"/>
          <w:szCs w:val="23"/>
          <w:lang w:eastAsia="en-AU"/>
        </w:rPr>
      </w:pPr>
      <w:r w:rsidRPr="007E16A4">
        <w:rPr>
          <w:rFonts w:eastAsia="Times New Roman"/>
          <w:color w:val="000000"/>
          <w:sz w:val="23"/>
          <w:szCs w:val="23"/>
          <w:lang w:eastAsia="en-AU"/>
        </w:rPr>
        <w:t>with the advice and consent of the Executive Council</w:t>
      </w:r>
    </w:p>
    <w:p w:rsidR="007E16A4" w:rsidRPr="007E16A4" w:rsidRDefault="007E16A4" w:rsidP="007E16A4">
      <w:pPr>
        <w:keepNext/>
        <w:keepLines/>
        <w:autoSpaceDE w:val="0"/>
        <w:autoSpaceDN w:val="0"/>
        <w:adjustRightInd w:val="0"/>
        <w:spacing w:after="0" w:line="240" w:lineRule="auto"/>
        <w:jc w:val="left"/>
        <w:rPr>
          <w:rFonts w:eastAsia="Times New Roman"/>
          <w:color w:val="000000"/>
          <w:sz w:val="23"/>
          <w:szCs w:val="23"/>
          <w:lang w:eastAsia="en-AU"/>
        </w:rPr>
      </w:pPr>
      <w:r w:rsidRPr="007E16A4">
        <w:rPr>
          <w:rFonts w:eastAsia="Times New Roman"/>
          <w:color w:val="000000"/>
          <w:sz w:val="23"/>
          <w:szCs w:val="23"/>
          <w:lang w:eastAsia="en-AU"/>
        </w:rPr>
        <w:t>on 17 December 2020</w:t>
      </w:r>
    </w:p>
    <w:p w:rsidR="007E16A4" w:rsidRDefault="007E16A4" w:rsidP="007E16A4">
      <w:pPr>
        <w:keepNext/>
        <w:keepLines/>
        <w:autoSpaceDE w:val="0"/>
        <w:autoSpaceDN w:val="0"/>
        <w:adjustRightInd w:val="0"/>
        <w:spacing w:before="120" w:after="0" w:line="240" w:lineRule="auto"/>
        <w:jc w:val="left"/>
        <w:rPr>
          <w:rFonts w:eastAsia="Times New Roman"/>
          <w:color w:val="000000"/>
          <w:sz w:val="23"/>
          <w:szCs w:val="23"/>
          <w:lang w:eastAsia="en-AU"/>
        </w:rPr>
      </w:pPr>
      <w:r w:rsidRPr="007E16A4">
        <w:rPr>
          <w:rFonts w:eastAsia="Times New Roman"/>
          <w:color w:val="000000"/>
          <w:sz w:val="23"/>
          <w:szCs w:val="23"/>
          <w:lang w:eastAsia="en-AU"/>
        </w:rPr>
        <w:t>No 317 of 2020</w:t>
      </w:r>
    </w:p>
    <w:p w:rsidR="007E16A4" w:rsidRDefault="007E16A4" w:rsidP="007E16A4">
      <w:pPr>
        <w:pBdr>
          <w:top w:val="single" w:sz="4" w:space="1" w:color="auto"/>
        </w:pBdr>
        <w:autoSpaceDE w:val="0"/>
        <w:autoSpaceDN w:val="0"/>
        <w:adjustRightInd w:val="0"/>
        <w:spacing w:before="100" w:after="0" w:line="14" w:lineRule="exact"/>
        <w:jc w:val="center"/>
        <w:rPr>
          <w:rFonts w:eastAsia="Times New Roman"/>
          <w:color w:val="000000"/>
          <w:sz w:val="23"/>
          <w:szCs w:val="23"/>
          <w:lang w:eastAsia="en-AU"/>
        </w:rPr>
      </w:pPr>
    </w:p>
    <w:p w:rsidR="007E16A4" w:rsidRDefault="007E16A4">
      <w:pPr>
        <w:spacing w:after="0" w:line="240" w:lineRule="auto"/>
        <w:jc w:val="left"/>
        <w:rPr>
          <w:rFonts w:eastAsia="Times New Roman"/>
          <w:szCs w:val="17"/>
        </w:rPr>
      </w:pPr>
      <w:r>
        <w:br w:type="page"/>
      </w:r>
    </w:p>
    <w:p w:rsidR="004C0654" w:rsidRDefault="004C0654" w:rsidP="004C0654">
      <w:pPr>
        <w:pStyle w:val="RegSpace"/>
        <w:rPr>
          <w:lang w:eastAsia="en-AU"/>
        </w:rPr>
      </w:pPr>
    </w:p>
    <w:p w:rsidR="004C0654" w:rsidRPr="004C0654" w:rsidRDefault="004C0654" w:rsidP="004C0654">
      <w:pPr>
        <w:keepLines/>
        <w:autoSpaceDE w:val="0"/>
        <w:autoSpaceDN w:val="0"/>
        <w:adjustRightInd w:val="0"/>
        <w:spacing w:before="240" w:after="0" w:line="240" w:lineRule="auto"/>
        <w:jc w:val="left"/>
        <w:rPr>
          <w:rFonts w:eastAsia="Times New Roman"/>
          <w:color w:val="000000"/>
          <w:sz w:val="28"/>
          <w:szCs w:val="28"/>
          <w:lang w:eastAsia="en-AU"/>
        </w:rPr>
      </w:pPr>
      <w:r w:rsidRPr="004C0654">
        <w:rPr>
          <w:rFonts w:eastAsia="Times New Roman"/>
          <w:color w:val="000000"/>
          <w:sz w:val="28"/>
          <w:szCs w:val="28"/>
          <w:lang w:eastAsia="en-AU"/>
        </w:rPr>
        <w:t>South Australia</w:t>
      </w:r>
    </w:p>
    <w:p w:rsidR="004C0654" w:rsidRPr="004C0654" w:rsidRDefault="004C0654" w:rsidP="00046B75">
      <w:pPr>
        <w:pStyle w:val="Heading3"/>
        <w:rPr>
          <w:lang w:eastAsia="en-AU"/>
        </w:rPr>
      </w:pPr>
      <w:bookmarkStart w:id="93" w:name="_Toc59098936"/>
      <w:r w:rsidRPr="004C0654">
        <w:rPr>
          <w:lang w:eastAsia="en-AU"/>
        </w:rPr>
        <w:t>Cross-border Justice (Bail Authorities) Variation Regulations 2020</w:t>
      </w:r>
      <w:bookmarkEnd w:id="93"/>
    </w:p>
    <w:p w:rsidR="004C0654" w:rsidRPr="004C0654" w:rsidRDefault="004C0654" w:rsidP="004C0654">
      <w:pPr>
        <w:keepLines/>
        <w:autoSpaceDE w:val="0"/>
        <w:autoSpaceDN w:val="0"/>
        <w:adjustRightInd w:val="0"/>
        <w:spacing w:before="80" w:after="240" w:line="240" w:lineRule="auto"/>
        <w:jc w:val="left"/>
        <w:rPr>
          <w:rFonts w:eastAsia="Times New Roman"/>
          <w:color w:val="000000"/>
          <w:sz w:val="24"/>
          <w:szCs w:val="24"/>
          <w:lang w:eastAsia="en-AU"/>
        </w:rPr>
      </w:pPr>
      <w:r w:rsidRPr="004C0654">
        <w:rPr>
          <w:rFonts w:eastAsia="Times New Roman"/>
          <w:color w:val="000000"/>
          <w:sz w:val="24"/>
          <w:szCs w:val="24"/>
          <w:lang w:eastAsia="en-AU"/>
        </w:rPr>
        <w:t xml:space="preserve">under the </w:t>
      </w:r>
      <w:r w:rsidRPr="004C0654">
        <w:rPr>
          <w:rFonts w:eastAsia="Times New Roman"/>
          <w:i/>
          <w:iCs/>
          <w:color w:val="000000"/>
          <w:sz w:val="24"/>
          <w:szCs w:val="24"/>
          <w:lang w:eastAsia="en-AU"/>
        </w:rPr>
        <w:t>Cross-border Justice Act 2009</w:t>
      </w:r>
    </w:p>
    <w:p w:rsidR="004C0654" w:rsidRPr="004C0654" w:rsidRDefault="004C0654" w:rsidP="004C0654">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4C0654" w:rsidRPr="004C0654" w:rsidRDefault="004C0654" w:rsidP="004C0654">
      <w:pPr>
        <w:keepLines/>
        <w:autoSpaceDE w:val="0"/>
        <w:autoSpaceDN w:val="0"/>
        <w:adjustRightInd w:val="0"/>
        <w:spacing w:before="120" w:after="0" w:line="240" w:lineRule="auto"/>
        <w:jc w:val="left"/>
        <w:rPr>
          <w:rFonts w:eastAsia="Times New Roman"/>
          <w:b/>
          <w:bCs/>
          <w:color w:val="000000"/>
          <w:sz w:val="32"/>
          <w:szCs w:val="32"/>
          <w:lang w:eastAsia="en-AU"/>
        </w:rPr>
      </w:pPr>
      <w:r w:rsidRPr="004C0654">
        <w:rPr>
          <w:rFonts w:eastAsia="Times New Roman"/>
          <w:b/>
          <w:bCs/>
          <w:color w:val="000000"/>
          <w:sz w:val="32"/>
          <w:szCs w:val="32"/>
          <w:lang w:eastAsia="en-AU"/>
        </w:rPr>
        <w:t>Contents</w:t>
      </w:r>
    </w:p>
    <w:p w:rsidR="004C0654" w:rsidRPr="004C0654" w:rsidRDefault="00607847" w:rsidP="004C0654">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4C0654" w:rsidRPr="004C0654">
          <w:rPr>
            <w:rFonts w:eastAsia="Times New Roman"/>
            <w:color w:val="000000"/>
            <w:sz w:val="28"/>
            <w:szCs w:val="28"/>
            <w:lang w:eastAsia="en-AU"/>
          </w:rPr>
          <w:t>Part 1—Preliminary</w:t>
        </w:r>
      </w:hyperlink>
    </w:p>
    <w:p w:rsidR="004C0654" w:rsidRPr="004C0654" w:rsidRDefault="00607847" w:rsidP="004C065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4C0654" w:rsidRPr="004C0654">
          <w:rPr>
            <w:rFonts w:eastAsia="Times New Roman"/>
            <w:color w:val="000000"/>
            <w:sz w:val="22"/>
            <w:lang w:eastAsia="en-AU"/>
          </w:rPr>
          <w:t>1</w:t>
        </w:r>
        <w:r w:rsidR="004C0654" w:rsidRPr="004C0654">
          <w:rPr>
            <w:rFonts w:eastAsia="Times New Roman"/>
            <w:color w:val="000000"/>
            <w:sz w:val="22"/>
            <w:lang w:eastAsia="en-AU"/>
          </w:rPr>
          <w:tab/>
          <w:t>Short title</w:t>
        </w:r>
      </w:hyperlink>
    </w:p>
    <w:p w:rsidR="004C0654" w:rsidRPr="004C0654" w:rsidRDefault="00607847" w:rsidP="004C065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4C0654" w:rsidRPr="004C0654">
          <w:rPr>
            <w:rFonts w:eastAsia="Times New Roman"/>
            <w:color w:val="000000"/>
            <w:sz w:val="22"/>
            <w:lang w:eastAsia="en-AU"/>
          </w:rPr>
          <w:t>2</w:t>
        </w:r>
        <w:r w:rsidR="004C0654" w:rsidRPr="004C0654">
          <w:rPr>
            <w:rFonts w:eastAsia="Times New Roman"/>
            <w:color w:val="000000"/>
            <w:sz w:val="22"/>
            <w:lang w:eastAsia="en-AU"/>
          </w:rPr>
          <w:tab/>
          <w:t>Commencement</w:t>
        </w:r>
      </w:hyperlink>
    </w:p>
    <w:p w:rsidR="004C0654" w:rsidRPr="004C0654" w:rsidRDefault="00607847" w:rsidP="004C065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4C0654" w:rsidRPr="004C0654">
          <w:rPr>
            <w:rFonts w:eastAsia="Times New Roman"/>
            <w:color w:val="000000"/>
            <w:sz w:val="22"/>
            <w:lang w:eastAsia="en-AU"/>
          </w:rPr>
          <w:t>3</w:t>
        </w:r>
        <w:r w:rsidR="004C0654" w:rsidRPr="004C0654">
          <w:rPr>
            <w:rFonts w:eastAsia="Times New Roman"/>
            <w:color w:val="000000"/>
            <w:sz w:val="22"/>
            <w:lang w:eastAsia="en-AU"/>
          </w:rPr>
          <w:tab/>
          <w:t>Variation provisions</w:t>
        </w:r>
      </w:hyperlink>
    </w:p>
    <w:p w:rsidR="004C0654" w:rsidRPr="004C0654" w:rsidRDefault="00607847" w:rsidP="004C0654">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4C0654" w:rsidRPr="004C0654">
          <w:rPr>
            <w:rFonts w:eastAsia="Times New Roman"/>
            <w:color w:val="000000"/>
            <w:sz w:val="28"/>
            <w:szCs w:val="28"/>
            <w:lang w:eastAsia="en-AU"/>
          </w:rPr>
          <w:t xml:space="preserve">Part 2—Variation of </w:t>
        </w:r>
        <w:r w:rsidR="004C0654" w:rsidRPr="004C0654">
          <w:rPr>
            <w:rFonts w:eastAsia="Times New Roman"/>
            <w:i/>
            <w:iCs/>
            <w:color w:val="000000"/>
            <w:sz w:val="28"/>
            <w:szCs w:val="28"/>
            <w:lang w:eastAsia="en-AU"/>
          </w:rPr>
          <w:t>Cross-border Justice Regulations 2009</w:t>
        </w:r>
      </w:hyperlink>
    </w:p>
    <w:p w:rsidR="004C0654" w:rsidRPr="004C0654" w:rsidRDefault="00607847" w:rsidP="004C065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4C0654" w:rsidRPr="004C0654">
          <w:rPr>
            <w:rFonts w:eastAsia="Times New Roman"/>
            <w:color w:val="000000"/>
            <w:sz w:val="22"/>
            <w:lang w:eastAsia="en-AU"/>
          </w:rPr>
          <w:t>4</w:t>
        </w:r>
        <w:r w:rsidR="004C0654" w:rsidRPr="004C0654">
          <w:rPr>
            <w:rFonts w:eastAsia="Times New Roman"/>
            <w:color w:val="000000"/>
            <w:sz w:val="22"/>
            <w:lang w:eastAsia="en-AU"/>
          </w:rPr>
          <w:tab/>
          <w:t>Variation of regulation 12—Amendment of section 5—Bail authorities</w:t>
        </w:r>
      </w:hyperlink>
    </w:p>
    <w:p w:rsidR="004C0654" w:rsidRPr="004C0654" w:rsidRDefault="004C0654" w:rsidP="004C0654">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4C0654" w:rsidRPr="004C0654" w:rsidRDefault="004C0654" w:rsidP="004C0654">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4C0654">
        <w:rPr>
          <w:rFonts w:eastAsia="Times New Roman"/>
          <w:b/>
          <w:bCs/>
          <w:color w:val="000000"/>
          <w:sz w:val="32"/>
          <w:szCs w:val="32"/>
          <w:lang w:eastAsia="en-AU"/>
        </w:rPr>
        <w:t>Part 1—Preliminary</w:t>
      </w:r>
    </w:p>
    <w:p w:rsidR="004C0654" w:rsidRPr="004C0654" w:rsidRDefault="004C0654" w:rsidP="004C065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C0654">
        <w:rPr>
          <w:rFonts w:eastAsia="Times New Roman"/>
          <w:b/>
          <w:bCs/>
          <w:color w:val="000000"/>
          <w:sz w:val="26"/>
          <w:szCs w:val="26"/>
          <w:lang w:eastAsia="en-AU"/>
        </w:rPr>
        <w:t>1—Short title</w:t>
      </w:r>
    </w:p>
    <w:p w:rsidR="004C0654" w:rsidRPr="004C0654" w:rsidRDefault="004C0654" w:rsidP="004C0654">
      <w:pPr>
        <w:keepLines/>
        <w:autoSpaceDE w:val="0"/>
        <w:autoSpaceDN w:val="0"/>
        <w:adjustRightInd w:val="0"/>
        <w:spacing w:before="120" w:after="0" w:line="240" w:lineRule="auto"/>
        <w:ind w:left="794"/>
        <w:jc w:val="left"/>
        <w:rPr>
          <w:rFonts w:eastAsia="Times New Roman"/>
          <w:color w:val="000000"/>
          <w:sz w:val="23"/>
          <w:szCs w:val="23"/>
          <w:lang w:eastAsia="en-AU"/>
        </w:rPr>
      </w:pPr>
      <w:r w:rsidRPr="004C0654">
        <w:rPr>
          <w:rFonts w:eastAsia="Times New Roman"/>
          <w:color w:val="000000"/>
          <w:sz w:val="23"/>
          <w:szCs w:val="23"/>
          <w:lang w:eastAsia="en-AU"/>
        </w:rPr>
        <w:t xml:space="preserve">These regulations may be cited as the </w:t>
      </w:r>
      <w:r w:rsidRPr="004C0654">
        <w:rPr>
          <w:rFonts w:eastAsia="Times New Roman"/>
          <w:i/>
          <w:iCs/>
          <w:color w:val="000000"/>
          <w:sz w:val="23"/>
          <w:szCs w:val="23"/>
          <w:lang w:eastAsia="en-AU"/>
        </w:rPr>
        <w:t>Cross-border Justice (Bail Authorities) Variation Regulations 2020</w:t>
      </w:r>
      <w:r w:rsidRPr="004C0654">
        <w:rPr>
          <w:rFonts w:eastAsia="Times New Roman"/>
          <w:color w:val="000000"/>
          <w:sz w:val="23"/>
          <w:szCs w:val="23"/>
          <w:lang w:eastAsia="en-AU"/>
        </w:rPr>
        <w:t>.</w:t>
      </w:r>
    </w:p>
    <w:p w:rsidR="004C0654" w:rsidRPr="004C0654" w:rsidRDefault="004C0654" w:rsidP="004C065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C0654">
        <w:rPr>
          <w:rFonts w:eastAsia="Times New Roman"/>
          <w:b/>
          <w:bCs/>
          <w:color w:val="000000"/>
          <w:sz w:val="26"/>
          <w:szCs w:val="26"/>
          <w:lang w:eastAsia="en-AU"/>
        </w:rPr>
        <w:t>2—Commencement</w:t>
      </w:r>
    </w:p>
    <w:p w:rsidR="004C0654" w:rsidRPr="004C0654" w:rsidRDefault="004C0654" w:rsidP="004C0654">
      <w:pPr>
        <w:keepLines/>
        <w:autoSpaceDE w:val="0"/>
        <w:autoSpaceDN w:val="0"/>
        <w:adjustRightInd w:val="0"/>
        <w:spacing w:before="120" w:after="0" w:line="240" w:lineRule="auto"/>
        <w:ind w:left="794"/>
        <w:jc w:val="left"/>
        <w:rPr>
          <w:rFonts w:eastAsia="Times New Roman"/>
          <w:color w:val="000000"/>
          <w:sz w:val="23"/>
          <w:szCs w:val="23"/>
          <w:lang w:eastAsia="en-AU"/>
        </w:rPr>
      </w:pPr>
      <w:r w:rsidRPr="004C0654">
        <w:rPr>
          <w:rFonts w:eastAsia="Times New Roman"/>
          <w:color w:val="000000"/>
          <w:sz w:val="23"/>
          <w:szCs w:val="23"/>
          <w:lang w:eastAsia="en-AU"/>
        </w:rPr>
        <w:t xml:space="preserve">These regulations come into operation on the day on which Part 2 of the </w:t>
      </w:r>
      <w:hyperlink r:id="rId54" w:history="1">
        <w:r w:rsidRPr="004C0654">
          <w:rPr>
            <w:rFonts w:eastAsia="Times New Roman"/>
            <w:i/>
            <w:iCs/>
            <w:color w:val="000000"/>
            <w:sz w:val="23"/>
            <w:szCs w:val="23"/>
            <w:lang w:eastAsia="en-AU"/>
          </w:rPr>
          <w:t>Statutes Amendment (Attorney-General's Portfolio) Act 2020</w:t>
        </w:r>
      </w:hyperlink>
      <w:r w:rsidRPr="004C0654">
        <w:rPr>
          <w:rFonts w:eastAsia="Times New Roman"/>
          <w:color w:val="000000"/>
          <w:sz w:val="23"/>
          <w:szCs w:val="23"/>
          <w:lang w:eastAsia="en-AU"/>
        </w:rPr>
        <w:t xml:space="preserve"> comes into operation.</w:t>
      </w:r>
    </w:p>
    <w:p w:rsidR="004C0654" w:rsidRPr="004C0654" w:rsidRDefault="004C0654" w:rsidP="004C065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C0654">
        <w:rPr>
          <w:rFonts w:eastAsia="Times New Roman"/>
          <w:b/>
          <w:bCs/>
          <w:color w:val="000000"/>
          <w:sz w:val="26"/>
          <w:szCs w:val="26"/>
          <w:lang w:eastAsia="en-AU"/>
        </w:rPr>
        <w:t>3—Variation provisions</w:t>
      </w:r>
    </w:p>
    <w:p w:rsidR="004C0654" w:rsidRPr="004C0654" w:rsidRDefault="004C0654" w:rsidP="004C0654">
      <w:pPr>
        <w:keepLines/>
        <w:autoSpaceDE w:val="0"/>
        <w:autoSpaceDN w:val="0"/>
        <w:adjustRightInd w:val="0"/>
        <w:spacing w:before="120" w:after="0" w:line="240" w:lineRule="auto"/>
        <w:ind w:left="794"/>
        <w:jc w:val="left"/>
        <w:rPr>
          <w:rFonts w:eastAsia="Times New Roman"/>
          <w:color w:val="000000"/>
          <w:sz w:val="23"/>
          <w:szCs w:val="23"/>
          <w:lang w:eastAsia="en-AU"/>
        </w:rPr>
      </w:pPr>
      <w:r w:rsidRPr="004C0654">
        <w:rPr>
          <w:rFonts w:eastAsia="Times New Roman"/>
          <w:color w:val="000000"/>
          <w:sz w:val="23"/>
          <w:szCs w:val="23"/>
          <w:lang w:eastAsia="en-AU"/>
        </w:rPr>
        <w:t>In these regulations, a provision under a heading referring to the variation of specified regulations varies the regulations so specified.</w:t>
      </w:r>
    </w:p>
    <w:p w:rsidR="004C0654" w:rsidRPr="004C0654" w:rsidRDefault="004C0654" w:rsidP="004C0654">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4C0654">
        <w:rPr>
          <w:rFonts w:eastAsia="Times New Roman"/>
          <w:b/>
          <w:bCs/>
          <w:color w:val="000000"/>
          <w:sz w:val="32"/>
          <w:szCs w:val="32"/>
          <w:lang w:eastAsia="en-AU"/>
        </w:rPr>
        <w:t xml:space="preserve">Part 2—Variation of </w:t>
      </w:r>
      <w:r w:rsidRPr="004C0654">
        <w:rPr>
          <w:rFonts w:eastAsia="Times New Roman"/>
          <w:b/>
          <w:bCs/>
          <w:i/>
          <w:iCs/>
          <w:color w:val="000000"/>
          <w:sz w:val="32"/>
          <w:szCs w:val="32"/>
          <w:lang w:eastAsia="en-AU"/>
        </w:rPr>
        <w:t>Cross-border Justice Regulations 2009</w:t>
      </w:r>
    </w:p>
    <w:p w:rsidR="004C0654" w:rsidRPr="004C0654" w:rsidRDefault="004C0654" w:rsidP="004C065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C0654">
        <w:rPr>
          <w:rFonts w:eastAsia="Times New Roman"/>
          <w:b/>
          <w:bCs/>
          <w:color w:val="000000"/>
          <w:sz w:val="26"/>
          <w:szCs w:val="26"/>
          <w:lang w:eastAsia="en-AU"/>
        </w:rPr>
        <w:t>4—Variation of regulation 12—Amendment of section 5—Bail authorities</w:t>
      </w:r>
    </w:p>
    <w:p w:rsidR="004C0654" w:rsidRPr="004C0654" w:rsidRDefault="004C0654" w:rsidP="004C0654">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4C0654">
        <w:rPr>
          <w:rFonts w:eastAsia="Times New Roman"/>
          <w:color w:val="000000"/>
          <w:sz w:val="23"/>
          <w:szCs w:val="23"/>
          <w:lang w:eastAsia="en-AU"/>
        </w:rPr>
        <w:t>Regulation 12, inserted subsection (1)(b) to (d)—delete paragraphs (b) to (d) (inclusive) and substitute:</w:t>
      </w:r>
    </w:p>
    <w:p w:rsidR="004C0654" w:rsidRPr="004C0654" w:rsidRDefault="004C0654" w:rsidP="004C065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C0654">
        <w:rPr>
          <w:rFonts w:eastAsia="Times New Roman"/>
          <w:color w:val="000000"/>
          <w:sz w:val="23"/>
          <w:szCs w:val="23"/>
          <w:lang w:eastAsia="en-AU"/>
        </w:rPr>
        <w:tab/>
        <w:t>(b)</w:t>
      </w:r>
      <w:r w:rsidRPr="004C0654">
        <w:rPr>
          <w:rFonts w:eastAsia="Times New Roman"/>
          <w:color w:val="000000"/>
          <w:sz w:val="23"/>
          <w:szCs w:val="23"/>
          <w:lang w:eastAsia="en-AU"/>
        </w:rPr>
        <w:tab/>
        <w:t>the District Court;</w:t>
      </w:r>
    </w:p>
    <w:p w:rsidR="004C0654" w:rsidRPr="004C0654" w:rsidRDefault="004C0654" w:rsidP="004C065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C0654">
        <w:rPr>
          <w:rFonts w:eastAsia="Times New Roman"/>
          <w:color w:val="000000"/>
          <w:sz w:val="23"/>
          <w:szCs w:val="23"/>
          <w:lang w:eastAsia="en-AU"/>
        </w:rPr>
        <w:tab/>
        <w:t>(c)</w:t>
      </w:r>
      <w:r w:rsidRPr="004C0654">
        <w:rPr>
          <w:rFonts w:eastAsia="Times New Roman"/>
          <w:color w:val="000000"/>
          <w:sz w:val="23"/>
          <w:szCs w:val="23"/>
          <w:lang w:eastAsia="en-AU"/>
        </w:rPr>
        <w:tab/>
        <w:t>the Magistrates Court;</w:t>
      </w:r>
    </w:p>
    <w:p w:rsidR="004C0654" w:rsidRPr="004C0654" w:rsidRDefault="004C0654" w:rsidP="004C065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C0654">
        <w:rPr>
          <w:rFonts w:eastAsia="Times New Roman"/>
          <w:color w:val="000000"/>
          <w:sz w:val="23"/>
          <w:szCs w:val="23"/>
          <w:lang w:eastAsia="en-AU"/>
        </w:rPr>
        <w:tab/>
        <w:t>(d)</w:t>
      </w:r>
      <w:r w:rsidRPr="004C0654">
        <w:rPr>
          <w:rFonts w:eastAsia="Times New Roman"/>
          <w:color w:val="000000"/>
          <w:sz w:val="23"/>
          <w:szCs w:val="23"/>
          <w:lang w:eastAsia="en-AU"/>
        </w:rPr>
        <w:tab/>
        <w:t>the Youth Court;</w:t>
      </w:r>
    </w:p>
    <w:p w:rsidR="00A551D7" w:rsidRDefault="00A551D7">
      <w:pPr>
        <w:spacing w:after="0" w:line="240" w:lineRule="auto"/>
        <w:jc w:val="left"/>
        <w:rPr>
          <w:rFonts w:eastAsia="Times New Roman"/>
          <w:b/>
          <w:bCs/>
          <w:color w:val="000000"/>
          <w:sz w:val="20"/>
          <w:szCs w:val="20"/>
          <w:lang w:eastAsia="en-AU"/>
        </w:rPr>
      </w:pPr>
      <w:r>
        <w:rPr>
          <w:rFonts w:eastAsia="Times New Roman"/>
          <w:b/>
          <w:bCs/>
          <w:color w:val="000000"/>
          <w:sz w:val="20"/>
          <w:szCs w:val="20"/>
          <w:lang w:eastAsia="en-AU"/>
        </w:rPr>
        <w:br w:type="page"/>
      </w:r>
    </w:p>
    <w:p w:rsidR="004C0654" w:rsidRPr="004C0654" w:rsidRDefault="004C0654" w:rsidP="004C0654">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4C0654">
        <w:rPr>
          <w:rFonts w:eastAsia="Times New Roman"/>
          <w:b/>
          <w:bCs/>
          <w:color w:val="000000"/>
          <w:sz w:val="20"/>
          <w:szCs w:val="20"/>
          <w:lang w:eastAsia="en-AU"/>
        </w:rPr>
        <w:lastRenderedPageBreak/>
        <w:t>Note—</w:t>
      </w:r>
    </w:p>
    <w:p w:rsidR="004C0654" w:rsidRPr="004C0654" w:rsidRDefault="004C0654" w:rsidP="004C0654">
      <w:pPr>
        <w:keepLines/>
        <w:autoSpaceDE w:val="0"/>
        <w:autoSpaceDN w:val="0"/>
        <w:adjustRightInd w:val="0"/>
        <w:spacing w:before="120" w:after="0" w:line="240" w:lineRule="auto"/>
        <w:ind w:left="794"/>
        <w:jc w:val="left"/>
        <w:rPr>
          <w:rFonts w:eastAsia="Times New Roman"/>
          <w:color w:val="000000"/>
          <w:sz w:val="20"/>
          <w:szCs w:val="20"/>
          <w:lang w:eastAsia="en-AU"/>
        </w:rPr>
      </w:pPr>
      <w:r w:rsidRPr="004C0654">
        <w:rPr>
          <w:rFonts w:eastAsia="Times New Roman"/>
          <w:color w:val="000000"/>
          <w:sz w:val="20"/>
          <w:szCs w:val="20"/>
          <w:lang w:eastAsia="en-AU"/>
        </w:rPr>
        <w:t xml:space="preserve">As required by section 10AA(2) of the </w:t>
      </w:r>
      <w:hyperlink r:id="rId55" w:history="1">
        <w:r w:rsidRPr="004C0654">
          <w:rPr>
            <w:rFonts w:eastAsia="Times New Roman"/>
            <w:i/>
            <w:iCs/>
            <w:color w:val="000000"/>
            <w:sz w:val="20"/>
            <w:szCs w:val="20"/>
            <w:lang w:eastAsia="en-AU"/>
          </w:rPr>
          <w:t>Subordinate Legislation Act 1978</w:t>
        </w:r>
      </w:hyperlink>
      <w:r w:rsidRPr="004C0654">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4C0654" w:rsidRPr="004C0654" w:rsidRDefault="004C0654" w:rsidP="004C0654">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4C0654">
        <w:rPr>
          <w:rFonts w:eastAsia="Times New Roman"/>
          <w:b/>
          <w:bCs/>
          <w:color w:val="000000"/>
          <w:sz w:val="26"/>
          <w:szCs w:val="26"/>
          <w:lang w:eastAsia="en-AU"/>
        </w:rPr>
        <w:t>Made by the Governor</w:t>
      </w:r>
    </w:p>
    <w:p w:rsidR="004C0654" w:rsidRPr="004C0654" w:rsidRDefault="004C0654" w:rsidP="004C0654">
      <w:pPr>
        <w:keepNext/>
        <w:keepLines/>
        <w:autoSpaceDE w:val="0"/>
        <w:autoSpaceDN w:val="0"/>
        <w:adjustRightInd w:val="0"/>
        <w:spacing w:before="120" w:after="0" w:line="240" w:lineRule="auto"/>
        <w:jc w:val="left"/>
        <w:rPr>
          <w:rFonts w:eastAsia="Times New Roman"/>
          <w:color w:val="000000"/>
          <w:sz w:val="23"/>
          <w:szCs w:val="23"/>
          <w:lang w:eastAsia="en-AU"/>
        </w:rPr>
      </w:pPr>
      <w:r w:rsidRPr="004C0654">
        <w:rPr>
          <w:rFonts w:eastAsia="Times New Roman"/>
          <w:color w:val="000000"/>
          <w:sz w:val="23"/>
          <w:szCs w:val="23"/>
          <w:lang w:eastAsia="en-AU"/>
        </w:rPr>
        <w:t>with the advice and consent of the Executive Council</w:t>
      </w:r>
    </w:p>
    <w:p w:rsidR="004C0654" w:rsidRPr="004C0654" w:rsidRDefault="004C0654" w:rsidP="004C0654">
      <w:pPr>
        <w:keepNext/>
        <w:keepLines/>
        <w:autoSpaceDE w:val="0"/>
        <w:autoSpaceDN w:val="0"/>
        <w:adjustRightInd w:val="0"/>
        <w:spacing w:after="0" w:line="240" w:lineRule="auto"/>
        <w:jc w:val="left"/>
        <w:rPr>
          <w:rFonts w:eastAsia="Times New Roman"/>
          <w:color w:val="000000"/>
          <w:sz w:val="23"/>
          <w:szCs w:val="23"/>
          <w:lang w:eastAsia="en-AU"/>
        </w:rPr>
      </w:pPr>
      <w:r w:rsidRPr="004C0654">
        <w:rPr>
          <w:rFonts w:eastAsia="Times New Roman"/>
          <w:color w:val="000000"/>
          <w:sz w:val="23"/>
          <w:szCs w:val="23"/>
          <w:lang w:eastAsia="en-AU"/>
        </w:rPr>
        <w:t>on 17 December 2020</w:t>
      </w:r>
    </w:p>
    <w:p w:rsidR="004C0654" w:rsidRDefault="004C0654" w:rsidP="004C0654">
      <w:pPr>
        <w:keepNext/>
        <w:keepLines/>
        <w:autoSpaceDE w:val="0"/>
        <w:autoSpaceDN w:val="0"/>
        <w:adjustRightInd w:val="0"/>
        <w:spacing w:before="120" w:line="240" w:lineRule="auto"/>
        <w:jc w:val="left"/>
        <w:rPr>
          <w:rFonts w:eastAsia="Times New Roman"/>
          <w:color w:val="000000"/>
          <w:sz w:val="23"/>
          <w:szCs w:val="23"/>
          <w:lang w:eastAsia="en-AU"/>
        </w:rPr>
      </w:pPr>
      <w:r w:rsidRPr="004C0654">
        <w:rPr>
          <w:rFonts w:eastAsia="Times New Roman"/>
          <w:color w:val="000000"/>
          <w:sz w:val="23"/>
          <w:szCs w:val="23"/>
          <w:lang w:eastAsia="en-AU"/>
        </w:rPr>
        <w:t>No 318 of 2020</w:t>
      </w:r>
    </w:p>
    <w:p w:rsidR="004C0654" w:rsidRDefault="004C0654" w:rsidP="004C0654">
      <w:pPr>
        <w:pBdr>
          <w:top w:val="single" w:sz="4" w:space="1" w:color="auto"/>
        </w:pBdr>
        <w:autoSpaceDE w:val="0"/>
        <w:autoSpaceDN w:val="0"/>
        <w:adjustRightInd w:val="0"/>
        <w:spacing w:before="100" w:after="0" w:line="14" w:lineRule="exact"/>
        <w:jc w:val="center"/>
        <w:rPr>
          <w:rFonts w:eastAsia="Times New Roman"/>
          <w:color w:val="000000"/>
          <w:sz w:val="23"/>
          <w:szCs w:val="23"/>
          <w:lang w:eastAsia="en-AU"/>
        </w:rPr>
      </w:pPr>
    </w:p>
    <w:p w:rsidR="00E2228C" w:rsidRDefault="00E2228C" w:rsidP="0016463B">
      <w:pPr>
        <w:pStyle w:val="GG-body"/>
      </w:pPr>
    </w:p>
    <w:p w:rsidR="00131F1A" w:rsidRDefault="00131F1A">
      <w:pPr>
        <w:spacing w:after="0" w:line="240" w:lineRule="auto"/>
        <w:jc w:val="left"/>
        <w:rPr>
          <w:rFonts w:eastAsia="Times New Roman"/>
          <w:szCs w:val="17"/>
        </w:rPr>
      </w:pPr>
      <w:r>
        <w:br w:type="page"/>
      </w:r>
    </w:p>
    <w:p w:rsidR="00885A62" w:rsidRDefault="00885A62" w:rsidP="00885A62">
      <w:pPr>
        <w:pStyle w:val="RegSpace"/>
        <w:rPr>
          <w:lang w:eastAsia="en-AU"/>
        </w:rPr>
      </w:pPr>
    </w:p>
    <w:p w:rsidR="00885A62" w:rsidRPr="00885A62" w:rsidRDefault="00885A62" w:rsidP="00885A62">
      <w:pPr>
        <w:keepLines/>
        <w:autoSpaceDE w:val="0"/>
        <w:autoSpaceDN w:val="0"/>
        <w:adjustRightInd w:val="0"/>
        <w:spacing w:before="240" w:after="0" w:line="240" w:lineRule="auto"/>
        <w:jc w:val="left"/>
        <w:rPr>
          <w:rFonts w:eastAsia="Times New Roman"/>
          <w:color w:val="000000"/>
          <w:sz w:val="28"/>
          <w:szCs w:val="28"/>
          <w:lang w:eastAsia="en-AU"/>
        </w:rPr>
      </w:pPr>
      <w:r w:rsidRPr="00885A62">
        <w:rPr>
          <w:rFonts w:eastAsia="Times New Roman"/>
          <w:color w:val="000000"/>
          <w:sz w:val="28"/>
          <w:szCs w:val="28"/>
          <w:lang w:eastAsia="en-AU"/>
        </w:rPr>
        <w:t>South Australia</w:t>
      </w:r>
    </w:p>
    <w:p w:rsidR="00885A62" w:rsidRPr="00885A62" w:rsidRDefault="00885A62" w:rsidP="00046B75">
      <w:pPr>
        <w:pStyle w:val="Heading3"/>
        <w:rPr>
          <w:lang w:eastAsia="en-AU"/>
        </w:rPr>
      </w:pPr>
      <w:bookmarkStart w:id="94" w:name="_Toc59098937"/>
      <w:r w:rsidRPr="00885A62">
        <w:rPr>
          <w:lang w:eastAsia="en-AU"/>
        </w:rPr>
        <w:t>Landscape South Australia (Water Management) (Forestry—Prescribed Period) Variation Regulations 2020</w:t>
      </w:r>
      <w:bookmarkEnd w:id="94"/>
    </w:p>
    <w:p w:rsidR="00885A62" w:rsidRPr="00885A62" w:rsidRDefault="00885A62" w:rsidP="00885A62">
      <w:pPr>
        <w:keepLines/>
        <w:autoSpaceDE w:val="0"/>
        <w:autoSpaceDN w:val="0"/>
        <w:adjustRightInd w:val="0"/>
        <w:spacing w:before="80" w:after="240" w:line="240" w:lineRule="auto"/>
        <w:jc w:val="left"/>
        <w:rPr>
          <w:rFonts w:eastAsia="Times New Roman"/>
          <w:color w:val="000000"/>
          <w:sz w:val="24"/>
          <w:szCs w:val="24"/>
          <w:lang w:eastAsia="en-AU"/>
        </w:rPr>
      </w:pPr>
      <w:r w:rsidRPr="00885A62">
        <w:rPr>
          <w:rFonts w:eastAsia="Times New Roman"/>
          <w:color w:val="000000"/>
          <w:sz w:val="24"/>
          <w:szCs w:val="24"/>
          <w:lang w:eastAsia="en-AU"/>
        </w:rPr>
        <w:t xml:space="preserve">under the </w:t>
      </w:r>
      <w:r w:rsidRPr="00885A62">
        <w:rPr>
          <w:rFonts w:eastAsia="Times New Roman"/>
          <w:i/>
          <w:iCs/>
          <w:color w:val="000000"/>
          <w:sz w:val="24"/>
          <w:szCs w:val="24"/>
          <w:lang w:eastAsia="en-AU"/>
        </w:rPr>
        <w:t>Landscape South Australia Act 2019</w:t>
      </w:r>
    </w:p>
    <w:p w:rsidR="00885A62" w:rsidRPr="00885A62" w:rsidRDefault="00885A62" w:rsidP="00885A62">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885A62" w:rsidRPr="00885A62" w:rsidRDefault="00885A62" w:rsidP="00885A62">
      <w:pPr>
        <w:keepLines/>
        <w:autoSpaceDE w:val="0"/>
        <w:autoSpaceDN w:val="0"/>
        <w:adjustRightInd w:val="0"/>
        <w:spacing w:before="120" w:after="0" w:line="240" w:lineRule="auto"/>
        <w:jc w:val="left"/>
        <w:rPr>
          <w:rFonts w:eastAsia="Times New Roman"/>
          <w:b/>
          <w:bCs/>
          <w:color w:val="000000"/>
          <w:sz w:val="32"/>
          <w:szCs w:val="32"/>
          <w:lang w:eastAsia="en-AU"/>
        </w:rPr>
      </w:pPr>
      <w:r w:rsidRPr="00885A62">
        <w:rPr>
          <w:rFonts w:eastAsia="Times New Roman"/>
          <w:b/>
          <w:bCs/>
          <w:color w:val="000000"/>
          <w:sz w:val="32"/>
          <w:szCs w:val="32"/>
          <w:lang w:eastAsia="en-AU"/>
        </w:rPr>
        <w:t>Contents</w:t>
      </w:r>
    </w:p>
    <w:p w:rsidR="00885A62" w:rsidRPr="00885A62" w:rsidRDefault="00607847" w:rsidP="00885A62">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885A62" w:rsidRPr="00885A62">
          <w:rPr>
            <w:rFonts w:eastAsia="Times New Roman"/>
            <w:color w:val="000000"/>
            <w:sz w:val="28"/>
            <w:szCs w:val="28"/>
            <w:lang w:eastAsia="en-AU"/>
          </w:rPr>
          <w:t>Part 1—Preliminary</w:t>
        </w:r>
      </w:hyperlink>
    </w:p>
    <w:p w:rsidR="00885A62" w:rsidRPr="00885A62" w:rsidRDefault="00607847" w:rsidP="00885A6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885A62" w:rsidRPr="00885A62">
          <w:rPr>
            <w:rFonts w:eastAsia="Times New Roman"/>
            <w:color w:val="000000"/>
            <w:sz w:val="22"/>
            <w:lang w:eastAsia="en-AU"/>
          </w:rPr>
          <w:t>1</w:t>
        </w:r>
        <w:r w:rsidR="00885A62" w:rsidRPr="00885A62">
          <w:rPr>
            <w:rFonts w:eastAsia="Times New Roman"/>
            <w:color w:val="000000"/>
            <w:sz w:val="22"/>
            <w:lang w:eastAsia="en-AU"/>
          </w:rPr>
          <w:tab/>
          <w:t>Short title</w:t>
        </w:r>
      </w:hyperlink>
    </w:p>
    <w:p w:rsidR="00885A62" w:rsidRPr="00885A62" w:rsidRDefault="00607847" w:rsidP="00885A6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885A62" w:rsidRPr="00885A62">
          <w:rPr>
            <w:rFonts w:eastAsia="Times New Roman"/>
            <w:color w:val="000000"/>
            <w:sz w:val="22"/>
            <w:lang w:eastAsia="en-AU"/>
          </w:rPr>
          <w:t>2</w:t>
        </w:r>
        <w:r w:rsidR="00885A62" w:rsidRPr="00885A62">
          <w:rPr>
            <w:rFonts w:eastAsia="Times New Roman"/>
            <w:color w:val="000000"/>
            <w:sz w:val="22"/>
            <w:lang w:eastAsia="en-AU"/>
          </w:rPr>
          <w:tab/>
          <w:t>Commencement</w:t>
        </w:r>
      </w:hyperlink>
    </w:p>
    <w:p w:rsidR="00885A62" w:rsidRPr="00885A62" w:rsidRDefault="00607847" w:rsidP="00885A6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885A62" w:rsidRPr="00885A62">
          <w:rPr>
            <w:rFonts w:eastAsia="Times New Roman"/>
            <w:color w:val="000000"/>
            <w:sz w:val="22"/>
            <w:lang w:eastAsia="en-AU"/>
          </w:rPr>
          <w:t>3</w:t>
        </w:r>
        <w:r w:rsidR="00885A62" w:rsidRPr="00885A62">
          <w:rPr>
            <w:rFonts w:eastAsia="Times New Roman"/>
            <w:color w:val="000000"/>
            <w:sz w:val="22"/>
            <w:lang w:eastAsia="en-AU"/>
          </w:rPr>
          <w:tab/>
          <w:t>Variation provisions</w:t>
        </w:r>
      </w:hyperlink>
    </w:p>
    <w:p w:rsidR="00885A62" w:rsidRPr="00885A62" w:rsidRDefault="00607847" w:rsidP="00885A62">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885A62" w:rsidRPr="00885A62">
          <w:rPr>
            <w:rFonts w:eastAsia="Times New Roman"/>
            <w:color w:val="000000"/>
            <w:sz w:val="28"/>
            <w:szCs w:val="28"/>
            <w:lang w:eastAsia="en-AU"/>
          </w:rPr>
          <w:t xml:space="preserve">Part 2—Variation of </w:t>
        </w:r>
        <w:r w:rsidR="00885A62" w:rsidRPr="00885A62">
          <w:rPr>
            <w:rFonts w:eastAsia="Times New Roman"/>
            <w:i/>
            <w:iCs/>
            <w:color w:val="000000"/>
            <w:sz w:val="28"/>
            <w:szCs w:val="28"/>
            <w:lang w:eastAsia="en-AU"/>
          </w:rPr>
          <w:t>Landscape South Australia (Water Management) Regulations 2020</w:t>
        </w:r>
      </w:hyperlink>
    </w:p>
    <w:p w:rsidR="00885A62" w:rsidRPr="00885A62" w:rsidRDefault="00607847" w:rsidP="00885A6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885A62" w:rsidRPr="00885A62">
          <w:rPr>
            <w:rFonts w:eastAsia="Times New Roman"/>
            <w:color w:val="000000"/>
            <w:sz w:val="22"/>
            <w:lang w:eastAsia="en-AU"/>
          </w:rPr>
          <w:t>4</w:t>
        </w:r>
        <w:r w:rsidR="00885A62" w:rsidRPr="00885A62">
          <w:rPr>
            <w:rFonts w:eastAsia="Times New Roman"/>
            <w:color w:val="000000"/>
            <w:sz w:val="22"/>
            <w:lang w:eastAsia="en-AU"/>
          </w:rPr>
          <w:tab/>
          <w:t>Substitution of regulation 36</w:t>
        </w:r>
      </w:hyperlink>
    </w:p>
    <w:p w:rsidR="00885A62" w:rsidRPr="00885A62" w:rsidRDefault="00607847" w:rsidP="00885A62">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7" w:history="1">
        <w:r w:rsidR="00885A62" w:rsidRPr="00885A62">
          <w:rPr>
            <w:rFonts w:eastAsia="Times New Roman"/>
            <w:color w:val="000000"/>
            <w:sz w:val="18"/>
            <w:szCs w:val="18"/>
            <w:lang w:eastAsia="en-AU"/>
          </w:rPr>
          <w:t>36</w:t>
        </w:r>
        <w:r w:rsidR="00885A62" w:rsidRPr="00885A62">
          <w:rPr>
            <w:rFonts w:eastAsia="Times New Roman"/>
            <w:color w:val="000000"/>
            <w:sz w:val="18"/>
            <w:szCs w:val="18"/>
            <w:lang w:eastAsia="en-AU"/>
          </w:rPr>
          <w:tab/>
          <w:t>Variations—allocations—prescribed period (section 168 of Act)</w:t>
        </w:r>
      </w:hyperlink>
    </w:p>
    <w:p w:rsidR="00885A62" w:rsidRPr="00885A62" w:rsidRDefault="00885A62" w:rsidP="00885A62">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885A62" w:rsidRPr="00885A62" w:rsidRDefault="00885A62" w:rsidP="00885A6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885A62">
        <w:rPr>
          <w:rFonts w:eastAsia="Times New Roman"/>
          <w:b/>
          <w:bCs/>
          <w:color w:val="000000"/>
          <w:sz w:val="32"/>
          <w:szCs w:val="32"/>
          <w:lang w:eastAsia="en-AU"/>
        </w:rPr>
        <w:t>Part 1—Preliminary</w:t>
      </w:r>
    </w:p>
    <w:p w:rsidR="00885A62" w:rsidRPr="00885A62" w:rsidRDefault="00885A62" w:rsidP="00885A6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5A62">
        <w:rPr>
          <w:rFonts w:eastAsia="Times New Roman"/>
          <w:b/>
          <w:bCs/>
          <w:color w:val="000000"/>
          <w:sz w:val="26"/>
          <w:szCs w:val="26"/>
          <w:lang w:eastAsia="en-AU"/>
        </w:rPr>
        <w:t>1—Short title</w:t>
      </w:r>
    </w:p>
    <w:p w:rsidR="00885A62" w:rsidRPr="00885A62" w:rsidRDefault="00885A62" w:rsidP="00885A62">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5A62">
        <w:rPr>
          <w:rFonts w:eastAsia="Times New Roman"/>
          <w:color w:val="000000"/>
          <w:sz w:val="23"/>
          <w:szCs w:val="23"/>
          <w:lang w:eastAsia="en-AU"/>
        </w:rPr>
        <w:t xml:space="preserve">These regulations may be cited as the </w:t>
      </w:r>
      <w:r w:rsidRPr="00885A62">
        <w:rPr>
          <w:rFonts w:eastAsia="Times New Roman"/>
          <w:i/>
          <w:iCs/>
          <w:color w:val="000000"/>
          <w:sz w:val="23"/>
          <w:szCs w:val="23"/>
          <w:lang w:eastAsia="en-AU"/>
        </w:rPr>
        <w:t>Landscape South Australia (Water Management) (Forestry—Prescribed Period) Variation Regulations 2020</w:t>
      </w:r>
      <w:r w:rsidRPr="00885A62">
        <w:rPr>
          <w:rFonts w:eastAsia="Times New Roman"/>
          <w:color w:val="000000"/>
          <w:sz w:val="23"/>
          <w:szCs w:val="23"/>
          <w:lang w:eastAsia="en-AU"/>
        </w:rPr>
        <w:t>.</w:t>
      </w:r>
    </w:p>
    <w:p w:rsidR="00885A62" w:rsidRPr="00885A62" w:rsidRDefault="00885A62" w:rsidP="00885A6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5A62">
        <w:rPr>
          <w:rFonts w:eastAsia="Times New Roman"/>
          <w:b/>
          <w:bCs/>
          <w:color w:val="000000"/>
          <w:sz w:val="26"/>
          <w:szCs w:val="26"/>
          <w:lang w:eastAsia="en-AU"/>
        </w:rPr>
        <w:t>2—Commencement</w:t>
      </w:r>
    </w:p>
    <w:p w:rsidR="00885A62" w:rsidRPr="00885A62" w:rsidRDefault="00885A62" w:rsidP="00885A62">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5A62">
        <w:rPr>
          <w:rFonts w:eastAsia="Times New Roman"/>
          <w:color w:val="000000"/>
          <w:sz w:val="23"/>
          <w:szCs w:val="23"/>
          <w:lang w:eastAsia="en-AU"/>
        </w:rPr>
        <w:t>These regulations come into operation on the day on which they are made.</w:t>
      </w:r>
    </w:p>
    <w:p w:rsidR="00885A62" w:rsidRPr="00885A62" w:rsidRDefault="00885A62" w:rsidP="00885A6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5A62">
        <w:rPr>
          <w:rFonts w:eastAsia="Times New Roman"/>
          <w:b/>
          <w:bCs/>
          <w:color w:val="000000"/>
          <w:sz w:val="26"/>
          <w:szCs w:val="26"/>
          <w:lang w:eastAsia="en-AU"/>
        </w:rPr>
        <w:t>3—Variation provisions</w:t>
      </w:r>
    </w:p>
    <w:p w:rsidR="00885A62" w:rsidRPr="00885A62" w:rsidRDefault="00885A62" w:rsidP="00885A62">
      <w:pPr>
        <w:keepLines/>
        <w:autoSpaceDE w:val="0"/>
        <w:autoSpaceDN w:val="0"/>
        <w:adjustRightInd w:val="0"/>
        <w:spacing w:before="120" w:after="0" w:line="240" w:lineRule="auto"/>
        <w:ind w:left="794"/>
        <w:jc w:val="left"/>
        <w:rPr>
          <w:rFonts w:eastAsia="Times New Roman"/>
          <w:color w:val="000000"/>
          <w:sz w:val="23"/>
          <w:szCs w:val="23"/>
          <w:lang w:eastAsia="en-AU"/>
        </w:rPr>
      </w:pPr>
      <w:r w:rsidRPr="00885A62">
        <w:rPr>
          <w:rFonts w:eastAsia="Times New Roman"/>
          <w:color w:val="000000"/>
          <w:sz w:val="23"/>
          <w:szCs w:val="23"/>
          <w:lang w:eastAsia="en-AU"/>
        </w:rPr>
        <w:t>In these regulations, a provision under a heading referring to the variation of specified regulations varies the regulations so specified.</w:t>
      </w:r>
    </w:p>
    <w:p w:rsidR="00A551D7" w:rsidRDefault="00A551D7">
      <w:pPr>
        <w:spacing w:after="0" w:line="240" w:lineRule="auto"/>
        <w:jc w:val="left"/>
        <w:rPr>
          <w:rFonts w:eastAsia="Times New Roman"/>
          <w:b/>
          <w:bCs/>
          <w:color w:val="000000"/>
          <w:sz w:val="32"/>
          <w:szCs w:val="32"/>
          <w:lang w:eastAsia="en-AU"/>
        </w:rPr>
      </w:pPr>
      <w:r>
        <w:rPr>
          <w:rFonts w:eastAsia="Times New Roman"/>
          <w:b/>
          <w:bCs/>
          <w:color w:val="000000"/>
          <w:sz w:val="32"/>
          <w:szCs w:val="32"/>
          <w:lang w:eastAsia="en-AU"/>
        </w:rPr>
        <w:br w:type="page"/>
      </w:r>
    </w:p>
    <w:p w:rsidR="00885A62" w:rsidRPr="00885A62" w:rsidRDefault="00885A62" w:rsidP="00885A6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885A62">
        <w:rPr>
          <w:rFonts w:eastAsia="Times New Roman"/>
          <w:b/>
          <w:bCs/>
          <w:color w:val="000000"/>
          <w:sz w:val="32"/>
          <w:szCs w:val="32"/>
          <w:lang w:eastAsia="en-AU"/>
        </w:rPr>
        <w:lastRenderedPageBreak/>
        <w:t xml:space="preserve">Part 2—Variation of </w:t>
      </w:r>
      <w:r w:rsidRPr="00885A62">
        <w:rPr>
          <w:rFonts w:eastAsia="Times New Roman"/>
          <w:b/>
          <w:bCs/>
          <w:i/>
          <w:iCs/>
          <w:color w:val="000000"/>
          <w:sz w:val="32"/>
          <w:szCs w:val="32"/>
          <w:lang w:eastAsia="en-AU"/>
        </w:rPr>
        <w:t>Landscape South Australia (Water Management) Regulations 2020</w:t>
      </w:r>
    </w:p>
    <w:p w:rsidR="00885A62" w:rsidRPr="00885A62" w:rsidRDefault="00885A62" w:rsidP="00885A6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5A62">
        <w:rPr>
          <w:rFonts w:eastAsia="Times New Roman"/>
          <w:b/>
          <w:bCs/>
          <w:color w:val="000000"/>
          <w:sz w:val="26"/>
          <w:szCs w:val="26"/>
          <w:lang w:eastAsia="en-AU"/>
        </w:rPr>
        <w:t>4—Substitution of regulation 36</w:t>
      </w:r>
    </w:p>
    <w:p w:rsidR="00885A62" w:rsidRPr="00885A62" w:rsidRDefault="00885A62" w:rsidP="00885A6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85A62">
        <w:rPr>
          <w:rFonts w:eastAsia="Times New Roman"/>
          <w:color w:val="000000"/>
          <w:sz w:val="23"/>
          <w:szCs w:val="23"/>
          <w:lang w:eastAsia="en-AU"/>
        </w:rPr>
        <w:t>Regulation 36—delete the regulation and substitute:</w:t>
      </w:r>
    </w:p>
    <w:p w:rsidR="00885A62" w:rsidRPr="00885A62" w:rsidRDefault="00885A62" w:rsidP="00885A62">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885A62">
        <w:rPr>
          <w:rFonts w:eastAsia="Times New Roman"/>
          <w:b/>
          <w:bCs/>
          <w:color w:val="000000"/>
          <w:sz w:val="26"/>
          <w:szCs w:val="26"/>
          <w:lang w:eastAsia="en-AU"/>
        </w:rPr>
        <w:t>36—Variations—allocations—prescribed period (section 168 of Act)</w:t>
      </w:r>
    </w:p>
    <w:p w:rsidR="00885A62" w:rsidRPr="00885A62" w:rsidRDefault="00885A62" w:rsidP="00885A6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85A62">
        <w:rPr>
          <w:rFonts w:eastAsia="Times New Roman"/>
          <w:color w:val="000000"/>
          <w:sz w:val="23"/>
          <w:szCs w:val="23"/>
          <w:lang w:eastAsia="en-AU"/>
        </w:rPr>
        <w:tab/>
        <w:t>(1)</w:t>
      </w:r>
      <w:r w:rsidRPr="00885A62">
        <w:rPr>
          <w:rFonts w:eastAsia="Times New Roman"/>
          <w:color w:val="000000"/>
          <w:sz w:val="23"/>
          <w:szCs w:val="23"/>
          <w:lang w:eastAsia="en-AU"/>
        </w:rPr>
        <w:tab/>
        <w:t>For the purposes of section 168(1)(b) of the Act—</w:t>
      </w:r>
    </w:p>
    <w:p w:rsidR="00885A62" w:rsidRPr="00885A62" w:rsidRDefault="00885A62" w:rsidP="00885A6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85A62">
        <w:rPr>
          <w:rFonts w:eastAsia="Times New Roman"/>
          <w:color w:val="000000"/>
          <w:sz w:val="23"/>
          <w:szCs w:val="23"/>
          <w:lang w:eastAsia="en-AU"/>
        </w:rPr>
        <w:tab/>
        <w:t>(a)</w:t>
      </w:r>
      <w:r w:rsidRPr="00885A62">
        <w:rPr>
          <w:rFonts w:eastAsia="Times New Roman"/>
          <w:color w:val="000000"/>
          <w:sz w:val="23"/>
          <w:szCs w:val="23"/>
          <w:lang w:eastAsia="en-AU"/>
        </w:rPr>
        <w:tab/>
        <w:t>in the case of the unconfined aquifer management areas of Coles, Short and Zone 3A, as set out in the water allocation plan for the Lower Limestone Coast Prescribed Wells Area—the period of 4 years is prescribed;</w:t>
      </w:r>
    </w:p>
    <w:p w:rsidR="00885A62" w:rsidRPr="00885A62" w:rsidRDefault="00885A62" w:rsidP="00885A6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885A62">
        <w:rPr>
          <w:rFonts w:eastAsia="Times New Roman"/>
          <w:color w:val="000000"/>
          <w:sz w:val="23"/>
          <w:szCs w:val="23"/>
          <w:lang w:eastAsia="en-AU"/>
        </w:rPr>
        <w:tab/>
        <w:t>(b)</w:t>
      </w:r>
      <w:r w:rsidRPr="00885A62">
        <w:rPr>
          <w:rFonts w:eastAsia="Times New Roman"/>
          <w:color w:val="000000"/>
          <w:sz w:val="23"/>
          <w:szCs w:val="23"/>
          <w:lang w:eastAsia="en-AU"/>
        </w:rPr>
        <w:tab/>
        <w:t>in any other case—the period of 2 years is prescribed.</w:t>
      </w:r>
    </w:p>
    <w:p w:rsidR="00885A62" w:rsidRPr="00885A62" w:rsidRDefault="00885A62" w:rsidP="00885A6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885A62">
        <w:rPr>
          <w:rFonts w:eastAsia="Times New Roman"/>
          <w:color w:val="000000"/>
          <w:sz w:val="23"/>
          <w:szCs w:val="23"/>
          <w:lang w:eastAsia="en-AU"/>
        </w:rPr>
        <w:tab/>
        <w:t>(2)</w:t>
      </w:r>
      <w:r w:rsidRPr="00885A62">
        <w:rPr>
          <w:rFonts w:eastAsia="Times New Roman"/>
          <w:color w:val="000000"/>
          <w:sz w:val="23"/>
          <w:szCs w:val="23"/>
          <w:lang w:eastAsia="en-AU"/>
        </w:rPr>
        <w:tab/>
        <w:t>In this regulation—</w:t>
      </w:r>
    </w:p>
    <w:p w:rsidR="00885A62" w:rsidRPr="00885A62" w:rsidRDefault="00885A62" w:rsidP="00885A62">
      <w:pPr>
        <w:keepLines/>
        <w:autoSpaceDE w:val="0"/>
        <w:autoSpaceDN w:val="0"/>
        <w:adjustRightInd w:val="0"/>
        <w:spacing w:before="120" w:after="0" w:line="240" w:lineRule="auto"/>
        <w:ind w:left="2382"/>
        <w:jc w:val="left"/>
        <w:rPr>
          <w:rFonts w:eastAsia="Times New Roman"/>
          <w:color w:val="000000"/>
          <w:sz w:val="23"/>
          <w:szCs w:val="23"/>
          <w:lang w:eastAsia="en-AU"/>
        </w:rPr>
      </w:pPr>
      <w:r w:rsidRPr="00885A62">
        <w:rPr>
          <w:rFonts w:eastAsia="Times New Roman"/>
          <w:b/>
          <w:bCs/>
          <w:i/>
          <w:iCs/>
          <w:color w:val="000000"/>
          <w:sz w:val="23"/>
          <w:szCs w:val="23"/>
          <w:lang w:eastAsia="en-AU"/>
        </w:rPr>
        <w:t>Lower Limestone Coast Prescribed Wells Area</w:t>
      </w:r>
      <w:r w:rsidRPr="00885A62">
        <w:rPr>
          <w:rFonts w:eastAsia="Times New Roman"/>
          <w:color w:val="000000"/>
          <w:sz w:val="23"/>
          <w:szCs w:val="23"/>
          <w:lang w:eastAsia="en-AU"/>
        </w:rPr>
        <w:t xml:space="preserve"> has the same meaning as in the </w:t>
      </w:r>
      <w:hyperlink r:id="rId56" w:history="1">
        <w:r w:rsidRPr="00885A62">
          <w:rPr>
            <w:rFonts w:eastAsia="Times New Roman"/>
            <w:i/>
            <w:iCs/>
            <w:color w:val="000000"/>
            <w:sz w:val="23"/>
            <w:szCs w:val="23"/>
            <w:lang w:eastAsia="en-AU"/>
          </w:rPr>
          <w:t>Water Resources (Lower Limestone Coast Prescribed Wells Area) Regulations 2004</w:t>
        </w:r>
      </w:hyperlink>
      <w:r w:rsidRPr="00885A62">
        <w:rPr>
          <w:rFonts w:eastAsia="Times New Roman"/>
          <w:color w:val="000000"/>
          <w:sz w:val="23"/>
          <w:szCs w:val="23"/>
          <w:lang w:eastAsia="en-AU"/>
        </w:rPr>
        <w:t>.</w:t>
      </w:r>
    </w:p>
    <w:p w:rsidR="00885A62" w:rsidRPr="00885A62" w:rsidRDefault="00885A62" w:rsidP="00885A62">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885A62">
        <w:rPr>
          <w:rFonts w:eastAsia="Times New Roman"/>
          <w:b/>
          <w:bCs/>
          <w:color w:val="000000"/>
          <w:sz w:val="20"/>
          <w:szCs w:val="20"/>
          <w:lang w:eastAsia="en-AU"/>
        </w:rPr>
        <w:t>Note—</w:t>
      </w:r>
    </w:p>
    <w:p w:rsidR="00885A62" w:rsidRPr="00885A62" w:rsidRDefault="00885A62" w:rsidP="00885A62">
      <w:pPr>
        <w:keepLines/>
        <w:autoSpaceDE w:val="0"/>
        <w:autoSpaceDN w:val="0"/>
        <w:adjustRightInd w:val="0"/>
        <w:spacing w:before="120" w:after="0" w:line="240" w:lineRule="auto"/>
        <w:ind w:left="794"/>
        <w:jc w:val="left"/>
        <w:rPr>
          <w:rFonts w:eastAsia="Times New Roman"/>
          <w:color w:val="000000"/>
          <w:sz w:val="20"/>
          <w:szCs w:val="20"/>
          <w:lang w:eastAsia="en-AU"/>
        </w:rPr>
      </w:pPr>
      <w:r w:rsidRPr="00885A62">
        <w:rPr>
          <w:rFonts w:eastAsia="Times New Roman"/>
          <w:color w:val="000000"/>
          <w:sz w:val="20"/>
          <w:szCs w:val="20"/>
          <w:lang w:eastAsia="en-AU"/>
        </w:rPr>
        <w:t xml:space="preserve">As required by section 10AA(2) of the </w:t>
      </w:r>
      <w:hyperlink r:id="rId57" w:history="1">
        <w:r w:rsidRPr="00885A62">
          <w:rPr>
            <w:rFonts w:eastAsia="Times New Roman"/>
            <w:i/>
            <w:iCs/>
            <w:color w:val="000000"/>
            <w:sz w:val="20"/>
            <w:szCs w:val="20"/>
            <w:lang w:eastAsia="en-AU"/>
          </w:rPr>
          <w:t>Subordinate Legislation Act 1978</w:t>
        </w:r>
      </w:hyperlink>
      <w:r w:rsidRPr="00885A62">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885A62" w:rsidRPr="00885A62" w:rsidRDefault="00885A62" w:rsidP="00885A62">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85A62">
        <w:rPr>
          <w:rFonts w:eastAsia="Times New Roman"/>
          <w:b/>
          <w:bCs/>
          <w:color w:val="000000"/>
          <w:sz w:val="26"/>
          <w:szCs w:val="26"/>
          <w:lang w:eastAsia="en-AU"/>
        </w:rPr>
        <w:t>Made by the Governor</w:t>
      </w:r>
    </w:p>
    <w:p w:rsidR="00885A62" w:rsidRPr="00885A62" w:rsidRDefault="00885A62" w:rsidP="00885A62">
      <w:pPr>
        <w:keepNext/>
        <w:keepLines/>
        <w:autoSpaceDE w:val="0"/>
        <w:autoSpaceDN w:val="0"/>
        <w:adjustRightInd w:val="0"/>
        <w:spacing w:before="120" w:after="0" w:line="240" w:lineRule="auto"/>
        <w:jc w:val="left"/>
        <w:rPr>
          <w:rFonts w:eastAsia="Times New Roman"/>
          <w:color w:val="000000"/>
          <w:sz w:val="23"/>
          <w:szCs w:val="23"/>
          <w:lang w:eastAsia="en-AU"/>
        </w:rPr>
      </w:pPr>
      <w:r w:rsidRPr="00885A62">
        <w:rPr>
          <w:rFonts w:eastAsia="Times New Roman"/>
          <w:color w:val="000000"/>
          <w:sz w:val="23"/>
          <w:szCs w:val="23"/>
          <w:lang w:eastAsia="en-AU"/>
        </w:rPr>
        <w:t>with the advice and consent of the Executive Council</w:t>
      </w:r>
    </w:p>
    <w:p w:rsidR="00885A62" w:rsidRPr="00885A62" w:rsidRDefault="00885A62" w:rsidP="00885A62">
      <w:pPr>
        <w:keepNext/>
        <w:keepLines/>
        <w:autoSpaceDE w:val="0"/>
        <w:autoSpaceDN w:val="0"/>
        <w:adjustRightInd w:val="0"/>
        <w:spacing w:after="0" w:line="240" w:lineRule="auto"/>
        <w:jc w:val="left"/>
        <w:rPr>
          <w:rFonts w:eastAsia="Times New Roman"/>
          <w:color w:val="000000"/>
          <w:sz w:val="23"/>
          <w:szCs w:val="23"/>
          <w:lang w:eastAsia="en-AU"/>
        </w:rPr>
      </w:pPr>
      <w:r w:rsidRPr="00885A62">
        <w:rPr>
          <w:rFonts w:eastAsia="Times New Roman"/>
          <w:color w:val="000000"/>
          <w:sz w:val="23"/>
          <w:szCs w:val="23"/>
          <w:lang w:eastAsia="en-AU"/>
        </w:rPr>
        <w:t>on 17 December 2020</w:t>
      </w:r>
    </w:p>
    <w:p w:rsidR="00885A62" w:rsidRDefault="00885A62" w:rsidP="00885A62">
      <w:pPr>
        <w:keepNext/>
        <w:keepLines/>
        <w:autoSpaceDE w:val="0"/>
        <w:autoSpaceDN w:val="0"/>
        <w:adjustRightInd w:val="0"/>
        <w:spacing w:before="120" w:line="240" w:lineRule="auto"/>
        <w:jc w:val="left"/>
        <w:rPr>
          <w:rFonts w:eastAsia="Times New Roman"/>
          <w:color w:val="000000"/>
          <w:sz w:val="23"/>
          <w:szCs w:val="23"/>
          <w:lang w:eastAsia="en-AU"/>
        </w:rPr>
      </w:pPr>
      <w:r w:rsidRPr="00885A62">
        <w:rPr>
          <w:rFonts w:eastAsia="Times New Roman"/>
          <w:color w:val="000000"/>
          <w:sz w:val="23"/>
          <w:szCs w:val="23"/>
          <w:lang w:eastAsia="en-AU"/>
        </w:rPr>
        <w:t>No 319 of 2020</w:t>
      </w:r>
    </w:p>
    <w:p w:rsidR="00885A62" w:rsidRDefault="00885A62" w:rsidP="00885A62">
      <w:pPr>
        <w:pBdr>
          <w:top w:val="single" w:sz="4" w:space="1" w:color="auto"/>
        </w:pBdr>
        <w:autoSpaceDE w:val="0"/>
        <w:autoSpaceDN w:val="0"/>
        <w:adjustRightInd w:val="0"/>
        <w:spacing w:before="100" w:after="0" w:line="14" w:lineRule="exact"/>
        <w:jc w:val="center"/>
        <w:rPr>
          <w:rFonts w:eastAsia="Times New Roman"/>
          <w:color w:val="000000"/>
          <w:sz w:val="23"/>
          <w:szCs w:val="23"/>
          <w:lang w:eastAsia="en-AU"/>
        </w:rPr>
      </w:pPr>
    </w:p>
    <w:p w:rsidR="00131F1A" w:rsidRDefault="00131F1A" w:rsidP="0016463B">
      <w:pPr>
        <w:pStyle w:val="GG-body"/>
      </w:pPr>
    </w:p>
    <w:p w:rsidR="00885A62" w:rsidRDefault="00885A62">
      <w:pPr>
        <w:spacing w:after="0" w:line="240" w:lineRule="auto"/>
        <w:jc w:val="left"/>
        <w:rPr>
          <w:rFonts w:eastAsia="Times New Roman"/>
          <w:szCs w:val="17"/>
        </w:rPr>
      </w:pPr>
      <w:r>
        <w:br w:type="page"/>
      </w:r>
    </w:p>
    <w:p w:rsidR="00E91216" w:rsidRDefault="00E91216" w:rsidP="00E91216">
      <w:pPr>
        <w:pStyle w:val="RegSpace"/>
        <w:rPr>
          <w:lang w:eastAsia="en-AU"/>
        </w:rPr>
      </w:pPr>
    </w:p>
    <w:p w:rsidR="00E91216" w:rsidRPr="00E91216" w:rsidRDefault="00E91216" w:rsidP="00E91216">
      <w:pPr>
        <w:keepLines/>
        <w:autoSpaceDE w:val="0"/>
        <w:autoSpaceDN w:val="0"/>
        <w:adjustRightInd w:val="0"/>
        <w:spacing w:before="240" w:after="0" w:line="240" w:lineRule="auto"/>
        <w:jc w:val="left"/>
        <w:rPr>
          <w:rFonts w:eastAsia="Times New Roman"/>
          <w:color w:val="000000"/>
          <w:sz w:val="28"/>
          <w:szCs w:val="28"/>
          <w:lang w:eastAsia="en-AU"/>
        </w:rPr>
      </w:pPr>
      <w:r w:rsidRPr="00E91216">
        <w:rPr>
          <w:rFonts w:eastAsia="Times New Roman"/>
          <w:color w:val="000000"/>
          <w:sz w:val="28"/>
          <w:szCs w:val="28"/>
          <w:lang w:eastAsia="en-AU"/>
        </w:rPr>
        <w:t>South Australia</w:t>
      </w:r>
    </w:p>
    <w:p w:rsidR="00E91216" w:rsidRPr="00E91216" w:rsidRDefault="00E91216" w:rsidP="00046B75">
      <w:pPr>
        <w:pStyle w:val="Heading3"/>
        <w:rPr>
          <w:lang w:eastAsia="en-AU"/>
        </w:rPr>
      </w:pPr>
      <w:bookmarkStart w:id="95" w:name="_Toc59098938"/>
      <w:r w:rsidRPr="00E91216">
        <w:rPr>
          <w:lang w:eastAsia="en-AU"/>
        </w:rPr>
        <w:t>Fisheries Management (Abalone Fisheries) (Quota) Variation Regulations 2020</w:t>
      </w:r>
      <w:bookmarkEnd w:id="95"/>
    </w:p>
    <w:p w:rsidR="00E91216" w:rsidRPr="00E91216" w:rsidRDefault="00E91216" w:rsidP="00E91216">
      <w:pPr>
        <w:keepLines/>
        <w:autoSpaceDE w:val="0"/>
        <w:autoSpaceDN w:val="0"/>
        <w:adjustRightInd w:val="0"/>
        <w:spacing w:before="80" w:after="240" w:line="240" w:lineRule="auto"/>
        <w:jc w:val="left"/>
        <w:rPr>
          <w:rFonts w:eastAsia="Times New Roman"/>
          <w:color w:val="000000"/>
          <w:sz w:val="24"/>
          <w:szCs w:val="24"/>
          <w:lang w:eastAsia="en-AU"/>
        </w:rPr>
      </w:pPr>
      <w:r w:rsidRPr="00E91216">
        <w:rPr>
          <w:rFonts w:eastAsia="Times New Roman"/>
          <w:color w:val="000000"/>
          <w:sz w:val="24"/>
          <w:szCs w:val="24"/>
          <w:lang w:eastAsia="en-AU"/>
        </w:rPr>
        <w:t xml:space="preserve">under the </w:t>
      </w:r>
      <w:r w:rsidRPr="00E91216">
        <w:rPr>
          <w:rFonts w:eastAsia="Times New Roman"/>
          <w:i/>
          <w:iCs/>
          <w:color w:val="000000"/>
          <w:sz w:val="24"/>
          <w:szCs w:val="24"/>
          <w:lang w:eastAsia="en-AU"/>
        </w:rPr>
        <w:t>Fisheries Management Act 2007</w:t>
      </w:r>
    </w:p>
    <w:p w:rsidR="00E91216" w:rsidRPr="00E91216" w:rsidRDefault="00E91216" w:rsidP="00E91216">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E91216" w:rsidRPr="00E91216" w:rsidRDefault="00E91216" w:rsidP="00E91216">
      <w:pPr>
        <w:keepLines/>
        <w:autoSpaceDE w:val="0"/>
        <w:autoSpaceDN w:val="0"/>
        <w:adjustRightInd w:val="0"/>
        <w:spacing w:before="120" w:after="0" w:line="240" w:lineRule="auto"/>
        <w:jc w:val="left"/>
        <w:rPr>
          <w:rFonts w:eastAsia="Times New Roman"/>
          <w:b/>
          <w:bCs/>
          <w:color w:val="000000"/>
          <w:sz w:val="32"/>
          <w:szCs w:val="32"/>
          <w:lang w:eastAsia="en-AU"/>
        </w:rPr>
      </w:pPr>
      <w:r w:rsidRPr="00E91216">
        <w:rPr>
          <w:rFonts w:eastAsia="Times New Roman"/>
          <w:b/>
          <w:bCs/>
          <w:color w:val="000000"/>
          <w:sz w:val="32"/>
          <w:szCs w:val="32"/>
          <w:lang w:eastAsia="en-AU"/>
        </w:rPr>
        <w:t>Contents</w:t>
      </w:r>
    </w:p>
    <w:p w:rsidR="00E91216" w:rsidRPr="00E91216" w:rsidRDefault="00607847" w:rsidP="00E91216">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E91216" w:rsidRPr="00E91216">
          <w:rPr>
            <w:rFonts w:eastAsia="Times New Roman"/>
            <w:color w:val="000000"/>
            <w:sz w:val="28"/>
            <w:szCs w:val="28"/>
            <w:lang w:eastAsia="en-AU"/>
          </w:rPr>
          <w:t>Part 1—Preliminary</w:t>
        </w:r>
      </w:hyperlink>
    </w:p>
    <w:p w:rsidR="00E91216" w:rsidRPr="00E91216" w:rsidRDefault="00607847" w:rsidP="00E9121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E91216" w:rsidRPr="00E91216">
          <w:rPr>
            <w:rFonts w:eastAsia="Times New Roman"/>
            <w:color w:val="000000"/>
            <w:sz w:val="22"/>
            <w:lang w:eastAsia="en-AU"/>
          </w:rPr>
          <w:t>1</w:t>
        </w:r>
        <w:r w:rsidR="00E91216" w:rsidRPr="00E91216">
          <w:rPr>
            <w:rFonts w:eastAsia="Times New Roman"/>
            <w:color w:val="000000"/>
            <w:sz w:val="22"/>
            <w:lang w:eastAsia="en-AU"/>
          </w:rPr>
          <w:tab/>
          <w:t>Short title</w:t>
        </w:r>
      </w:hyperlink>
    </w:p>
    <w:p w:rsidR="00E91216" w:rsidRPr="00E91216" w:rsidRDefault="00607847" w:rsidP="00E9121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E91216" w:rsidRPr="00E91216">
          <w:rPr>
            <w:rFonts w:eastAsia="Times New Roman"/>
            <w:color w:val="000000"/>
            <w:sz w:val="22"/>
            <w:lang w:eastAsia="en-AU"/>
          </w:rPr>
          <w:t>2</w:t>
        </w:r>
        <w:r w:rsidR="00E91216" w:rsidRPr="00E91216">
          <w:rPr>
            <w:rFonts w:eastAsia="Times New Roman"/>
            <w:color w:val="000000"/>
            <w:sz w:val="22"/>
            <w:lang w:eastAsia="en-AU"/>
          </w:rPr>
          <w:tab/>
          <w:t>Commencement</w:t>
        </w:r>
      </w:hyperlink>
    </w:p>
    <w:p w:rsidR="00E91216" w:rsidRPr="00E91216" w:rsidRDefault="00607847" w:rsidP="00E9121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E91216" w:rsidRPr="00E91216">
          <w:rPr>
            <w:rFonts w:eastAsia="Times New Roman"/>
            <w:color w:val="000000"/>
            <w:sz w:val="22"/>
            <w:lang w:eastAsia="en-AU"/>
          </w:rPr>
          <w:t>3</w:t>
        </w:r>
        <w:r w:rsidR="00E91216" w:rsidRPr="00E91216">
          <w:rPr>
            <w:rFonts w:eastAsia="Times New Roman"/>
            <w:color w:val="000000"/>
            <w:sz w:val="22"/>
            <w:lang w:eastAsia="en-AU"/>
          </w:rPr>
          <w:tab/>
          <w:t>Variation provisions</w:t>
        </w:r>
      </w:hyperlink>
    </w:p>
    <w:p w:rsidR="00E91216" w:rsidRPr="00E91216" w:rsidRDefault="00607847" w:rsidP="00E91216">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E91216" w:rsidRPr="00E91216">
          <w:rPr>
            <w:rFonts w:eastAsia="Times New Roman"/>
            <w:color w:val="000000"/>
            <w:sz w:val="28"/>
            <w:szCs w:val="28"/>
            <w:lang w:eastAsia="en-AU"/>
          </w:rPr>
          <w:t xml:space="preserve">Part 2—Variation of </w:t>
        </w:r>
        <w:r w:rsidR="00E91216" w:rsidRPr="00E91216">
          <w:rPr>
            <w:rFonts w:eastAsia="Times New Roman"/>
            <w:i/>
            <w:iCs/>
            <w:color w:val="000000"/>
            <w:sz w:val="28"/>
            <w:szCs w:val="28"/>
            <w:lang w:eastAsia="en-AU"/>
          </w:rPr>
          <w:t>Fisheries Management (Abalone Fisheries) Regulations 2017</w:t>
        </w:r>
      </w:hyperlink>
    </w:p>
    <w:p w:rsidR="00E91216" w:rsidRPr="00E91216" w:rsidRDefault="00607847" w:rsidP="00E9121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E91216" w:rsidRPr="00E91216">
          <w:rPr>
            <w:rFonts w:eastAsia="Times New Roman"/>
            <w:color w:val="000000"/>
            <w:sz w:val="22"/>
            <w:lang w:eastAsia="en-AU"/>
          </w:rPr>
          <w:t>4</w:t>
        </w:r>
        <w:r w:rsidR="00E91216" w:rsidRPr="00E91216">
          <w:rPr>
            <w:rFonts w:eastAsia="Times New Roman"/>
            <w:color w:val="000000"/>
            <w:sz w:val="22"/>
            <w:lang w:eastAsia="en-AU"/>
          </w:rPr>
          <w:tab/>
          <w:t>Variation of regulation 10—Individual catch quota system—Central Zone</w:t>
        </w:r>
      </w:hyperlink>
    </w:p>
    <w:p w:rsidR="00E91216" w:rsidRPr="00E91216" w:rsidRDefault="00607847" w:rsidP="00E9121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00E91216" w:rsidRPr="00E91216">
          <w:rPr>
            <w:rFonts w:eastAsia="Times New Roman"/>
            <w:color w:val="000000"/>
            <w:sz w:val="22"/>
            <w:lang w:eastAsia="en-AU"/>
          </w:rPr>
          <w:t>5</w:t>
        </w:r>
        <w:r w:rsidR="00E91216" w:rsidRPr="00E91216">
          <w:rPr>
            <w:rFonts w:eastAsia="Times New Roman"/>
            <w:color w:val="000000"/>
            <w:sz w:val="22"/>
            <w:lang w:eastAsia="en-AU"/>
          </w:rPr>
          <w:tab/>
          <w:t>Variation of regulation 11—Individual catch quota system—Southern Zone</w:t>
        </w:r>
      </w:hyperlink>
    </w:p>
    <w:p w:rsidR="00E91216" w:rsidRPr="00E91216" w:rsidRDefault="00607847" w:rsidP="00E9121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 w:history="1">
        <w:r w:rsidR="00E91216" w:rsidRPr="00E91216">
          <w:rPr>
            <w:rFonts w:eastAsia="Times New Roman"/>
            <w:color w:val="000000"/>
            <w:sz w:val="22"/>
            <w:lang w:eastAsia="en-AU"/>
          </w:rPr>
          <w:t>6</w:t>
        </w:r>
        <w:r w:rsidR="00E91216" w:rsidRPr="00E91216">
          <w:rPr>
            <w:rFonts w:eastAsia="Times New Roman"/>
            <w:color w:val="000000"/>
            <w:sz w:val="22"/>
            <w:lang w:eastAsia="en-AU"/>
          </w:rPr>
          <w:tab/>
          <w:t>Variation of regulation 12—Individual catch quota system—Western Zone</w:t>
        </w:r>
      </w:hyperlink>
    </w:p>
    <w:p w:rsidR="00E91216" w:rsidRPr="00E91216" w:rsidRDefault="00E91216" w:rsidP="00E91216">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E91216" w:rsidRPr="00E91216" w:rsidRDefault="00E91216" w:rsidP="00E9121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E91216">
        <w:rPr>
          <w:rFonts w:eastAsia="Times New Roman"/>
          <w:b/>
          <w:bCs/>
          <w:color w:val="000000"/>
          <w:sz w:val="32"/>
          <w:szCs w:val="32"/>
          <w:lang w:eastAsia="en-AU"/>
        </w:rPr>
        <w:t>Part 1—Preliminary</w:t>
      </w:r>
    </w:p>
    <w:p w:rsidR="00E91216" w:rsidRPr="00E91216" w:rsidRDefault="00E91216" w:rsidP="00E9121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91216">
        <w:rPr>
          <w:rFonts w:eastAsia="Times New Roman"/>
          <w:b/>
          <w:bCs/>
          <w:color w:val="000000"/>
          <w:sz w:val="26"/>
          <w:szCs w:val="26"/>
          <w:lang w:eastAsia="en-AU"/>
        </w:rPr>
        <w:t>1—Short title</w:t>
      </w:r>
    </w:p>
    <w:p w:rsidR="00E91216" w:rsidRPr="00E91216" w:rsidRDefault="00E91216" w:rsidP="00E91216">
      <w:pPr>
        <w:keepLines/>
        <w:autoSpaceDE w:val="0"/>
        <w:autoSpaceDN w:val="0"/>
        <w:adjustRightInd w:val="0"/>
        <w:spacing w:before="120" w:after="0" w:line="240" w:lineRule="auto"/>
        <w:ind w:left="794"/>
        <w:jc w:val="left"/>
        <w:rPr>
          <w:rFonts w:eastAsia="Times New Roman"/>
          <w:color w:val="000000"/>
          <w:sz w:val="23"/>
          <w:szCs w:val="23"/>
          <w:lang w:eastAsia="en-AU"/>
        </w:rPr>
      </w:pPr>
      <w:r w:rsidRPr="00E91216">
        <w:rPr>
          <w:rFonts w:eastAsia="Times New Roman"/>
          <w:color w:val="000000"/>
          <w:sz w:val="23"/>
          <w:szCs w:val="23"/>
          <w:lang w:eastAsia="en-AU"/>
        </w:rPr>
        <w:t xml:space="preserve">These regulations may be cited as the </w:t>
      </w:r>
      <w:r w:rsidRPr="00E91216">
        <w:rPr>
          <w:rFonts w:eastAsia="Times New Roman"/>
          <w:i/>
          <w:iCs/>
          <w:color w:val="000000"/>
          <w:sz w:val="23"/>
          <w:szCs w:val="23"/>
          <w:lang w:eastAsia="en-AU"/>
        </w:rPr>
        <w:t>Fisheries Management (Abalone Fisheries) (Quota) Variation Regulations 2020</w:t>
      </w:r>
      <w:r w:rsidRPr="00E91216">
        <w:rPr>
          <w:rFonts w:eastAsia="Times New Roman"/>
          <w:color w:val="000000"/>
          <w:sz w:val="23"/>
          <w:szCs w:val="23"/>
          <w:lang w:eastAsia="en-AU"/>
        </w:rPr>
        <w:t>.</w:t>
      </w:r>
    </w:p>
    <w:p w:rsidR="00E91216" w:rsidRPr="00E91216" w:rsidRDefault="00E91216" w:rsidP="00E9121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91216">
        <w:rPr>
          <w:rFonts w:eastAsia="Times New Roman"/>
          <w:b/>
          <w:bCs/>
          <w:color w:val="000000"/>
          <w:sz w:val="26"/>
          <w:szCs w:val="26"/>
          <w:lang w:eastAsia="en-AU"/>
        </w:rPr>
        <w:t>2—Commencement</w:t>
      </w:r>
    </w:p>
    <w:p w:rsidR="00E91216" w:rsidRPr="00E91216" w:rsidRDefault="00E91216" w:rsidP="00E91216">
      <w:pPr>
        <w:keepLines/>
        <w:autoSpaceDE w:val="0"/>
        <w:autoSpaceDN w:val="0"/>
        <w:adjustRightInd w:val="0"/>
        <w:spacing w:before="120" w:after="0" w:line="240" w:lineRule="auto"/>
        <w:ind w:left="794"/>
        <w:jc w:val="left"/>
        <w:rPr>
          <w:rFonts w:eastAsia="Times New Roman"/>
          <w:color w:val="000000"/>
          <w:sz w:val="23"/>
          <w:szCs w:val="23"/>
          <w:lang w:eastAsia="en-AU"/>
        </w:rPr>
      </w:pPr>
      <w:r w:rsidRPr="00E91216">
        <w:rPr>
          <w:rFonts w:eastAsia="Times New Roman"/>
          <w:color w:val="000000"/>
          <w:sz w:val="23"/>
          <w:szCs w:val="23"/>
          <w:lang w:eastAsia="en-AU"/>
        </w:rPr>
        <w:t>These regulations come into operation on the day on which they are made.</w:t>
      </w:r>
    </w:p>
    <w:p w:rsidR="00E91216" w:rsidRPr="00E91216" w:rsidRDefault="00E91216" w:rsidP="00E9121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91216">
        <w:rPr>
          <w:rFonts w:eastAsia="Times New Roman"/>
          <w:b/>
          <w:bCs/>
          <w:color w:val="000000"/>
          <w:sz w:val="26"/>
          <w:szCs w:val="26"/>
          <w:lang w:eastAsia="en-AU"/>
        </w:rPr>
        <w:t>3—Variation provisions</w:t>
      </w:r>
    </w:p>
    <w:p w:rsidR="00E91216" w:rsidRPr="00E91216" w:rsidRDefault="00E91216" w:rsidP="00E91216">
      <w:pPr>
        <w:keepLines/>
        <w:autoSpaceDE w:val="0"/>
        <w:autoSpaceDN w:val="0"/>
        <w:adjustRightInd w:val="0"/>
        <w:spacing w:before="120" w:after="0" w:line="240" w:lineRule="auto"/>
        <w:ind w:left="794"/>
        <w:jc w:val="left"/>
        <w:rPr>
          <w:rFonts w:eastAsia="Times New Roman"/>
          <w:color w:val="000000"/>
          <w:sz w:val="23"/>
          <w:szCs w:val="23"/>
          <w:lang w:eastAsia="en-AU"/>
        </w:rPr>
      </w:pPr>
      <w:r w:rsidRPr="00E91216">
        <w:rPr>
          <w:rFonts w:eastAsia="Times New Roman"/>
          <w:color w:val="000000"/>
          <w:sz w:val="23"/>
          <w:szCs w:val="23"/>
          <w:lang w:eastAsia="en-AU"/>
        </w:rPr>
        <w:t>In these regulations, a provision under a heading referring to the variation of specified regulations varies the regulations so specified.</w:t>
      </w:r>
    </w:p>
    <w:p w:rsidR="00E91216" w:rsidRPr="00E91216" w:rsidRDefault="00E91216" w:rsidP="00E9121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E91216">
        <w:rPr>
          <w:rFonts w:eastAsia="Times New Roman"/>
          <w:b/>
          <w:bCs/>
          <w:color w:val="000000"/>
          <w:sz w:val="32"/>
          <w:szCs w:val="32"/>
          <w:lang w:eastAsia="en-AU"/>
        </w:rPr>
        <w:t xml:space="preserve">Part 2—Variation of </w:t>
      </w:r>
      <w:r w:rsidRPr="00E91216">
        <w:rPr>
          <w:rFonts w:eastAsia="Times New Roman"/>
          <w:b/>
          <w:bCs/>
          <w:i/>
          <w:iCs/>
          <w:color w:val="000000"/>
          <w:sz w:val="32"/>
          <w:szCs w:val="32"/>
          <w:lang w:eastAsia="en-AU"/>
        </w:rPr>
        <w:t>Fisheries Management (Abalone Fisheries) Regulations 2017</w:t>
      </w:r>
    </w:p>
    <w:p w:rsidR="00E91216" w:rsidRPr="00E91216" w:rsidRDefault="00E91216" w:rsidP="00E9121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91216">
        <w:rPr>
          <w:rFonts w:eastAsia="Times New Roman"/>
          <w:b/>
          <w:bCs/>
          <w:color w:val="000000"/>
          <w:sz w:val="26"/>
          <w:szCs w:val="26"/>
          <w:lang w:eastAsia="en-AU"/>
        </w:rPr>
        <w:t>4—Variation of regulation 10—Individual catch quota system—Central Zone</w:t>
      </w:r>
    </w:p>
    <w:p w:rsidR="00E91216" w:rsidRPr="00E91216" w:rsidRDefault="00E91216" w:rsidP="00E9121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91216">
        <w:rPr>
          <w:rFonts w:eastAsia="Times New Roman"/>
          <w:color w:val="000000"/>
          <w:sz w:val="23"/>
          <w:szCs w:val="23"/>
          <w:lang w:eastAsia="en-AU"/>
        </w:rPr>
        <w:tab/>
        <w:t>(1)</w:t>
      </w:r>
      <w:r w:rsidRPr="00E91216">
        <w:rPr>
          <w:rFonts w:eastAsia="Times New Roman"/>
          <w:color w:val="000000"/>
          <w:sz w:val="23"/>
          <w:szCs w:val="23"/>
          <w:lang w:eastAsia="en-AU"/>
        </w:rPr>
        <w:tab/>
        <w:t xml:space="preserve">Regulation 10(1)—after the definition of </w:t>
      </w:r>
      <w:r w:rsidRPr="00E91216">
        <w:rPr>
          <w:rFonts w:eastAsia="Times New Roman"/>
          <w:b/>
          <w:bCs/>
          <w:i/>
          <w:iCs/>
          <w:color w:val="000000"/>
          <w:sz w:val="23"/>
          <w:szCs w:val="23"/>
          <w:lang w:eastAsia="en-AU"/>
        </w:rPr>
        <w:t>quota period</w:t>
      </w:r>
      <w:r w:rsidRPr="00E91216">
        <w:rPr>
          <w:rFonts w:eastAsia="Times New Roman"/>
          <w:color w:val="000000"/>
          <w:sz w:val="23"/>
          <w:szCs w:val="23"/>
          <w:lang w:eastAsia="en-AU"/>
        </w:rPr>
        <w:t xml:space="preserve"> insert:</w:t>
      </w:r>
    </w:p>
    <w:p w:rsidR="00E91216" w:rsidRPr="00E91216" w:rsidRDefault="00E91216" w:rsidP="00E91216">
      <w:pPr>
        <w:keepLines/>
        <w:autoSpaceDE w:val="0"/>
        <w:autoSpaceDN w:val="0"/>
        <w:adjustRightInd w:val="0"/>
        <w:spacing w:before="120" w:after="0" w:line="240" w:lineRule="auto"/>
        <w:ind w:left="1588"/>
        <w:jc w:val="left"/>
        <w:rPr>
          <w:rFonts w:eastAsia="Times New Roman"/>
          <w:color w:val="000000"/>
          <w:sz w:val="23"/>
          <w:szCs w:val="23"/>
          <w:lang w:eastAsia="en-AU"/>
        </w:rPr>
      </w:pPr>
      <w:r w:rsidRPr="00E91216">
        <w:rPr>
          <w:rFonts w:eastAsia="Times New Roman"/>
          <w:b/>
          <w:bCs/>
          <w:i/>
          <w:iCs/>
          <w:color w:val="000000"/>
          <w:sz w:val="23"/>
          <w:szCs w:val="23"/>
          <w:lang w:eastAsia="en-AU"/>
        </w:rPr>
        <w:t>quota period 2020</w:t>
      </w:r>
      <w:r w:rsidRPr="00E91216">
        <w:rPr>
          <w:rFonts w:eastAsia="Times New Roman"/>
          <w:color w:val="000000"/>
          <w:sz w:val="23"/>
          <w:szCs w:val="23"/>
          <w:lang w:eastAsia="en-AU"/>
        </w:rPr>
        <w:t xml:space="preserve"> means the quota period ending on 31 December 2020;</w:t>
      </w:r>
    </w:p>
    <w:p w:rsidR="00E91216" w:rsidRPr="00E91216" w:rsidRDefault="00E91216" w:rsidP="00E91216">
      <w:pPr>
        <w:keepLines/>
        <w:autoSpaceDE w:val="0"/>
        <w:autoSpaceDN w:val="0"/>
        <w:adjustRightInd w:val="0"/>
        <w:spacing w:before="120" w:after="0" w:line="240" w:lineRule="auto"/>
        <w:ind w:left="1588"/>
        <w:jc w:val="left"/>
        <w:rPr>
          <w:rFonts w:eastAsia="Times New Roman"/>
          <w:color w:val="000000"/>
          <w:sz w:val="23"/>
          <w:szCs w:val="23"/>
          <w:lang w:eastAsia="en-AU"/>
        </w:rPr>
      </w:pPr>
      <w:r w:rsidRPr="00E91216">
        <w:rPr>
          <w:rFonts w:eastAsia="Times New Roman"/>
          <w:b/>
          <w:bCs/>
          <w:i/>
          <w:iCs/>
          <w:color w:val="000000"/>
          <w:sz w:val="23"/>
          <w:szCs w:val="23"/>
          <w:lang w:eastAsia="en-AU"/>
        </w:rPr>
        <w:t>quota period 2021</w:t>
      </w:r>
      <w:r w:rsidRPr="00E91216">
        <w:rPr>
          <w:rFonts w:eastAsia="Times New Roman"/>
          <w:color w:val="000000"/>
          <w:sz w:val="23"/>
          <w:szCs w:val="23"/>
          <w:lang w:eastAsia="en-AU"/>
        </w:rPr>
        <w:t xml:space="preserve"> means the quota period ending on 31 December 2021;</w:t>
      </w:r>
    </w:p>
    <w:p w:rsidR="00E91216" w:rsidRPr="00E91216" w:rsidRDefault="00E91216" w:rsidP="00E91216">
      <w:pPr>
        <w:keepLines/>
        <w:autoSpaceDE w:val="0"/>
        <w:autoSpaceDN w:val="0"/>
        <w:adjustRightInd w:val="0"/>
        <w:spacing w:before="120" w:after="0" w:line="240" w:lineRule="auto"/>
        <w:ind w:left="1588"/>
        <w:jc w:val="left"/>
        <w:rPr>
          <w:rFonts w:eastAsia="Times New Roman"/>
          <w:color w:val="000000"/>
          <w:sz w:val="23"/>
          <w:szCs w:val="23"/>
          <w:lang w:eastAsia="en-AU"/>
        </w:rPr>
      </w:pPr>
      <w:r w:rsidRPr="00E91216">
        <w:rPr>
          <w:rFonts w:eastAsia="Times New Roman"/>
          <w:b/>
          <w:bCs/>
          <w:i/>
          <w:iCs/>
          <w:color w:val="000000"/>
          <w:sz w:val="23"/>
          <w:szCs w:val="23"/>
          <w:lang w:eastAsia="en-AU"/>
        </w:rPr>
        <w:t>quota period 2022</w:t>
      </w:r>
      <w:r w:rsidRPr="00E91216">
        <w:rPr>
          <w:rFonts w:eastAsia="Times New Roman"/>
          <w:color w:val="000000"/>
          <w:sz w:val="23"/>
          <w:szCs w:val="23"/>
          <w:lang w:eastAsia="en-AU"/>
        </w:rPr>
        <w:t xml:space="preserve"> means the quota period ending on 31 December 2022;</w:t>
      </w:r>
    </w:p>
    <w:p w:rsidR="00E91216" w:rsidRPr="00E91216" w:rsidRDefault="00E91216" w:rsidP="00E91216">
      <w:pPr>
        <w:keepLines/>
        <w:autoSpaceDE w:val="0"/>
        <w:autoSpaceDN w:val="0"/>
        <w:adjustRightInd w:val="0"/>
        <w:spacing w:before="120" w:after="0" w:line="240" w:lineRule="auto"/>
        <w:ind w:left="1588"/>
        <w:jc w:val="left"/>
        <w:rPr>
          <w:rFonts w:eastAsia="Times New Roman"/>
          <w:color w:val="000000"/>
          <w:sz w:val="23"/>
          <w:szCs w:val="23"/>
          <w:lang w:eastAsia="en-AU"/>
        </w:rPr>
      </w:pPr>
      <w:r w:rsidRPr="00E91216">
        <w:rPr>
          <w:rFonts w:eastAsia="Times New Roman"/>
          <w:b/>
          <w:bCs/>
          <w:i/>
          <w:iCs/>
          <w:color w:val="000000"/>
          <w:sz w:val="23"/>
          <w:szCs w:val="23"/>
          <w:lang w:eastAsia="en-AU"/>
        </w:rPr>
        <w:t>quota period 2023</w:t>
      </w:r>
      <w:r w:rsidRPr="00E91216">
        <w:rPr>
          <w:rFonts w:eastAsia="Times New Roman"/>
          <w:color w:val="000000"/>
          <w:sz w:val="23"/>
          <w:szCs w:val="23"/>
          <w:lang w:eastAsia="en-AU"/>
        </w:rPr>
        <w:t xml:space="preserve"> means the quota period ending on 31 December 2023;</w:t>
      </w:r>
    </w:p>
    <w:p w:rsidR="00E91216" w:rsidRPr="00E91216" w:rsidRDefault="00E91216" w:rsidP="00E91216">
      <w:pPr>
        <w:keepLines/>
        <w:autoSpaceDE w:val="0"/>
        <w:autoSpaceDN w:val="0"/>
        <w:adjustRightInd w:val="0"/>
        <w:spacing w:before="120" w:after="0" w:line="240" w:lineRule="auto"/>
        <w:ind w:left="1588"/>
        <w:jc w:val="left"/>
        <w:rPr>
          <w:rFonts w:eastAsia="Times New Roman"/>
          <w:color w:val="000000"/>
          <w:sz w:val="23"/>
          <w:szCs w:val="23"/>
          <w:lang w:eastAsia="en-AU"/>
        </w:rPr>
      </w:pPr>
      <w:r w:rsidRPr="00E91216">
        <w:rPr>
          <w:rFonts w:eastAsia="Times New Roman"/>
          <w:b/>
          <w:bCs/>
          <w:i/>
          <w:iCs/>
          <w:color w:val="000000"/>
          <w:sz w:val="23"/>
          <w:szCs w:val="23"/>
          <w:lang w:eastAsia="en-AU"/>
        </w:rPr>
        <w:t>quota period 2024</w:t>
      </w:r>
      <w:r w:rsidRPr="00E91216">
        <w:rPr>
          <w:rFonts w:eastAsia="Times New Roman"/>
          <w:color w:val="000000"/>
          <w:sz w:val="23"/>
          <w:szCs w:val="23"/>
          <w:lang w:eastAsia="en-AU"/>
        </w:rPr>
        <w:t xml:space="preserve"> means the quota period ending on 31 December 2024;</w:t>
      </w:r>
    </w:p>
    <w:p w:rsidR="00E91216" w:rsidRPr="00E91216" w:rsidRDefault="00E91216" w:rsidP="00E91216">
      <w:pPr>
        <w:keepLines/>
        <w:autoSpaceDE w:val="0"/>
        <w:autoSpaceDN w:val="0"/>
        <w:adjustRightInd w:val="0"/>
        <w:spacing w:before="120" w:after="0" w:line="240" w:lineRule="auto"/>
        <w:ind w:left="1588"/>
        <w:jc w:val="left"/>
        <w:rPr>
          <w:rFonts w:eastAsia="Times New Roman"/>
          <w:color w:val="000000"/>
          <w:sz w:val="23"/>
          <w:szCs w:val="23"/>
          <w:lang w:eastAsia="en-AU"/>
        </w:rPr>
      </w:pPr>
      <w:r w:rsidRPr="00E91216">
        <w:rPr>
          <w:rFonts w:eastAsia="Times New Roman"/>
          <w:b/>
          <w:bCs/>
          <w:i/>
          <w:iCs/>
          <w:color w:val="000000"/>
          <w:sz w:val="23"/>
          <w:szCs w:val="23"/>
          <w:lang w:eastAsia="en-AU"/>
        </w:rPr>
        <w:t>quota period 2025</w:t>
      </w:r>
      <w:r w:rsidRPr="00E91216">
        <w:rPr>
          <w:rFonts w:eastAsia="Times New Roman"/>
          <w:color w:val="000000"/>
          <w:sz w:val="23"/>
          <w:szCs w:val="23"/>
          <w:lang w:eastAsia="en-AU"/>
        </w:rPr>
        <w:t xml:space="preserve"> means the quota period ending on 31 December 2025;</w:t>
      </w:r>
    </w:p>
    <w:p w:rsidR="008822A7" w:rsidRDefault="008822A7">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rsidR="00E91216" w:rsidRPr="00E91216" w:rsidRDefault="00E91216" w:rsidP="00E9121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91216">
        <w:rPr>
          <w:rFonts w:eastAsia="Times New Roman"/>
          <w:color w:val="000000"/>
          <w:sz w:val="23"/>
          <w:szCs w:val="23"/>
          <w:lang w:eastAsia="en-AU"/>
        </w:rPr>
        <w:lastRenderedPageBreak/>
        <w:tab/>
        <w:t>(2)</w:t>
      </w:r>
      <w:r w:rsidRPr="00E91216">
        <w:rPr>
          <w:rFonts w:eastAsia="Times New Roman"/>
          <w:color w:val="000000"/>
          <w:sz w:val="23"/>
          <w:szCs w:val="23"/>
          <w:lang w:eastAsia="en-AU"/>
        </w:rPr>
        <w:tab/>
        <w:t>Regulation 10(3)—delete "impose or"</w:t>
      </w:r>
    </w:p>
    <w:p w:rsidR="00E91216" w:rsidRPr="00E91216" w:rsidRDefault="00E91216" w:rsidP="00E9121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91216">
        <w:rPr>
          <w:rFonts w:eastAsia="Times New Roman"/>
          <w:color w:val="000000"/>
          <w:sz w:val="23"/>
          <w:szCs w:val="23"/>
          <w:lang w:eastAsia="en-AU"/>
        </w:rPr>
        <w:tab/>
        <w:t>(3)</w:t>
      </w:r>
      <w:r w:rsidRPr="00E91216">
        <w:rPr>
          <w:rFonts w:eastAsia="Times New Roman"/>
          <w:color w:val="000000"/>
          <w:sz w:val="23"/>
          <w:szCs w:val="23"/>
          <w:lang w:eastAsia="en-AU"/>
        </w:rPr>
        <w:tab/>
        <w:t>Regulation 10(3)—before paragraph (a) insert:</w:t>
      </w:r>
    </w:p>
    <w:p w:rsidR="00E91216" w:rsidRPr="00E91216" w:rsidRDefault="00E91216" w:rsidP="00E9121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91216">
        <w:rPr>
          <w:rFonts w:eastAsia="Times New Roman"/>
          <w:color w:val="000000"/>
          <w:sz w:val="23"/>
          <w:szCs w:val="23"/>
          <w:lang w:eastAsia="en-AU"/>
        </w:rPr>
        <w:tab/>
        <w:t>(aa)</w:t>
      </w:r>
      <w:r w:rsidRPr="00E91216">
        <w:rPr>
          <w:rFonts w:eastAsia="Times New Roman"/>
          <w:color w:val="000000"/>
          <w:sz w:val="23"/>
          <w:szCs w:val="23"/>
          <w:lang w:eastAsia="en-AU"/>
        </w:rPr>
        <w:tab/>
        <w:t>if—</w:t>
      </w:r>
    </w:p>
    <w:p w:rsidR="00E91216" w:rsidRPr="00E91216" w:rsidRDefault="00E91216" w:rsidP="00E9121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91216">
        <w:rPr>
          <w:rFonts w:eastAsia="Times New Roman"/>
          <w:color w:val="000000"/>
          <w:sz w:val="23"/>
          <w:szCs w:val="23"/>
          <w:lang w:eastAsia="en-AU"/>
        </w:rPr>
        <w:tab/>
        <w:t>(i)</w:t>
      </w:r>
      <w:r w:rsidRPr="00E91216">
        <w:rPr>
          <w:rFonts w:eastAsia="Times New Roman"/>
          <w:color w:val="000000"/>
          <w:sz w:val="23"/>
          <w:szCs w:val="23"/>
          <w:lang w:eastAsia="en-AU"/>
        </w:rPr>
        <w:tab/>
        <w:t>the total catch of abalone of a particular class taken by holders of licences in respect of the fishery during the quota period 2020 falls short of the total allowable catch of abalone of that particular class for the fishery and that quota period; and</w:t>
      </w:r>
    </w:p>
    <w:p w:rsidR="00E91216" w:rsidRPr="00E91216" w:rsidRDefault="00E91216" w:rsidP="00E9121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91216">
        <w:rPr>
          <w:rFonts w:eastAsia="Times New Roman"/>
          <w:color w:val="000000"/>
          <w:sz w:val="23"/>
          <w:szCs w:val="23"/>
          <w:lang w:eastAsia="en-AU"/>
        </w:rPr>
        <w:tab/>
        <w:t>(ii)</w:t>
      </w:r>
      <w:r w:rsidRPr="00E91216">
        <w:rPr>
          <w:rFonts w:eastAsia="Times New Roman"/>
          <w:color w:val="000000"/>
          <w:sz w:val="23"/>
          <w:szCs w:val="23"/>
          <w:lang w:eastAsia="en-AU"/>
        </w:rPr>
        <w:tab/>
        <w:t>the total catch of abalone of that class taken by at least 1 holder of a licence in respect of the fishery during the quota period 2020 falls short of the quota entitlement under that licence in respect of that class of abalone and that quota period by an amount exceeding 50 kilograms of abalone meat,</w:t>
      </w:r>
    </w:p>
    <w:p w:rsidR="00E91216" w:rsidRPr="00E91216" w:rsidRDefault="00E91216" w:rsidP="00E91216">
      <w:pPr>
        <w:keepLines/>
        <w:autoSpaceDE w:val="0"/>
        <w:autoSpaceDN w:val="0"/>
        <w:adjustRightInd w:val="0"/>
        <w:spacing w:before="120" w:after="0" w:line="240" w:lineRule="auto"/>
        <w:ind w:left="2382"/>
        <w:jc w:val="left"/>
        <w:rPr>
          <w:rFonts w:eastAsia="Times New Roman"/>
          <w:color w:val="000000"/>
          <w:sz w:val="23"/>
          <w:szCs w:val="23"/>
          <w:lang w:eastAsia="en-AU"/>
        </w:rPr>
      </w:pPr>
      <w:r w:rsidRPr="00E91216">
        <w:rPr>
          <w:rFonts w:eastAsia="Times New Roman"/>
          <w:color w:val="000000"/>
          <w:sz w:val="23"/>
          <w:szCs w:val="23"/>
          <w:lang w:eastAsia="en-AU"/>
        </w:rPr>
        <w:t>the Minister may vary the conditions of all licences in respect of the fishery so as to increase the quota entitlements under the licences in respect of that class of abalone for the quota periods 2021, 2022, 2023, 2024 and 2025 by the same number of abalone units;</w:t>
      </w:r>
    </w:p>
    <w:p w:rsidR="00E91216" w:rsidRPr="00E91216" w:rsidRDefault="00E91216" w:rsidP="00E9121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91216">
        <w:rPr>
          <w:rFonts w:eastAsia="Times New Roman"/>
          <w:b/>
          <w:bCs/>
          <w:color w:val="000000"/>
          <w:sz w:val="26"/>
          <w:szCs w:val="26"/>
          <w:lang w:eastAsia="en-AU"/>
        </w:rPr>
        <w:t>5—Variation of regulation 11—Individual catch quota system—Southern Zone</w:t>
      </w:r>
    </w:p>
    <w:p w:rsidR="00E91216" w:rsidRPr="00E91216" w:rsidRDefault="00E91216" w:rsidP="00E9121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91216">
        <w:rPr>
          <w:rFonts w:eastAsia="Times New Roman"/>
          <w:color w:val="000000"/>
          <w:sz w:val="23"/>
          <w:szCs w:val="23"/>
          <w:lang w:eastAsia="en-AU"/>
        </w:rPr>
        <w:tab/>
        <w:t>(1)</w:t>
      </w:r>
      <w:r w:rsidRPr="00E91216">
        <w:rPr>
          <w:rFonts w:eastAsia="Times New Roman"/>
          <w:color w:val="000000"/>
          <w:sz w:val="23"/>
          <w:szCs w:val="23"/>
          <w:lang w:eastAsia="en-AU"/>
        </w:rPr>
        <w:tab/>
        <w:t xml:space="preserve">Regulation 11(1)—after the definition of </w:t>
      </w:r>
      <w:r w:rsidRPr="00E91216">
        <w:rPr>
          <w:rFonts w:eastAsia="Times New Roman"/>
          <w:b/>
          <w:bCs/>
          <w:i/>
          <w:iCs/>
          <w:color w:val="000000"/>
          <w:sz w:val="23"/>
          <w:szCs w:val="23"/>
          <w:lang w:eastAsia="en-AU"/>
        </w:rPr>
        <w:t>quota period</w:t>
      </w:r>
      <w:r w:rsidRPr="00E91216">
        <w:rPr>
          <w:rFonts w:eastAsia="Times New Roman"/>
          <w:color w:val="000000"/>
          <w:sz w:val="23"/>
          <w:szCs w:val="23"/>
          <w:lang w:eastAsia="en-AU"/>
        </w:rPr>
        <w:t xml:space="preserve"> insert:</w:t>
      </w:r>
    </w:p>
    <w:p w:rsidR="00E91216" w:rsidRPr="00E91216" w:rsidRDefault="00E91216" w:rsidP="00E91216">
      <w:pPr>
        <w:keepLines/>
        <w:autoSpaceDE w:val="0"/>
        <w:autoSpaceDN w:val="0"/>
        <w:adjustRightInd w:val="0"/>
        <w:spacing w:before="120" w:after="0" w:line="240" w:lineRule="auto"/>
        <w:ind w:left="1588"/>
        <w:jc w:val="left"/>
        <w:rPr>
          <w:rFonts w:eastAsia="Times New Roman"/>
          <w:color w:val="000000"/>
          <w:sz w:val="23"/>
          <w:szCs w:val="23"/>
          <w:lang w:eastAsia="en-AU"/>
        </w:rPr>
      </w:pPr>
      <w:r w:rsidRPr="00E91216">
        <w:rPr>
          <w:rFonts w:eastAsia="Times New Roman"/>
          <w:b/>
          <w:bCs/>
          <w:i/>
          <w:iCs/>
          <w:color w:val="000000"/>
          <w:sz w:val="23"/>
          <w:szCs w:val="23"/>
          <w:lang w:eastAsia="en-AU"/>
        </w:rPr>
        <w:t>quota period 2019</w:t>
      </w:r>
      <w:r w:rsidRPr="00E91216">
        <w:rPr>
          <w:rFonts w:eastAsia="Times New Roman"/>
          <w:b/>
          <w:bCs/>
          <w:i/>
          <w:iCs/>
          <w:color w:val="000000"/>
          <w:sz w:val="23"/>
          <w:szCs w:val="23"/>
          <w:lang w:eastAsia="en-AU"/>
        </w:rPr>
        <w:noBreakHyphen/>
        <w:t>2020</w:t>
      </w:r>
      <w:r w:rsidRPr="00E91216">
        <w:rPr>
          <w:rFonts w:eastAsia="Times New Roman"/>
          <w:color w:val="000000"/>
          <w:sz w:val="23"/>
          <w:szCs w:val="23"/>
          <w:lang w:eastAsia="en-AU"/>
        </w:rPr>
        <w:t xml:space="preserve"> means the quota period that ended on 30 September 2020;</w:t>
      </w:r>
    </w:p>
    <w:p w:rsidR="00E91216" w:rsidRPr="00E91216" w:rsidRDefault="00E91216" w:rsidP="00E91216">
      <w:pPr>
        <w:keepLines/>
        <w:autoSpaceDE w:val="0"/>
        <w:autoSpaceDN w:val="0"/>
        <w:adjustRightInd w:val="0"/>
        <w:spacing w:before="120" w:after="0" w:line="240" w:lineRule="auto"/>
        <w:ind w:left="1588"/>
        <w:jc w:val="left"/>
        <w:rPr>
          <w:rFonts w:eastAsia="Times New Roman"/>
          <w:color w:val="000000"/>
          <w:sz w:val="23"/>
          <w:szCs w:val="23"/>
          <w:lang w:eastAsia="en-AU"/>
        </w:rPr>
      </w:pPr>
      <w:r w:rsidRPr="00E91216">
        <w:rPr>
          <w:rFonts w:eastAsia="Times New Roman"/>
          <w:b/>
          <w:bCs/>
          <w:i/>
          <w:iCs/>
          <w:color w:val="000000"/>
          <w:sz w:val="23"/>
          <w:szCs w:val="23"/>
          <w:lang w:eastAsia="en-AU"/>
        </w:rPr>
        <w:t>quota period 2020</w:t>
      </w:r>
      <w:r w:rsidRPr="00E91216">
        <w:rPr>
          <w:rFonts w:eastAsia="Times New Roman"/>
          <w:b/>
          <w:bCs/>
          <w:i/>
          <w:iCs/>
          <w:color w:val="000000"/>
          <w:sz w:val="23"/>
          <w:szCs w:val="23"/>
          <w:lang w:eastAsia="en-AU"/>
        </w:rPr>
        <w:noBreakHyphen/>
        <w:t>2021</w:t>
      </w:r>
      <w:r w:rsidRPr="00E91216">
        <w:rPr>
          <w:rFonts w:eastAsia="Times New Roman"/>
          <w:color w:val="000000"/>
          <w:sz w:val="23"/>
          <w:szCs w:val="23"/>
          <w:lang w:eastAsia="en-AU"/>
        </w:rPr>
        <w:t xml:space="preserve"> means the quota period ending on 30 September 2021;</w:t>
      </w:r>
    </w:p>
    <w:p w:rsidR="00E91216" w:rsidRPr="00E91216" w:rsidRDefault="00E91216" w:rsidP="00E91216">
      <w:pPr>
        <w:keepLines/>
        <w:autoSpaceDE w:val="0"/>
        <w:autoSpaceDN w:val="0"/>
        <w:adjustRightInd w:val="0"/>
        <w:spacing w:before="120" w:after="0" w:line="240" w:lineRule="auto"/>
        <w:ind w:left="1588"/>
        <w:jc w:val="left"/>
        <w:rPr>
          <w:rFonts w:eastAsia="Times New Roman"/>
          <w:color w:val="000000"/>
          <w:sz w:val="23"/>
          <w:szCs w:val="23"/>
          <w:lang w:eastAsia="en-AU"/>
        </w:rPr>
      </w:pPr>
      <w:r w:rsidRPr="00E91216">
        <w:rPr>
          <w:rFonts w:eastAsia="Times New Roman"/>
          <w:b/>
          <w:bCs/>
          <w:i/>
          <w:iCs/>
          <w:color w:val="000000"/>
          <w:sz w:val="23"/>
          <w:szCs w:val="23"/>
          <w:lang w:eastAsia="en-AU"/>
        </w:rPr>
        <w:t>quota period 2021</w:t>
      </w:r>
      <w:r w:rsidRPr="00E91216">
        <w:rPr>
          <w:rFonts w:eastAsia="Times New Roman"/>
          <w:b/>
          <w:bCs/>
          <w:i/>
          <w:iCs/>
          <w:color w:val="000000"/>
          <w:sz w:val="23"/>
          <w:szCs w:val="23"/>
          <w:lang w:eastAsia="en-AU"/>
        </w:rPr>
        <w:noBreakHyphen/>
        <w:t>2022</w:t>
      </w:r>
      <w:r w:rsidRPr="00E91216">
        <w:rPr>
          <w:rFonts w:eastAsia="Times New Roman"/>
          <w:color w:val="000000"/>
          <w:sz w:val="23"/>
          <w:szCs w:val="23"/>
          <w:lang w:eastAsia="en-AU"/>
        </w:rPr>
        <w:t xml:space="preserve"> means the quota period ending on 30 September 2022;</w:t>
      </w:r>
    </w:p>
    <w:p w:rsidR="00E91216" w:rsidRPr="00E91216" w:rsidRDefault="00E91216" w:rsidP="00E91216">
      <w:pPr>
        <w:keepLines/>
        <w:autoSpaceDE w:val="0"/>
        <w:autoSpaceDN w:val="0"/>
        <w:adjustRightInd w:val="0"/>
        <w:spacing w:before="120" w:after="0" w:line="240" w:lineRule="auto"/>
        <w:ind w:left="1588"/>
        <w:jc w:val="left"/>
        <w:rPr>
          <w:rFonts w:eastAsia="Times New Roman"/>
          <w:color w:val="000000"/>
          <w:sz w:val="23"/>
          <w:szCs w:val="23"/>
          <w:lang w:eastAsia="en-AU"/>
        </w:rPr>
      </w:pPr>
      <w:r w:rsidRPr="00E91216">
        <w:rPr>
          <w:rFonts w:eastAsia="Times New Roman"/>
          <w:b/>
          <w:bCs/>
          <w:i/>
          <w:iCs/>
          <w:color w:val="000000"/>
          <w:sz w:val="23"/>
          <w:szCs w:val="23"/>
          <w:lang w:eastAsia="en-AU"/>
        </w:rPr>
        <w:t>quota period 2022</w:t>
      </w:r>
      <w:r w:rsidRPr="00E91216">
        <w:rPr>
          <w:rFonts w:eastAsia="Times New Roman"/>
          <w:b/>
          <w:bCs/>
          <w:i/>
          <w:iCs/>
          <w:color w:val="000000"/>
          <w:sz w:val="23"/>
          <w:szCs w:val="23"/>
          <w:lang w:eastAsia="en-AU"/>
        </w:rPr>
        <w:noBreakHyphen/>
        <w:t>2023</w:t>
      </w:r>
      <w:r w:rsidRPr="00E91216">
        <w:rPr>
          <w:rFonts w:eastAsia="Times New Roman"/>
          <w:color w:val="000000"/>
          <w:sz w:val="23"/>
          <w:szCs w:val="23"/>
          <w:lang w:eastAsia="en-AU"/>
        </w:rPr>
        <w:t xml:space="preserve"> means the quota period ending on 30 September 2023;</w:t>
      </w:r>
    </w:p>
    <w:p w:rsidR="00E91216" w:rsidRPr="00E91216" w:rsidRDefault="00E91216" w:rsidP="00E9121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91216">
        <w:rPr>
          <w:rFonts w:eastAsia="Times New Roman"/>
          <w:color w:val="000000"/>
          <w:sz w:val="23"/>
          <w:szCs w:val="23"/>
          <w:lang w:eastAsia="en-AU"/>
        </w:rPr>
        <w:tab/>
        <w:t>(2)</w:t>
      </w:r>
      <w:r w:rsidRPr="00E91216">
        <w:rPr>
          <w:rFonts w:eastAsia="Times New Roman"/>
          <w:color w:val="000000"/>
          <w:sz w:val="23"/>
          <w:szCs w:val="23"/>
          <w:lang w:eastAsia="en-AU"/>
        </w:rPr>
        <w:tab/>
        <w:t>Regulation 11(3)(d)—delete paragraph (d) and substitute:</w:t>
      </w:r>
    </w:p>
    <w:p w:rsidR="00E91216" w:rsidRPr="00E91216" w:rsidRDefault="00E91216" w:rsidP="00E9121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91216">
        <w:rPr>
          <w:rFonts w:eastAsia="Times New Roman"/>
          <w:color w:val="000000"/>
          <w:sz w:val="23"/>
          <w:szCs w:val="23"/>
          <w:lang w:eastAsia="en-AU"/>
        </w:rPr>
        <w:tab/>
        <w:t>(d)</w:t>
      </w:r>
      <w:r w:rsidRPr="00E91216">
        <w:rPr>
          <w:rFonts w:eastAsia="Times New Roman"/>
          <w:color w:val="000000"/>
          <w:sz w:val="23"/>
          <w:szCs w:val="23"/>
          <w:lang w:eastAsia="en-AU"/>
        </w:rPr>
        <w:tab/>
        <w:t>if the total catch of abalone of a particular class taken by the holder of a licence during a quota period is less than the abalone quota entitlement under the licence in respect of that class of abalone and that quota period, the Minister may vary the conditions of the licence so as to—</w:t>
      </w:r>
    </w:p>
    <w:p w:rsidR="00E91216" w:rsidRPr="00E91216" w:rsidRDefault="00E91216" w:rsidP="00E9121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91216">
        <w:rPr>
          <w:rFonts w:eastAsia="Times New Roman"/>
          <w:color w:val="000000"/>
          <w:sz w:val="23"/>
          <w:szCs w:val="23"/>
          <w:lang w:eastAsia="en-AU"/>
        </w:rPr>
        <w:tab/>
        <w:t>(i)</w:t>
      </w:r>
      <w:r w:rsidRPr="00E91216">
        <w:rPr>
          <w:rFonts w:eastAsia="Times New Roman"/>
          <w:color w:val="000000"/>
          <w:sz w:val="23"/>
          <w:szCs w:val="23"/>
          <w:lang w:eastAsia="en-AU"/>
        </w:rPr>
        <w:tab/>
        <w:t>increase the quota entitlement in respect of that class of abalone by 1 kilogram of abalone meat for each kilogram by which the catch fell short of the quota entitlement (but in any case by not more than 50 kilograms); and</w:t>
      </w:r>
    </w:p>
    <w:p w:rsidR="00E91216" w:rsidRPr="00E91216" w:rsidRDefault="00E91216" w:rsidP="00E9121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91216">
        <w:rPr>
          <w:rFonts w:eastAsia="Times New Roman"/>
          <w:color w:val="000000"/>
          <w:sz w:val="23"/>
          <w:szCs w:val="23"/>
          <w:lang w:eastAsia="en-AU"/>
        </w:rPr>
        <w:tab/>
        <w:t>(ii)</w:t>
      </w:r>
      <w:r w:rsidRPr="00E91216">
        <w:rPr>
          <w:rFonts w:eastAsia="Times New Roman"/>
          <w:color w:val="000000"/>
          <w:sz w:val="23"/>
          <w:szCs w:val="23"/>
          <w:lang w:eastAsia="en-AU"/>
        </w:rPr>
        <w:tab/>
        <w:t>prohibit any additional abalone units allocated to the licence as a result of the increase in the quota entitlement made under subparagraph (i) from being transferred to another licence; and</w:t>
      </w:r>
    </w:p>
    <w:p w:rsidR="00E91216" w:rsidRPr="00E91216" w:rsidRDefault="00E91216" w:rsidP="00E9121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91216">
        <w:rPr>
          <w:rFonts w:eastAsia="Times New Roman"/>
          <w:color w:val="000000"/>
          <w:sz w:val="23"/>
          <w:szCs w:val="23"/>
          <w:lang w:eastAsia="en-AU"/>
        </w:rPr>
        <w:tab/>
        <w:t>(iii)</w:t>
      </w:r>
      <w:r w:rsidRPr="00E91216">
        <w:rPr>
          <w:rFonts w:eastAsia="Times New Roman"/>
          <w:color w:val="000000"/>
          <w:sz w:val="23"/>
          <w:szCs w:val="23"/>
          <w:lang w:eastAsia="en-AU"/>
        </w:rPr>
        <w:tab/>
        <w:t>in addition to any increase in the quota entitlement made under subparagraph (i), if the total catch of abalone of a particular class taken during the quota period 2019</w:t>
      </w:r>
      <w:r w:rsidRPr="00E91216">
        <w:rPr>
          <w:rFonts w:eastAsia="Times New Roman"/>
          <w:color w:val="000000"/>
          <w:sz w:val="23"/>
          <w:szCs w:val="23"/>
          <w:lang w:eastAsia="en-AU"/>
        </w:rPr>
        <w:noBreakHyphen/>
        <w:t>2020 fell short of the quota entitlement for that quota period by an amount exceeding 50 kilograms of abalone meat—increase the quota entitlement in respect of that class of abalone for the quota periods 2020</w:t>
      </w:r>
      <w:r w:rsidRPr="00E91216">
        <w:rPr>
          <w:rFonts w:eastAsia="Times New Roman"/>
          <w:color w:val="000000"/>
          <w:sz w:val="23"/>
          <w:szCs w:val="23"/>
          <w:lang w:eastAsia="en-AU"/>
        </w:rPr>
        <w:noBreakHyphen/>
        <w:t>2021, 2021</w:t>
      </w:r>
      <w:r w:rsidRPr="00E91216">
        <w:rPr>
          <w:rFonts w:eastAsia="Times New Roman"/>
          <w:color w:val="000000"/>
          <w:sz w:val="23"/>
          <w:szCs w:val="23"/>
          <w:lang w:eastAsia="en-AU"/>
        </w:rPr>
        <w:noBreakHyphen/>
        <w:t>2022 and 2022</w:t>
      </w:r>
      <w:r w:rsidRPr="00E91216">
        <w:rPr>
          <w:rFonts w:eastAsia="Times New Roman"/>
          <w:color w:val="000000"/>
          <w:sz w:val="23"/>
          <w:szCs w:val="23"/>
          <w:lang w:eastAsia="en-AU"/>
        </w:rPr>
        <w:noBreakHyphen/>
        <w:t>2023 by up to 1 kilogram of abalone meat for each kilogram above 50 kilograms by which the total catch fell short of the quota entitlement for the quota period 2019</w:t>
      </w:r>
      <w:r w:rsidRPr="00E91216">
        <w:rPr>
          <w:rFonts w:eastAsia="Times New Roman"/>
          <w:color w:val="000000"/>
          <w:sz w:val="23"/>
          <w:szCs w:val="23"/>
          <w:lang w:eastAsia="en-AU"/>
        </w:rPr>
        <w:noBreakHyphen/>
        <w:t>2020;</w:t>
      </w:r>
    </w:p>
    <w:p w:rsidR="00E91216" w:rsidRPr="00E91216" w:rsidRDefault="00E91216" w:rsidP="00E9121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91216">
        <w:rPr>
          <w:rFonts w:eastAsia="Times New Roman"/>
          <w:color w:val="000000"/>
          <w:sz w:val="23"/>
          <w:szCs w:val="23"/>
          <w:lang w:eastAsia="en-AU"/>
        </w:rPr>
        <w:lastRenderedPageBreak/>
        <w:tab/>
        <w:t>(3)</w:t>
      </w:r>
      <w:r w:rsidRPr="00E91216">
        <w:rPr>
          <w:rFonts w:eastAsia="Times New Roman"/>
          <w:color w:val="000000"/>
          <w:sz w:val="23"/>
          <w:szCs w:val="23"/>
          <w:lang w:eastAsia="en-AU"/>
        </w:rPr>
        <w:tab/>
        <w:t>Regulation 11—after subregulation (3) insert:</w:t>
      </w:r>
    </w:p>
    <w:p w:rsidR="00E91216" w:rsidRPr="00E91216" w:rsidRDefault="00E91216" w:rsidP="00E91216">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91216">
        <w:rPr>
          <w:rFonts w:eastAsia="Times New Roman"/>
          <w:color w:val="000000"/>
          <w:sz w:val="23"/>
          <w:szCs w:val="23"/>
          <w:lang w:eastAsia="en-AU"/>
        </w:rPr>
        <w:tab/>
        <w:t>(3a)</w:t>
      </w:r>
      <w:r w:rsidRPr="00E91216">
        <w:rPr>
          <w:rFonts w:eastAsia="Times New Roman"/>
          <w:color w:val="000000"/>
          <w:sz w:val="23"/>
          <w:szCs w:val="23"/>
          <w:lang w:eastAsia="en-AU"/>
        </w:rPr>
        <w:tab/>
        <w:t>In determining whether to vary the conditions of a licence under subregulation (3)(d)(iii) so as to increase the abalone quota entitlement under the licence in respect of a particular class of abalone and the quota period 2021</w:t>
      </w:r>
      <w:r w:rsidRPr="00E91216">
        <w:rPr>
          <w:rFonts w:eastAsia="Times New Roman"/>
          <w:color w:val="000000"/>
          <w:sz w:val="23"/>
          <w:szCs w:val="23"/>
          <w:lang w:eastAsia="en-AU"/>
        </w:rPr>
        <w:noBreakHyphen/>
        <w:t>2022 or 2022</w:t>
      </w:r>
      <w:r w:rsidRPr="00E91216">
        <w:rPr>
          <w:rFonts w:eastAsia="Times New Roman"/>
          <w:color w:val="000000"/>
          <w:sz w:val="23"/>
          <w:szCs w:val="23"/>
          <w:lang w:eastAsia="en-AU"/>
        </w:rPr>
        <w:noBreakHyphen/>
        <w:t>2023, the Minister must take into account—</w:t>
      </w:r>
    </w:p>
    <w:p w:rsidR="00E91216" w:rsidRPr="00E91216" w:rsidRDefault="00E91216" w:rsidP="00E9121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91216">
        <w:rPr>
          <w:rFonts w:eastAsia="Times New Roman"/>
          <w:color w:val="000000"/>
          <w:sz w:val="23"/>
          <w:szCs w:val="23"/>
          <w:lang w:eastAsia="en-AU"/>
        </w:rPr>
        <w:tab/>
        <w:t>(a)</w:t>
      </w:r>
      <w:r w:rsidRPr="00E91216">
        <w:rPr>
          <w:rFonts w:eastAsia="Times New Roman"/>
          <w:color w:val="000000"/>
          <w:sz w:val="23"/>
          <w:szCs w:val="23"/>
          <w:lang w:eastAsia="en-AU"/>
        </w:rPr>
        <w:tab/>
        <w:t>the total catch of abalone of that class taken by the holder of the licence during the quota period 2020</w:t>
      </w:r>
      <w:r w:rsidRPr="00E91216">
        <w:rPr>
          <w:rFonts w:eastAsia="Times New Roman"/>
          <w:color w:val="000000"/>
          <w:sz w:val="23"/>
          <w:szCs w:val="23"/>
          <w:lang w:eastAsia="en-AU"/>
        </w:rPr>
        <w:noBreakHyphen/>
        <w:t>2021 or 2021</w:t>
      </w:r>
      <w:r w:rsidRPr="00E91216">
        <w:rPr>
          <w:rFonts w:eastAsia="Times New Roman"/>
          <w:color w:val="000000"/>
          <w:sz w:val="23"/>
          <w:szCs w:val="23"/>
          <w:lang w:eastAsia="en-AU"/>
        </w:rPr>
        <w:noBreakHyphen/>
        <w:t>2022 (as the case requires); and</w:t>
      </w:r>
    </w:p>
    <w:p w:rsidR="00E91216" w:rsidRPr="00E91216" w:rsidRDefault="00E91216" w:rsidP="00E9121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91216">
        <w:rPr>
          <w:rFonts w:eastAsia="Times New Roman"/>
          <w:color w:val="000000"/>
          <w:sz w:val="23"/>
          <w:szCs w:val="23"/>
          <w:lang w:eastAsia="en-AU"/>
        </w:rPr>
        <w:tab/>
        <w:t>(b)</w:t>
      </w:r>
      <w:r w:rsidRPr="00E91216">
        <w:rPr>
          <w:rFonts w:eastAsia="Times New Roman"/>
          <w:color w:val="000000"/>
          <w:sz w:val="23"/>
          <w:szCs w:val="23"/>
          <w:lang w:eastAsia="en-AU"/>
        </w:rPr>
        <w:tab/>
        <w:t>any increase in the abalone quota entitlement under the licence in respect of that class of abalone for the quota period 2020</w:t>
      </w:r>
      <w:r w:rsidRPr="00E91216">
        <w:rPr>
          <w:rFonts w:eastAsia="Times New Roman"/>
          <w:color w:val="000000"/>
          <w:sz w:val="23"/>
          <w:szCs w:val="23"/>
          <w:lang w:eastAsia="en-AU"/>
        </w:rPr>
        <w:noBreakHyphen/>
        <w:t>2021 or 2021</w:t>
      </w:r>
      <w:r w:rsidRPr="00E91216">
        <w:rPr>
          <w:rFonts w:eastAsia="Times New Roman"/>
          <w:color w:val="000000"/>
          <w:sz w:val="23"/>
          <w:szCs w:val="23"/>
          <w:lang w:eastAsia="en-AU"/>
        </w:rPr>
        <w:noBreakHyphen/>
        <w:t>2022 (as the case requires) under subregulation (3)(d)(iii).</w:t>
      </w:r>
    </w:p>
    <w:p w:rsidR="00E91216" w:rsidRPr="00E91216" w:rsidRDefault="00E91216" w:rsidP="00E9121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91216">
        <w:rPr>
          <w:rFonts w:eastAsia="Times New Roman"/>
          <w:b/>
          <w:bCs/>
          <w:color w:val="000000"/>
          <w:sz w:val="26"/>
          <w:szCs w:val="26"/>
          <w:lang w:eastAsia="en-AU"/>
        </w:rPr>
        <w:t>6—Variation of regulation 12—Individual catch quota system—Western Zone</w:t>
      </w:r>
    </w:p>
    <w:p w:rsidR="00E91216" w:rsidRPr="00E91216" w:rsidRDefault="00E91216" w:rsidP="00E9121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91216">
        <w:rPr>
          <w:rFonts w:eastAsia="Times New Roman"/>
          <w:color w:val="000000"/>
          <w:sz w:val="23"/>
          <w:szCs w:val="23"/>
          <w:lang w:eastAsia="en-AU"/>
        </w:rPr>
        <w:tab/>
        <w:t>(1)</w:t>
      </w:r>
      <w:r w:rsidRPr="00E91216">
        <w:rPr>
          <w:rFonts w:eastAsia="Times New Roman"/>
          <w:color w:val="000000"/>
          <w:sz w:val="23"/>
          <w:szCs w:val="23"/>
          <w:lang w:eastAsia="en-AU"/>
        </w:rPr>
        <w:tab/>
        <w:t xml:space="preserve">Regulation 12(1)—after the definition of </w:t>
      </w:r>
      <w:r w:rsidRPr="00E91216">
        <w:rPr>
          <w:rFonts w:eastAsia="Times New Roman"/>
          <w:b/>
          <w:bCs/>
          <w:i/>
          <w:iCs/>
          <w:color w:val="000000"/>
          <w:sz w:val="23"/>
          <w:szCs w:val="23"/>
          <w:lang w:eastAsia="en-AU"/>
        </w:rPr>
        <w:t>quota period</w:t>
      </w:r>
      <w:r w:rsidRPr="00E91216">
        <w:rPr>
          <w:rFonts w:eastAsia="Times New Roman"/>
          <w:color w:val="000000"/>
          <w:sz w:val="23"/>
          <w:szCs w:val="23"/>
          <w:lang w:eastAsia="en-AU"/>
        </w:rPr>
        <w:t xml:space="preserve"> insert:</w:t>
      </w:r>
    </w:p>
    <w:p w:rsidR="00E91216" w:rsidRPr="00E91216" w:rsidRDefault="00E91216" w:rsidP="00E91216">
      <w:pPr>
        <w:keepLines/>
        <w:autoSpaceDE w:val="0"/>
        <w:autoSpaceDN w:val="0"/>
        <w:adjustRightInd w:val="0"/>
        <w:spacing w:before="120" w:after="0" w:line="240" w:lineRule="auto"/>
        <w:ind w:left="1588"/>
        <w:jc w:val="left"/>
        <w:rPr>
          <w:rFonts w:eastAsia="Times New Roman"/>
          <w:color w:val="000000"/>
          <w:sz w:val="23"/>
          <w:szCs w:val="23"/>
          <w:lang w:eastAsia="en-AU"/>
        </w:rPr>
      </w:pPr>
      <w:r w:rsidRPr="00E91216">
        <w:rPr>
          <w:rFonts w:eastAsia="Times New Roman"/>
          <w:b/>
          <w:bCs/>
          <w:i/>
          <w:iCs/>
          <w:color w:val="000000"/>
          <w:sz w:val="23"/>
          <w:szCs w:val="23"/>
          <w:lang w:eastAsia="en-AU"/>
        </w:rPr>
        <w:t>quota period 2020</w:t>
      </w:r>
      <w:r w:rsidRPr="00E91216">
        <w:rPr>
          <w:rFonts w:eastAsia="Times New Roman"/>
          <w:color w:val="000000"/>
          <w:sz w:val="23"/>
          <w:szCs w:val="23"/>
          <w:lang w:eastAsia="en-AU"/>
        </w:rPr>
        <w:t xml:space="preserve"> means the quota period ending on 31 December 2020;</w:t>
      </w:r>
    </w:p>
    <w:p w:rsidR="00E91216" w:rsidRPr="00E91216" w:rsidRDefault="00E91216" w:rsidP="00E91216">
      <w:pPr>
        <w:keepLines/>
        <w:autoSpaceDE w:val="0"/>
        <w:autoSpaceDN w:val="0"/>
        <w:adjustRightInd w:val="0"/>
        <w:spacing w:before="120" w:after="0" w:line="240" w:lineRule="auto"/>
        <w:ind w:left="1588"/>
        <w:jc w:val="left"/>
        <w:rPr>
          <w:rFonts w:eastAsia="Times New Roman"/>
          <w:color w:val="000000"/>
          <w:sz w:val="23"/>
          <w:szCs w:val="23"/>
          <w:lang w:eastAsia="en-AU"/>
        </w:rPr>
      </w:pPr>
      <w:r w:rsidRPr="00E91216">
        <w:rPr>
          <w:rFonts w:eastAsia="Times New Roman"/>
          <w:b/>
          <w:bCs/>
          <w:i/>
          <w:iCs/>
          <w:color w:val="000000"/>
          <w:sz w:val="23"/>
          <w:szCs w:val="23"/>
          <w:lang w:eastAsia="en-AU"/>
        </w:rPr>
        <w:t>quota period 2021</w:t>
      </w:r>
      <w:r w:rsidRPr="00E91216">
        <w:rPr>
          <w:rFonts w:eastAsia="Times New Roman"/>
          <w:color w:val="000000"/>
          <w:sz w:val="23"/>
          <w:szCs w:val="23"/>
          <w:lang w:eastAsia="en-AU"/>
        </w:rPr>
        <w:t xml:space="preserve"> means the quota period ending on 31 December 2021;</w:t>
      </w:r>
    </w:p>
    <w:p w:rsidR="00E91216" w:rsidRPr="00E91216" w:rsidRDefault="00E91216" w:rsidP="00E91216">
      <w:pPr>
        <w:keepLines/>
        <w:autoSpaceDE w:val="0"/>
        <w:autoSpaceDN w:val="0"/>
        <w:adjustRightInd w:val="0"/>
        <w:spacing w:before="120" w:after="0" w:line="240" w:lineRule="auto"/>
        <w:ind w:left="1588"/>
        <w:jc w:val="left"/>
        <w:rPr>
          <w:rFonts w:eastAsia="Times New Roman"/>
          <w:color w:val="000000"/>
          <w:sz w:val="23"/>
          <w:szCs w:val="23"/>
          <w:lang w:eastAsia="en-AU"/>
        </w:rPr>
      </w:pPr>
      <w:r w:rsidRPr="00E91216">
        <w:rPr>
          <w:rFonts w:eastAsia="Times New Roman"/>
          <w:b/>
          <w:bCs/>
          <w:i/>
          <w:iCs/>
          <w:color w:val="000000"/>
          <w:sz w:val="23"/>
          <w:szCs w:val="23"/>
          <w:lang w:eastAsia="en-AU"/>
        </w:rPr>
        <w:t>quota period 2022</w:t>
      </w:r>
      <w:r w:rsidRPr="00E91216">
        <w:rPr>
          <w:rFonts w:eastAsia="Times New Roman"/>
          <w:color w:val="000000"/>
          <w:sz w:val="23"/>
          <w:szCs w:val="23"/>
          <w:lang w:eastAsia="en-AU"/>
        </w:rPr>
        <w:t xml:space="preserve"> means the quota period ending on 31 December 2022;</w:t>
      </w:r>
    </w:p>
    <w:p w:rsidR="00E91216" w:rsidRPr="00E91216" w:rsidRDefault="00E91216" w:rsidP="00E91216">
      <w:pPr>
        <w:keepLines/>
        <w:autoSpaceDE w:val="0"/>
        <w:autoSpaceDN w:val="0"/>
        <w:adjustRightInd w:val="0"/>
        <w:spacing w:before="120" w:after="0" w:line="240" w:lineRule="auto"/>
        <w:ind w:left="1588"/>
        <w:jc w:val="left"/>
        <w:rPr>
          <w:rFonts w:eastAsia="Times New Roman"/>
          <w:color w:val="000000"/>
          <w:sz w:val="23"/>
          <w:szCs w:val="23"/>
          <w:lang w:eastAsia="en-AU"/>
        </w:rPr>
      </w:pPr>
      <w:r w:rsidRPr="00E91216">
        <w:rPr>
          <w:rFonts w:eastAsia="Times New Roman"/>
          <w:b/>
          <w:bCs/>
          <w:i/>
          <w:iCs/>
          <w:color w:val="000000"/>
          <w:sz w:val="23"/>
          <w:szCs w:val="23"/>
          <w:lang w:eastAsia="en-AU"/>
        </w:rPr>
        <w:t>quota period 2023</w:t>
      </w:r>
      <w:r w:rsidRPr="00E91216">
        <w:rPr>
          <w:rFonts w:eastAsia="Times New Roman"/>
          <w:color w:val="000000"/>
          <w:sz w:val="23"/>
          <w:szCs w:val="23"/>
          <w:lang w:eastAsia="en-AU"/>
        </w:rPr>
        <w:t xml:space="preserve"> means the quota period ending on 31 December 2023;</w:t>
      </w:r>
    </w:p>
    <w:p w:rsidR="00E91216" w:rsidRPr="00E91216" w:rsidRDefault="00E91216" w:rsidP="00E9121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91216">
        <w:rPr>
          <w:rFonts w:eastAsia="Times New Roman"/>
          <w:color w:val="000000"/>
          <w:sz w:val="23"/>
          <w:szCs w:val="23"/>
          <w:lang w:eastAsia="en-AU"/>
        </w:rPr>
        <w:tab/>
        <w:t>(2)</w:t>
      </w:r>
      <w:r w:rsidRPr="00E91216">
        <w:rPr>
          <w:rFonts w:eastAsia="Times New Roman"/>
          <w:color w:val="000000"/>
          <w:sz w:val="23"/>
          <w:szCs w:val="23"/>
          <w:lang w:eastAsia="en-AU"/>
        </w:rPr>
        <w:tab/>
        <w:t>Regulation 12(3)(d)—delete paragraph (d) and substitute:</w:t>
      </w:r>
    </w:p>
    <w:p w:rsidR="00E91216" w:rsidRPr="00E91216" w:rsidRDefault="00E91216" w:rsidP="00E9121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91216">
        <w:rPr>
          <w:rFonts w:eastAsia="Times New Roman"/>
          <w:color w:val="000000"/>
          <w:sz w:val="23"/>
          <w:szCs w:val="23"/>
          <w:lang w:eastAsia="en-AU"/>
        </w:rPr>
        <w:tab/>
        <w:t>(d)</w:t>
      </w:r>
      <w:r w:rsidRPr="00E91216">
        <w:rPr>
          <w:rFonts w:eastAsia="Times New Roman"/>
          <w:color w:val="000000"/>
          <w:sz w:val="23"/>
          <w:szCs w:val="23"/>
          <w:lang w:eastAsia="en-AU"/>
        </w:rPr>
        <w:tab/>
        <w:t>if the total catch of abalone of a particular class taken by the holder of a licence during a quota period is less than the abalone quota entitlement under the licence in respect of that class of abalone and that quota period, the Minister may vary the conditions of the licence so as to—</w:t>
      </w:r>
    </w:p>
    <w:p w:rsidR="00E91216" w:rsidRPr="00E91216" w:rsidRDefault="00E91216" w:rsidP="00E9121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91216">
        <w:rPr>
          <w:rFonts w:eastAsia="Times New Roman"/>
          <w:color w:val="000000"/>
          <w:sz w:val="23"/>
          <w:szCs w:val="23"/>
          <w:lang w:eastAsia="en-AU"/>
        </w:rPr>
        <w:tab/>
        <w:t>(i)</w:t>
      </w:r>
      <w:r w:rsidRPr="00E91216">
        <w:rPr>
          <w:rFonts w:eastAsia="Times New Roman"/>
          <w:color w:val="000000"/>
          <w:sz w:val="23"/>
          <w:szCs w:val="23"/>
          <w:lang w:eastAsia="en-AU"/>
        </w:rPr>
        <w:tab/>
        <w:t>increase the quota entitlement in respect of that class of abalone by 1 kilogram of abalone meat for each kilogram by which the catch fell short of the quota entitlement (but in any case by not more than 50 kilograms); and</w:t>
      </w:r>
    </w:p>
    <w:p w:rsidR="00E91216" w:rsidRPr="00E91216" w:rsidRDefault="00E91216" w:rsidP="00E9121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91216">
        <w:rPr>
          <w:rFonts w:eastAsia="Times New Roman"/>
          <w:color w:val="000000"/>
          <w:sz w:val="23"/>
          <w:szCs w:val="23"/>
          <w:lang w:eastAsia="en-AU"/>
        </w:rPr>
        <w:tab/>
        <w:t>(ii)</w:t>
      </w:r>
      <w:r w:rsidRPr="00E91216">
        <w:rPr>
          <w:rFonts w:eastAsia="Times New Roman"/>
          <w:color w:val="000000"/>
          <w:sz w:val="23"/>
          <w:szCs w:val="23"/>
          <w:lang w:eastAsia="en-AU"/>
        </w:rPr>
        <w:tab/>
        <w:t>prohibit any additional abalone units allocated to the licence as a result of the increase in the quota entitlement made under subparagraph (i) from being transferred to another licence; and</w:t>
      </w:r>
    </w:p>
    <w:p w:rsidR="00E91216" w:rsidRPr="00E91216" w:rsidRDefault="00E91216" w:rsidP="00E9121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91216">
        <w:rPr>
          <w:rFonts w:eastAsia="Times New Roman"/>
          <w:color w:val="000000"/>
          <w:sz w:val="23"/>
          <w:szCs w:val="23"/>
          <w:lang w:eastAsia="en-AU"/>
        </w:rPr>
        <w:tab/>
        <w:t>(iii)</w:t>
      </w:r>
      <w:r w:rsidRPr="00E91216">
        <w:rPr>
          <w:rFonts w:eastAsia="Times New Roman"/>
          <w:color w:val="000000"/>
          <w:sz w:val="23"/>
          <w:szCs w:val="23"/>
          <w:lang w:eastAsia="en-AU"/>
        </w:rPr>
        <w:tab/>
        <w:t>in addition to any increase in the quota entitlement made under subparagraph (i), if the total catch of abalone of a particular class taken during the quota period 2020 fell short of the quota entitlement for that quota period by an amount exceeding 50 kilograms of abalone meat—increase the quota entitlement in respect of that class of abalone for the quota periods 2021, 2022 and 2023 by up to 1 kilogram of abalone meat for each kilogram above 50 kilograms by which the total catch fell short of the quota entitlement for the quota period 2020;</w:t>
      </w:r>
    </w:p>
    <w:p w:rsidR="00E91216" w:rsidRPr="00E91216" w:rsidRDefault="00E91216" w:rsidP="00E9121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91216">
        <w:rPr>
          <w:rFonts w:eastAsia="Times New Roman"/>
          <w:color w:val="000000"/>
          <w:sz w:val="23"/>
          <w:szCs w:val="23"/>
          <w:lang w:eastAsia="en-AU"/>
        </w:rPr>
        <w:lastRenderedPageBreak/>
        <w:tab/>
        <w:t>(3)</w:t>
      </w:r>
      <w:r w:rsidRPr="00E91216">
        <w:rPr>
          <w:rFonts w:eastAsia="Times New Roman"/>
          <w:color w:val="000000"/>
          <w:sz w:val="23"/>
          <w:szCs w:val="23"/>
          <w:lang w:eastAsia="en-AU"/>
        </w:rPr>
        <w:tab/>
        <w:t>Regulation 12—after subregulation (3) insert:</w:t>
      </w:r>
    </w:p>
    <w:p w:rsidR="00E91216" w:rsidRPr="00E91216" w:rsidRDefault="00E91216" w:rsidP="00E91216">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91216">
        <w:rPr>
          <w:rFonts w:eastAsia="Times New Roman"/>
          <w:color w:val="000000"/>
          <w:sz w:val="23"/>
          <w:szCs w:val="23"/>
          <w:lang w:eastAsia="en-AU"/>
        </w:rPr>
        <w:tab/>
        <w:t>(3a)</w:t>
      </w:r>
      <w:r w:rsidRPr="00E91216">
        <w:rPr>
          <w:rFonts w:eastAsia="Times New Roman"/>
          <w:color w:val="000000"/>
          <w:sz w:val="23"/>
          <w:szCs w:val="23"/>
          <w:lang w:eastAsia="en-AU"/>
        </w:rPr>
        <w:tab/>
        <w:t>In determining whether to vary the conditions of a licence under subregulation (3)(d)(iii) so as to increase the abalone quota entitlement under the licence in respect of a particular class of abalone and the quota period 2022 or 2023, the Minister must take into account—</w:t>
      </w:r>
    </w:p>
    <w:p w:rsidR="00E91216" w:rsidRPr="00E91216" w:rsidRDefault="00E91216" w:rsidP="00E9121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91216">
        <w:rPr>
          <w:rFonts w:eastAsia="Times New Roman"/>
          <w:color w:val="000000"/>
          <w:sz w:val="23"/>
          <w:szCs w:val="23"/>
          <w:lang w:eastAsia="en-AU"/>
        </w:rPr>
        <w:tab/>
        <w:t>(a)</w:t>
      </w:r>
      <w:r w:rsidRPr="00E91216">
        <w:rPr>
          <w:rFonts w:eastAsia="Times New Roman"/>
          <w:color w:val="000000"/>
          <w:sz w:val="23"/>
          <w:szCs w:val="23"/>
          <w:lang w:eastAsia="en-AU"/>
        </w:rPr>
        <w:tab/>
        <w:t>the total catch of abalone of that class taken by the holder of the licence during the quota period 2021 or 2022 (as the case requires); and</w:t>
      </w:r>
    </w:p>
    <w:p w:rsidR="00E91216" w:rsidRPr="00E91216" w:rsidRDefault="00E91216" w:rsidP="00E9121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91216">
        <w:rPr>
          <w:rFonts w:eastAsia="Times New Roman"/>
          <w:color w:val="000000"/>
          <w:sz w:val="23"/>
          <w:szCs w:val="23"/>
          <w:lang w:eastAsia="en-AU"/>
        </w:rPr>
        <w:tab/>
        <w:t>(b)</w:t>
      </w:r>
      <w:r w:rsidRPr="00E91216">
        <w:rPr>
          <w:rFonts w:eastAsia="Times New Roman"/>
          <w:color w:val="000000"/>
          <w:sz w:val="23"/>
          <w:szCs w:val="23"/>
          <w:lang w:eastAsia="en-AU"/>
        </w:rPr>
        <w:tab/>
        <w:t>any increase in the abalone quota entitlement under the licence in respect of that class of abalone for the quota period 2021 or 2022 (as the case requires) under subregulation (3)(d)(iii).</w:t>
      </w:r>
    </w:p>
    <w:p w:rsidR="00E91216" w:rsidRPr="00E91216" w:rsidRDefault="00E91216" w:rsidP="00E91216">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E91216">
        <w:rPr>
          <w:rFonts w:eastAsia="Times New Roman"/>
          <w:b/>
          <w:bCs/>
          <w:color w:val="000000"/>
          <w:sz w:val="20"/>
          <w:szCs w:val="20"/>
          <w:lang w:eastAsia="en-AU"/>
        </w:rPr>
        <w:t>Note—</w:t>
      </w:r>
    </w:p>
    <w:p w:rsidR="00E91216" w:rsidRPr="00E91216" w:rsidRDefault="00E91216" w:rsidP="00E91216">
      <w:pPr>
        <w:keepLines/>
        <w:autoSpaceDE w:val="0"/>
        <w:autoSpaceDN w:val="0"/>
        <w:adjustRightInd w:val="0"/>
        <w:spacing w:before="120" w:after="0" w:line="240" w:lineRule="auto"/>
        <w:ind w:left="794"/>
        <w:jc w:val="left"/>
        <w:rPr>
          <w:rFonts w:eastAsia="Times New Roman"/>
          <w:color w:val="000000"/>
          <w:sz w:val="20"/>
          <w:szCs w:val="20"/>
          <w:lang w:eastAsia="en-AU"/>
        </w:rPr>
      </w:pPr>
      <w:r w:rsidRPr="00E91216">
        <w:rPr>
          <w:rFonts w:eastAsia="Times New Roman"/>
          <w:color w:val="000000"/>
          <w:sz w:val="20"/>
          <w:szCs w:val="20"/>
          <w:lang w:eastAsia="en-AU"/>
        </w:rPr>
        <w:t xml:space="preserve">As required by section 10AA(2) of the </w:t>
      </w:r>
      <w:hyperlink r:id="rId58" w:history="1">
        <w:r w:rsidRPr="00E91216">
          <w:rPr>
            <w:rFonts w:eastAsia="Times New Roman"/>
            <w:i/>
            <w:iCs/>
            <w:color w:val="000000"/>
            <w:sz w:val="20"/>
            <w:szCs w:val="20"/>
            <w:lang w:eastAsia="en-AU"/>
          </w:rPr>
          <w:t>Subordinate Legislation Act 1978</w:t>
        </w:r>
      </w:hyperlink>
      <w:r w:rsidRPr="00E91216">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E91216" w:rsidRPr="00E91216" w:rsidRDefault="00E91216" w:rsidP="00E91216">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E91216">
        <w:rPr>
          <w:rFonts w:eastAsia="Times New Roman"/>
          <w:b/>
          <w:bCs/>
          <w:color w:val="000000"/>
          <w:sz w:val="26"/>
          <w:szCs w:val="26"/>
          <w:lang w:eastAsia="en-AU"/>
        </w:rPr>
        <w:t>Made by the Governor</w:t>
      </w:r>
    </w:p>
    <w:p w:rsidR="00E91216" w:rsidRPr="00E91216" w:rsidRDefault="00E91216" w:rsidP="00E91216">
      <w:pPr>
        <w:keepNext/>
        <w:keepLines/>
        <w:autoSpaceDE w:val="0"/>
        <w:autoSpaceDN w:val="0"/>
        <w:adjustRightInd w:val="0"/>
        <w:spacing w:before="120" w:after="0" w:line="240" w:lineRule="auto"/>
        <w:jc w:val="left"/>
        <w:rPr>
          <w:rFonts w:eastAsia="Times New Roman"/>
          <w:color w:val="000000"/>
          <w:sz w:val="23"/>
          <w:szCs w:val="23"/>
          <w:lang w:eastAsia="en-AU"/>
        </w:rPr>
      </w:pPr>
      <w:r w:rsidRPr="00E91216">
        <w:rPr>
          <w:rFonts w:eastAsia="Times New Roman"/>
          <w:color w:val="000000"/>
          <w:sz w:val="23"/>
          <w:szCs w:val="23"/>
          <w:lang w:eastAsia="en-AU"/>
        </w:rPr>
        <w:t>with the advice and consent of the Executive Council</w:t>
      </w:r>
    </w:p>
    <w:p w:rsidR="00E91216" w:rsidRPr="00E91216" w:rsidRDefault="00E91216" w:rsidP="00E91216">
      <w:pPr>
        <w:keepNext/>
        <w:keepLines/>
        <w:autoSpaceDE w:val="0"/>
        <w:autoSpaceDN w:val="0"/>
        <w:adjustRightInd w:val="0"/>
        <w:spacing w:after="0" w:line="240" w:lineRule="auto"/>
        <w:jc w:val="left"/>
        <w:rPr>
          <w:rFonts w:eastAsia="Times New Roman"/>
          <w:color w:val="000000"/>
          <w:sz w:val="23"/>
          <w:szCs w:val="23"/>
          <w:lang w:eastAsia="en-AU"/>
        </w:rPr>
      </w:pPr>
      <w:r w:rsidRPr="00E91216">
        <w:rPr>
          <w:rFonts w:eastAsia="Times New Roman"/>
          <w:color w:val="000000"/>
          <w:sz w:val="23"/>
          <w:szCs w:val="23"/>
          <w:lang w:eastAsia="en-AU"/>
        </w:rPr>
        <w:t>on 17 December 2020</w:t>
      </w:r>
    </w:p>
    <w:p w:rsidR="00E91216" w:rsidRDefault="00E91216" w:rsidP="00E91216">
      <w:pPr>
        <w:keepNext/>
        <w:keepLines/>
        <w:autoSpaceDE w:val="0"/>
        <w:autoSpaceDN w:val="0"/>
        <w:adjustRightInd w:val="0"/>
        <w:spacing w:before="120" w:line="240" w:lineRule="auto"/>
        <w:jc w:val="left"/>
        <w:rPr>
          <w:rFonts w:eastAsia="Times New Roman"/>
          <w:color w:val="000000"/>
          <w:sz w:val="23"/>
          <w:szCs w:val="23"/>
          <w:lang w:eastAsia="en-AU"/>
        </w:rPr>
      </w:pPr>
      <w:r w:rsidRPr="00E91216">
        <w:rPr>
          <w:rFonts w:eastAsia="Times New Roman"/>
          <w:color w:val="000000"/>
          <w:sz w:val="23"/>
          <w:szCs w:val="23"/>
          <w:lang w:eastAsia="en-AU"/>
        </w:rPr>
        <w:t>No 320 of 2020</w:t>
      </w:r>
    </w:p>
    <w:p w:rsidR="00E91216" w:rsidRDefault="00E91216" w:rsidP="00E91216">
      <w:pPr>
        <w:pBdr>
          <w:top w:val="single" w:sz="4" w:space="1" w:color="auto"/>
        </w:pBdr>
        <w:autoSpaceDE w:val="0"/>
        <w:autoSpaceDN w:val="0"/>
        <w:adjustRightInd w:val="0"/>
        <w:spacing w:before="100" w:after="0" w:line="14" w:lineRule="exact"/>
        <w:jc w:val="center"/>
        <w:rPr>
          <w:rFonts w:eastAsia="Times New Roman"/>
          <w:color w:val="000000"/>
          <w:sz w:val="23"/>
          <w:szCs w:val="23"/>
          <w:lang w:eastAsia="en-AU"/>
        </w:rPr>
      </w:pPr>
    </w:p>
    <w:p w:rsidR="00885A62" w:rsidRDefault="00885A62" w:rsidP="0016463B">
      <w:pPr>
        <w:pStyle w:val="GG-body"/>
      </w:pPr>
    </w:p>
    <w:p w:rsidR="008822A7" w:rsidRDefault="008822A7">
      <w:pPr>
        <w:spacing w:after="0" w:line="240" w:lineRule="auto"/>
        <w:jc w:val="left"/>
        <w:rPr>
          <w:rFonts w:eastAsia="Times New Roman"/>
          <w:szCs w:val="17"/>
        </w:rPr>
      </w:pPr>
      <w:r>
        <w:br w:type="page"/>
      </w:r>
    </w:p>
    <w:p w:rsidR="0023144E" w:rsidRDefault="0023144E" w:rsidP="0023144E">
      <w:pPr>
        <w:pStyle w:val="RegSpace"/>
        <w:rPr>
          <w:lang w:eastAsia="en-AU"/>
        </w:rPr>
      </w:pPr>
    </w:p>
    <w:p w:rsidR="0023144E" w:rsidRPr="0023144E" w:rsidRDefault="0023144E" w:rsidP="0023144E">
      <w:pPr>
        <w:keepLines/>
        <w:autoSpaceDE w:val="0"/>
        <w:autoSpaceDN w:val="0"/>
        <w:adjustRightInd w:val="0"/>
        <w:spacing w:before="240" w:after="0" w:line="240" w:lineRule="auto"/>
        <w:jc w:val="left"/>
        <w:rPr>
          <w:rFonts w:eastAsia="Times New Roman"/>
          <w:color w:val="000000"/>
          <w:sz w:val="28"/>
          <w:szCs w:val="28"/>
          <w:lang w:eastAsia="en-AU"/>
        </w:rPr>
      </w:pPr>
      <w:r w:rsidRPr="0023144E">
        <w:rPr>
          <w:rFonts w:eastAsia="Times New Roman"/>
          <w:color w:val="000000"/>
          <w:sz w:val="28"/>
          <w:szCs w:val="28"/>
          <w:lang w:eastAsia="en-AU"/>
        </w:rPr>
        <w:t>South Australia</w:t>
      </w:r>
    </w:p>
    <w:p w:rsidR="0023144E" w:rsidRPr="0023144E" w:rsidRDefault="0023144E" w:rsidP="00046B75">
      <w:pPr>
        <w:pStyle w:val="Heading3"/>
        <w:rPr>
          <w:lang w:eastAsia="en-AU"/>
        </w:rPr>
      </w:pPr>
      <w:bookmarkStart w:id="96" w:name="_Toc59098939"/>
      <w:r w:rsidRPr="0023144E">
        <w:rPr>
          <w:lang w:eastAsia="en-AU"/>
        </w:rPr>
        <w:t xml:space="preserve">Fisheries Management (Marine Scalefish Fisheries) </w:t>
      </w:r>
      <w:r w:rsidR="006E46B9">
        <w:rPr>
          <w:lang w:eastAsia="en-AU"/>
        </w:rPr>
        <w:br/>
      </w:r>
      <w:r w:rsidRPr="0023144E">
        <w:rPr>
          <w:lang w:eastAsia="en-AU"/>
        </w:rPr>
        <w:t>(Sardine Quota) Variation Regulations 2020</w:t>
      </w:r>
      <w:bookmarkEnd w:id="96"/>
    </w:p>
    <w:p w:rsidR="0023144E" w:rsidRPr="0023144E" w:rsidRDefault="0023144E" w:rsidP="0023144E">
      <w:pPr>
        <w:keepLines/>
        <w:autoSpaceDE w:val="0"/>
        <w:autoSpaceDN w:val="0"/>
        <w:adjustRightInd w:val="0"/>
        <w:spacing w:before="80" w:after="240" w:line="240" w:lineRule="auto"/>
        <w:jc w:val="left"/>
        <w:rPr>
          <w:rFonts w:eastAsia="Times New Roman"/>
          <w:color w:val="000000"/>
          <w:sz w:val="24"/>
          <w:szCs w:val="24"/>
          <w:lang w:eastAsia="en-AU"/>
        </w:rPr>
      </w:pPr>
      <w:r w:rsidRPr="0023144E">
        <w:rPr>
          <w:rFonts w:eastAsia="Times New Roman"/>
          <w:color w:val="000000"/>
          <w:sz w:val="24"/>
          <w:szCs w:val="24"/>
          <w:lang w:eastAsia="en-AU"/>
        </w:rPr>
        <w:t xml:space="preserve">under the </w:t>
      </w:r>
      <w:r w:rsidRPr="0023144E">
        <w:rPr>
          <w:rFonts w:eastAsia="Times New Roman"/>
          <w:i/>
          <w:iCs/>
          <w:color w:val="000000"/>
          <w:sz w:val="24"/>
          <w:szCs w:val="24"/>
          <w:lang w:eastAsia="en-AU"/>
        </w:rPr>
        <w:t>Fisheries Management Act 2007</w:t>
      </w:r>
    </w:p>
    <w:p w:rsidR="0023144E" w:rsidRPr="0023144E" w:rsidRDefault="0023144E" w:rsidP="0023144E">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23144E" w:rsidRPr="0023144E" w:rsidRDefault="0023144E" w:rsidP="0023144E">
      <w:pPr>
        <w:keepLines/>
        <w:autoSpaceDE w:val="0"/>
        <w:autoSpaceDN w:val="0"/>
        <w:adjustRightInd w:val="0"/>
        <w:spacing w:before="120" w:after="0" w:line="240" w:lineRule="auto"/>
        <w:jc w:val="left"/>
        <w:rPr>
          <w:rFonts w:eastAsia="Times New Roman"/>
          <w:b/>
          <w:bCs/>
          <w:color w:val="000000"/>
          <w:sz w:val="32"/>
          <w:szCs w:val="32"/>
          <w:lang w:eastAsia="en-AU"/>
        </w:rPr>
      </w:pPr>
      <w:r w:rsidRPr="0023144E">
        <w:rPr>
          <w:rFonts w:eastAsia="Times New Roman"/>
          <w:b/>
          <w:bCs/>
          <w:color w:val="000000"/>
          <w:sz w:val="32"/>
          <w:szCs w:val="32"/>
          <w:lang w:eastAsia="en-AU"/>
        </w:rPr>
        <w:t>Contents</w:t>
      </w:r>
    </w:p>
    <w:p w:rsidR="0023144E" w:rsidRPr="0023144E" w:rsidRDefault="00607847" w:rsidP="0023144E">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23144E" w:rsidRPr="0023144E">
          <w:rPr>
            <w:rFonts w:eastAsia="Times New Roman"/>
            <w:color w:val="000000"/>
            <w:sz w:val="28"/>
            <w:szCs w:val="28"/>
            <w:lang w:eastAsia="en-AU"/>
          </w:rPr>
          <w:t>Part 1—Preliminary</w:t>
        </w:r>
      </w:hyperlink>
    </w:p>
    <w:p w:rsidR="0023144E" w:rsidRPr="0023144E" w:rsidRDefault="00607847" w:rsidP="0023144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23144E" w:rsidRPr="0023144E">
          <w:rPr>
            <w:rFonts w:eastAsia="Times New Roman"/>
            <w:color w:val="000000"/>
            <w:sz w:val="22"/>
            <w:lang w:eastAsia="en-AU"/>
          </w:rPr>
          <w:t>1</w:t>
        </w:r>
        <w:r w:rsidR="0023144E" w:rsidRPr="0023144E">
          <w:rPr>
            <w:rFonts w:eastAsia="Times New Roman"/>
            <w:color w:val="000000"/>
            <w:sz w:val="22"/>
            <w:lang w:eastAsia="en-AU"/>
          </w:rPr>
          <w:tab/>
          <w:t>Short title</w:t>
        </w:r>
      </w:hyperlink>
    </w:p>
    <w:p w:rsidR="0023144E" w:rsidRPr="0023144E" w:rsidRDefault="00607847" w:rsidP="0023144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23144E" w:rsidRPr="0023144E">
          <w:rPr>
            <w:rFonts w:eastAsia="Times New Roman"/>
            <w:color w:val="000000"/>
            <w:sz w:val="22"/>
            <w:lang w:eastAsia="en-AU"/>
          </w:rPr>
          <w:t>2</w:t>
        </w:r>
        <w:r w:rsidR="0023144E" w:rsidRPr="0023144E">
          <w:rPr>
            <w:rFonts w:eastAsia="Times New Roman"/>
            <w:color w:val="000000"/>
            <w:sz w:val="22"/>
            <w:lang w:eastAsia="en-AU"/>
          </w:rPr>
          <w:tab/>
          <w:t>Commencement</w:t>
        </w:r>
      </w:hyperlink>
    </w:p>
    <w:p w:rsidR="0023144E" w:rsidRPr="0023144E" w:rsidRDefault="00607847" w:rsidP="0023144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23144E" w:rsidRPr="0023144E">
          <w:rPr>
            <w:rFonts w:eastAsia="Times New Roman"/>
            <w:color w:val="000000"/>
            <w:sz w:val="22"/>
            <w:lang w:eastAsia="en-AU"/>
          </w:rPr>
          <w:t>3</w:t>
        </w:r>
        <w:r w:rsidR="0023144E" w:rsidRPr="0023144E">
          <w:rPr>
            <w:rFonts w:eastAsia="Times New Roman"/>
            <w:color w:val="000000"/>
            <w:sz w:val="22"/>
            <w:lang w:eastAsia="en-AU"/>
          </w:rPr>
          <w:tab/>
          <w:t>Variation provisions</w:t>
        </w:r>
      </w:hyperlink>
    </w:p>
    <w:p w:rsidR="0023144E" w:rsidRPr="0023144E" w:rsidRDefault="00607847" w:rsidP="0023144E">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23144E" w:rsidRPr="0023144E">
          <w:rPr>
            <w:rFonts w:eastAsia="Times New Roman"/>
            <w:color w:val="000000"/>
            <w:sz w:val="28"/>
            <w:szCs w:val="28"/>
            <w:lang w:eastAsia="en-AU"/>
          </w:rPr>
          <w:t xml:space="preserve">Part 2—Variation of </w:t>
        </w:r>
        <w:r w:rsidR="0023144E" w:rsidRPr="0023144E">
          <w:rPr>
            <w:rFonts w:eastAsia="Times New Roman"/>
            <w:i/>
            <w:iCs/>
            <w:color w:val="000000"/>
            <w:sz w:val="28"/>
            <w:szCs w:val="28"/>
            <w:lang w:eastAsia="en-AU"/>
          </w:rPr>
          <w:t>Fisheries Management (Marine Scalefish Fisheries) Regulations 2017</w:t>
        </w:r>
      </w:hyperlink>
    </w:p>
    <w:p w:rsidR="0023144E" w:rsidRPr="0023144E" w:rsidRDefault="00607847" w:rsidP="0023144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23144E" w:rsidRPr="0023144E">
          <w:rPr>
            <w:rFonts w:eastAsia="Times New Roman"/>
            <w:color w:val="000000"/>
            <w:sz w:val="22"/>
            <w:lang w:eastAsia="en-AU"/>
          </w:rPr>
          <w:t>4</w:t>
        </w:r>
        <w:r w:rsidR="0023144E" w:rsidRPr="0023144E">
          <w:rPr>
            <w:rFonts w:eastAsia="Times New Roman"/>
            <w:color w:val="000000"/>
            <w:sz w:val="22"/>
            <w:lang w:eastAsia="en-AU"/>
          </w:rPr>
          <w:tab/>
          <w:t>Variation of regulation 17—Individual sardine catch quota system</w:t>
        </w:r>
      </w:hyperlink>
    </w:p>
    <w:p w:rsidR="0023144E" w:rsidRPr="0023144E" w:rsidRDefault="0023144E" w:rsidP="0023144E">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23144E" w:rsidRPr="0023144E" w:rsidRDefault="0023144E" w:rsidP="0023144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23144E">
        <w:rPr>
          <w:rFonts w:eastAsia="Times New Roman"/>
          <w:b/>
          <w:bCs/>
          <w:color w:val="000000"/>
          <w:sz w:val="32"/>
          <w:szCs w:val="32"/>
          <w:lang w:eastAsia="en-AU"/>
        </w:rPr>
        <w:t>Part 1—Preliminary</w:t>
      </w:r>
    </w:p>
    <w:p w:rsidR="0023144E" w:rsidRPr="0023144E" w:rsidRDefault="0023144E" w:rsidP="0023144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3144E">
        <w:rPr>
          <w:rFonts w:eastAsia="Times New Roman"/>
          <w:b/>
          <w:bCs/>
          <w:color w:val="000000"/>
          <w:sz w:val="26"/>
          <w:szCs w:val="26"/>
          <w:lang w:eastAsia="en-AU"/>
        </w:rPr>
        <w:t>1—Short title</w:t>
      </w:r>
    </w:p>
    <w:p w:rsidR="0023144E" w:rsidRPr="0023144E" w:rsidRDefault="0023144E" w:rsidP="0023144E">
      <w:pPr>
        <w:keepLines/>
        <w:autoSpaceDE w:val="0"/>
        <w:autoSpaceDN w:val="0"/>
        <w:adjustRightInd w:val="0"/>
        <w:spacing w:before="120" w:after="0" w:line="240" w:lineRule="auto"/>
        <w:ind w:left="794"/>
        <w:jc w:val="left"/>
        <w:rPr>
          <w:rFonts w:eastAsia="Times New Roman"/>
          <w:color w:val="000000"/>
          <w:sz w:val="23"/>
          <w:szCs w:val="23"/>
          <w:lang w:eastAsia="en-AU"/>
        </w:rPr>
      </w:pPr>
      <w:r w:rsidRPr="0023144E">
        <w:rPr>
          <w:rFonts w:eastAsia="Times New Roman"/>
          <w:color w:val="000000"/>
          <w:sz w:val="23"/>
          <w:szCs w:val="23"/>
          <w:lang w:eastAsia="en-AU"/>
        </w:rPr>
        <w:t xml:space="preserve">These regulations may be cited as the </w:t>
      </w:r>
      <w:r w:rsidRPr="0023144E">
        <w:rPr>
          <w:rFonts w:eastAsia="Times New Roman"/>
          <w:i/>
          <w:iCs/>
          <w:color w:val="000000"/>
          <w:sz w:val="23"/>
          <w:szCs w:val="23"/>
          <w:lang w:eastAsia="en-AU"/>
        </w:rPr>
        <w:t>Fisheries Management (Marine Scalefish Fisheries) (Sardine Quota) Variation Regulations 2020</w:t>
      </w:r>
      <w:r w:rsidRPr="0023144E">
        <w:rPr>
          <w:rFonts w:eastAsia="Times New Roman"/>
          <w:color w:val="000000"/>
          <w:sz w:val="23"/>
          <w:szCs w:val="23"/>
          <w:lang w:eastAsia="en-AU"/>
        </w:rPr>
        <w:t>.</w:t>
      </w:r>
    </w:p>
    <w:p w:rsidR="0023144E" w:rsidRPr="0023144E" w:rsidRDefault="0023144E" w:rsidP="0023144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3144E">
        <w:rPr>
          <w:rFonts w:eastAsia="Times New Roman"/>
          <w:b/>
          <w:bCs/>
          <w:color w:val="000000"/>
          <w:sz w:val="26"/>
          <w:szCs w:val="26"/>
          <w:lang w:eastAsia="en-AU"/>
        </w:rPr>
        <w:t>2—Commencement</w:t>
      </w:r>
    </w:p>
    <w:p w:rsidR="0023144E" w:rsidRPr="0023144E" w:rsidRDefault="0023144E" w:rsidP="0023144E">
      <w:pPr>
        <w:keepLines/>
        <w:autoSpaceDE w:val="0"/>
        <w:autoSpaceDN w:val="0"/>
        <w:adjustRightInd w:val="0"/>
        <w:spacing w:before="120" w:after="0" w:line="240" w:lineRule="auto"/>
        <w:ind w:left="794"/>
        <w:jc w:val="left"/>
        <w:rPr>
          <w:rFonts w:eastAsia="Times New Roman"/>
          <w:color w:val="000000"/>
          <w:sz w:val="23"/>
          <w:szCs w:val="23"/>
          <w:lang w:eastAsia="en-AU"/>
        </w:rPr>
      </w:pPr>
      <w:r w:rsidRPr="0023144E">
        <w:rPr>
          <w:rFonts w:eastAsia="Times New Roman"/>
          <w:color w:val="000000"/>
          <w:sz w:val="23"/>
          <w:szCs w:val="23"/>
          <w:lang w:eastAsia="en-AU"/>
        </w:rPr>
        <w:t>These regulations come into operation on the day on which they are made.</w:t>
      </w:r>
    </w:p>
    <w:p w:rsidR="0023144E" w:rsidRPr="0023144E" w:rsidRDefault="0023144E" w:rsidP="0023144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3144E">
        <w:rPr>
          <w:rFonts w:eastAsia="Times New Roman"/>
          <w:b/>
          <w:bCs/>
          <w:color w:val="000000"/>
          <w:sz w:val="26"/>
          <w:szCs w:val="26"/>
          <w:lang w:eastAsia="en-AU"/>
        </w:rPr>
        <w:t>3—Variation provisions</w:t>
      </w:r>
    </w:p>
    <w:p w:rsidR="0023144E" w:rsidRPr="0023144E" w:rsidRDefault="0023144E" w:rsidP="0023144E">
      <w:pPr>
        <w:keepLines/>
        <w:autoSpaceDE w:val="0"/>
        <w:autoSpaceDN w:val="0"/>
        <w:adjustRightInd w:val="0"/>
        <w:spacing w:before="120" w:after="0" w:line="240" w:lineRule="auto"/>
        <w:ind w:left="794"/>
        <w:jc w:val="left"/>
        <w:rPr>
          <w:rFonts w:eastAsia="Times New Roman"/>
          <w:color w:val="000000"/>
          <w:sz w:val="23"/>
          <w:szCs w:val="23"/>
          <w:lang w:eastAsia="en-AU"/>
        </w:rPr>
      </w:pPr>
      <w:r w:rsidRPr="0023144E">
        <w:rPr>
          <w:rFonts w:eastAsia="Times New Roman"/>
          <w:color w:val="000000"/>
          <w:sz w:val="23"/>
          <w:szCs w:val="23"/>
          <w:lang w:eastAsia="en-AU"/>
        </w:rPr>
        <w:t>In these regulations, a provision under a heading referring to the variation of specified regulations varies the regulations so specified.</w:t>
      </w:r>
    </w:p>
    <w:p w:rsidR="0023144E" w:rsidRPr="0023144E" w:rsidRDefault="0023144E" w:rsidP="0023144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23144E">
        <w:rPr>
          <w:rFonts w:eastAsia="Times New Roman"/>
          <w:b/>
          <w:bCs/>
          <w:color w:val="000000"/>
          <w:sz w:val="32"/>
          <w:szCs w:val="32"/>
          <w:lang w:eastAsia="en-AU"/>
        </w:rPr>
        <w:t xml:space="preserve">Part 2—Variation of </w:t>
      </w:r>
      <w:r w:rsidRPr="0023144E">
        <w:rPr>
          <w:rFonts w:eastAsia="Times New Roman"/>
          <w:b/>
          <w:bCs/>
          <w:i/>
          <w:iCs/>
          <w:color w:val="000000"/>
          <w:sz w:val="32"/>
          <w:szCs w:val="32"/>
          <w:lang w:eastAsia="en-AU"/>
        </w:rPr>
        <w:t>Fisheries Management (Marine Scalefish Fisheries) Regulations 2017</w:t>
      </w:r>
    </w:p>
    <w:p w:rsidR="0023144E" w:rsidRPr="0023144E" w:rsidRDefault="0023144E" w:rsidP="0023144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3144E">
        <w:rPr>
          <w:rFonts w:eastAsia="Times New Roman"/>
          <w:b/>
          <w:bCs/>
          <w:color w:val="000000"/>
          <w:sz w:val="26"/>
          <w:szCs w:val="26"/>
          <w:lang w:eastAsia="en-AU"/>
        </w:rPr>
        <w:t>4—Variation of regulation 17—Individual sardine catch quota system</w:t>
      </w:r>
    </w:p>
    <w:p w:rsidR="0023144E" w:rsidRPr="0023144E" w:rsidRDefault="0023144E" w:rsidP="0023144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144E">
        <w:rPr>
          <w:rFonts w:eastAsia="Times New Roman"/>
          <w:color w:val="000000"/>
          <w:sz w:val="23"/>
          <w:szCs w:val="23"/>
          <w:lang w:eastAsia="en-AU"/>
        </w:rPr>
        <w:tab/>
        <w:t>(1)</w:t>
      </w:r>
      <w:r w:rsidRPr="0023144E">
        <w:rPr>
          <w:rFonts w:eastAsia="Times New Roman"/>
          <w:color w:val="000000"/>
          <w:sz w:val="23"/>
          <w:szCs w:val="23"/>
          <w:lang w:eastAsia="en-AU"/>
        </w:rPr>
        <w:tab/>
        <w:t xml:space="preserve">Regulation 17(2)—after the definition of </w:t>
      </w:r>
      <w:r w:rsidRPr="0023144E">
        <w:rPr>
          <w:rFonts w:eastAsia="Times New Roman"/>
          <w:b/>
          <w:bCs/>
          <w:i/>
          <w:iCs/>
          <w:color w:val="000000"/>
          <w:sz w:val="23"/>
          <w:szCs w:val="23"/>
          <w:lang w:eastAsia="en-AU"/>
        </w:rPr>
        <w:t>quota period</w:t>
      </w:r>
      <w:r w:rsidRPr="0023144E">
        <w:rPr>
          <w:rFonts w:eastAsia="Times New Roman"/>
          <w:color w:val="000000"/>
          <w:sz w:val="23"/>
          <w:szCs w:val="23"/>
          <w:lang w:eastAsia="en-AU"/>
        </w:rPr>
        <w:t xml:space="preserve"> insert:</w:t>
      </w:r>
    </w:p>
    <w:p w:rsidR="0023144E" w:rsidRPr="0023144E" w:rsidRDefault="0023144E" w:rsidP="0023144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3144E">
        <w:rPr>
          <w:rFonts w:eastAsia="Times New Roman"/>
          <w:b/>
          <w:bCs/>
          <w:i/>
          <w:iCs/>
          <w:color w:val="000000"/>
          <w:sz w:val="23"/>
          <w:szCs w:val="23"/>
          <w:lang w:eastAsia="en-AU"/>
        </w:rPr>
        <w:t>quota period 2020</w:t>
      </w:r>
      <w:r w:rsidRPr="0023144E">
        <w:rPr>
          <w:rFonts w:eastAsia="Times New Roman"/>
          <w:color w:val="000000"/>
          <w:sz w:val="23"/>
          <w:szCs w:val="23"/>
          <w:lang w:eastAsia="en-AU"/>
        </w:rPr>
        <w:t xml:space="preserve"> means the quota period that ends on 31 December 2020;</w:t>
      </w:r>
    </w:p>
    <w:p w:rsidR="0023144E" w:rsidRPr="0023144E" w:rsidRDefault="0023144E" w:rsidP="0023144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3144E">
        <w:rPr>
          <w:rFonts w:eastAsia="Times New Roman"/>
          <w:b/>
          <w:bCs/>
          <w:i/>
          <w:iCs/>
          <w:color w:val="000000"/>
          <w:sz w:val="23"/>
          <w:szCs w:val="23"/>
          <w:lang w:eastAsia="en-AU"/>
        </w:rPr>
        <w:t>quota period 2021</w:t>
      </w:r>
      <w:r w:rsidRPr="0023144E">
        <w:rPr>
          <w:rFonts w:eastAsia="Times New Roman"/>
          <w:color w:val="000000"/>
          <w:sz w:val="23"/>
          <w:szCs w:val="23"/>
          <w:lang w:eastAsia="en-AU"/>
        </w:rPr>
        <w:t xml:space="preserve"> means the quota period that ends on 31 December 2021;</w:t>
      </w:r>
    </w:p>
    <w:p w:rsidR="0023144E" w:rsidRPr="0023144E" w:rsidRDefault="0023144E" w:rsidP="0023144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144E">
        <w:rPr>
          <w:rFonts w:eastAsia="Times New Roman"/>
          <w:color w:val="000000"/>
          <w:sz w:val="23"/>
          <w:szCs w:val="23"/>
          <w:lang w:eastAsia="en-AU"/>
        </w:rPr>
        <w:tab/>
        <w:t>(2)</w:t>
      </w:r>
      <w:r w:rsidRPr="0023144E">
        <w:rPr>
          <w:rFonts w:eastAsia="Times New Roman"/>
          <w:color w:val="000000"/>
          <w:sz w:val="23"/>
          <w:szCs w:val="23"/>
          <w:lang w:eastAsia="en-AU"/>
        </w:rPr>
        <w:tab/>
        <w:t>Regulation 17(4)(a)—delete paragraph (a)</w:t>
      </w:r>
    </w:p>
    <w:p w:rsidR="0023144E" w:rsidRPr="0023144E" w:rsidRDefault="0023144E" w:rsidP="0023144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144E">
        <w:rPr>
          <w:rFonts w:eastAsia="Times New Roman"/>
          <w:color w:val="000000"/>
          <w:sz w:val="23"/>
          <w:szCs w:val="23"/>
          <w:lang w:eastAsia="en-AU"/>
        </w:rPr>
        <w:lastRenderedPageBreak/>
        <w:tab/>
        <w:t>(3)</w:t>
      </w:r>
      <w:r w:rsidRPr="0023144E">
        <w:rPr>
          <w:rFonts w:eastAsia="Times New Roman"/>
          <w:color w:val="000000"/>
          <w:sz w:val="23"/>
          <w:szCs w:val="23"/>
          <w:lang w:eastAsia="en-AU"/>
        </w:rPr>
        <w:tab/>
        <w:t>Regulation 17(4)—after paragraph (c) insert:</w:t>
      </w:r>
    </w:p>
    <w:p w:rsidR="0023144E" w:rsidRPr="0023144E" w:rsidRDefault="0023144E" w:rsidP="0023144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144E">
        <w:rPr>
          <w:rFonts w:eastAsia="Times New Roman"/>
          <w:color w:val="000000"/>
          <w:sz w:val="23"/>
          <w:szCs w:val="23"/>
          <w:lang w:eastAsia="en-AU"/>
        </w:rPr>
        <w:tab/>
        <w:t>(ca)</w:t>
      </w:r>
      <w:r w:rsidRPr="0023144E">
        <w:rPr>
          <w:rFonts w:eastAsia="Times New Roman"/>
          <w:color w:val="000000"/>
          <w:sz w:val="23"/>
          <w:szCs w:val="23"/>
          <w:lang w:eastAsia="en-AU"/>
        </w:rPr>
        <w:tab/>
        <w:t xml:space="preserve">if the total catch of sardines taken by the holder of a licence in respect of the Marine Scalefish Fishery subject to a condition fixing a sardine quota entitlement in respect of a particular sardine fishing zone during the quota period 2020 is less than the sardine quota entitlement under the licence for that fishing zone and that quota period, the Minister may vary the conditions of the licence so as to increase the sardine quota entitlement in respect of that fishing zone for the quota period 2021 by up to 1 kilogram of sardines for each kilogram by which the catch fell short of the sardine quota entitlement for the quota period 2020; </w:t>
      </w:r>
    </w:p>
    <w:p w:rsidR="0023144E" w:rsidRPr="0023144E" w:rsidRDefault="0023144E" w:rsidP="0023144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144E">
        <w:rPr>
          <w:rFonts w:eastAsia="Times New Roman"/>
          <w:color w:val="000000"/>
          <w:sz w:val="23"/>
          <w:szCs w:val="23"/>
          <w:lang w:eastAsia="en-AU"/>
        </w:rPr>
        <w:tab/>
        <w:t>(4)</w:t>
      </w:r>
      <w:r w:rsidRPr="0023144E">
        <w:rPr>
          <w:rFonts w:eastAsia="Times New Roman"/>
          <w:color w:val="000000"/>
          <w:sz w:val="23"/>
          <w:szCs w:val="23"/>
          <w:lang w:eastAsia="en-AU"/>
        </w:rPr>
        <w:tab/>
        <w:t>Regulation 17(4)(f)—after "paragraph" insert:</w:t>
      </w:r>
    </w:p>
    <w:p w:rsidR="0023144E" w:rsidRPr="0023144E" w:rsidRDefault="0023144E" w:rsidP="0023144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3144E">
        <w:rPr>
          <w:rFonts w:eastAsia="Times New Roman"/>
          <w:color w:val="000000"/>
          <w:sz w:val="23"/>
          <w:szCs w:val="23"/>
          <w:lang w:eastAsia="en-AU"/>
        </w:rPr>
        <w:t>(c) or</w:t>
      </w:r>
    </w:p>
    <w:p w:rsidR="0023144E" w:rsidRPr="0023144E" w:rsidRDefault="0023144E" w:rsidP="0023144E">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23144E">
        <w:rPr>
          <w:rFonts w:eastAsia="Times New Roman"/>
          <w:b/>
          <w:bCs/>
          <w:color w:val="000000"/>
          <w:sz w:val="20"/>
          <w:szCs w:val="20"/>
          <w:lang w:eastAsia="en-AU"/>
        </w:rPr>
        <w:t>Note—</w:t>
      </w:r>
    </w:p>
    <w:p w:rsidR="0023144E" w:rsidRPr="0023144E" w:rsidRDefault="0023144E" w:rsidP="0023144E">
      <w:pPr>
        <w:keepLines/>
        <w:autoSpaceDE w:val="0"/>
        <w:autoSpaceDN w:val="0"/>
        <w:adjustRightInd w:val="0"/>
        <w:spacing w:before="120" w:after="0" w:line="240" w:lineRule="auto"/>
        <w:ind w:left="794"/>
        <w:jc w:val="left"/>
        <w:rPr>
          <w:rFonts w:eastAsia="Times New Roman"/>
          <w:color w:val="000000"/>
          <w:sz w:val="20"/>
          <w:szCs w:val="20"/>
          <w:lang w:eastAsia="en-AU"/>
        </w:rPr>
      </w:pPr>
      <w:r w:rsidRPr="0023144E">
        <w:rPr>
          <w:rFonts w:eastAsia="Times New Roman"/>
          <w:color w:val="000000"/>
          <w:sz w:val="20"/>
          <w:szCs w:val="20"/>
          <w:lang w:eastAsia="en-AU"/>
        </w:rPr>
        <w:t xml:space="preserve">As required by section 10AA(2) of the </w:t>
      </w:r>
      <w:hyperlink r:id="rId59" w:history="1">
        <w:r w:rsidRPr="0023144E">
          <w:rPr>
            <w:rFonts w:eastAsia="Times New Roman"/>
            <w:i/>
            <w:iCs/>
            <w:color w:val="000000"/>
            <w:sz w:val="20"/>
            <w:szCs w:val="20"/>
            <w:lang w:eastAsia="en-AU"/>
          </w:rPr>
          <w:t>Subordinate Legislation Act 1978</w:t>
        </w:r>
      </w:hyperlink>
      <w:r w:rsidRPr="0023144E">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23144E" w:rsidRPr="0023144E" w:rsidRDefault="0023144E" w:rsidP="0023144E">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23144E">
        <w:rPr>
          <w:rFonts w:eastAsia="Times New Roman"/>
          <w:b/>
          <w:bCs/>
          <w:color w:val="000000"/>
          <w:sz w:val="26"/>
          <w:szCs w:val="26"/>
          <w:lang w:eastAsia="en-AU"/>
        </w:rPr>
        <w:t>Made by the Governor</w:t>
      </w:r>
    </w:p>
    <w:p w:rsidR="0023144E" w:rsidRPr="0023144E" w:rsidRDefault="0023144E" w:rsidP="0023144E">
      <w:pPr>
        <w:keepNext/>
        <w:keepLines/>
        <w:autoSpaceDE w:val="0"/>
        <w:autoSpaceDN w:val="0"/>
        <w:adjustRightInd w:val="0"/>
        <w:spacing w:before="120" w:after="0" w:line="240" w:lineRule="auto"/>
        <w:jc w:val="left"/>
        <w:rPr>
          <w:rFonts w:eastAsia="Times New Roman"/>
          <w:color w:val="000000"/>
          <w:sz w:val="23"/>
          <w:szCs w:val="23"/>
          <w:lang w:eastAsia="en-AU"/>
        </w:rPr>
      </w:pPr>
      <w:r w:rsidRPr="0023144E">
        <w:rPr>
          <w:rFonts w:eastAsia="Times New Roman"/>
          <w:color w:val="000000"/>
          <w:sz w:val="23"/>
          <w:szCs w:val="23"/>
          <w:lang w:eastAsia="en-AU"/>
        </w:rPr>
        <w:t>with the advice and consent of the Executive Council</w:t>
      </w:r>
    </w:p>
    <w:p w:rsidR="0023144E" w:rsidRPr="0023144E" w:rsidRDefault="0023144E" w:rsidP="0023144E">
      <w:pPr>
        <w:keepNext/>
        <w:keepLines/>
        <w:autoSpaceDE w:val="0"/>
        <w:autoSpaceDN w:val="0"/>
        <w:adjustRightInd w:val="0"/>
        <w:spacing w:after="0" w:line="240" w:lineRule="auto"/>
        <w:jc w:val="left"/>
        <w:rPr>
          <w:rFonts w:eastAsia="Times New Roman"/>
          <w:color w:val="000000"/>
          <w:sz w:val="23"/>
          <w:szCs w:val="23"/>
          <w:lang w:eastAsia="en-AU"/>
        </w:rPr>
      </w:pPr>
      <w:r w:rsidRPr="0023144E">
        <w:rPr>
          <w:rFonts w:eastAsia="Times New Roman"/>
          <w:color w:val="000000"/>
          <w:sz w:val="23"/>
          <w:szCs w:val="23"/>
          <w:lang w:eastAsia="en-AU"/>
        </w:rPr>
        <w:t>on 17 December 2020</w:t>
      </w:r>
    </w:p>
    <w:p w:rsidR="0023144E" w:rsidRDefault="0023144E" w:rsidP="0023144E">
      <w:pPr>
        <w:keepNext/>
        <w:keepLines/>
        <w:autoSpaceDE w:val="0"/>
        <w:autoSpaceDN w:val="0"/>
        <w:adjustRightInd w:val="0"/>
        <w:spacing w:before="120" w:line="240" w:lineRule="auto"/>
        <w:jc w:val="left"/>
        <w:rPr>
          <w:rFonts w:eastAsia="Times New Roman"/>
          <w:color w:val="000000"/>
          <w:sz w:val="23"/>
          <w:szCs w:val="23"/>
          <w:lang w:eastAsia="en-AU"/>
        </w:rPr>
      </w:pPr>
      <w:r w:rsidRPr="0023144E">
        <w:rPr>
          <w:rFonts w:eastAsia="Times New Roman"/>
          <w:color w:val="000000"/>
          <w:sz w:val="23"/>
          <w:szCs w:val="23"/>
          <w:lang w:eastAsia="en-AU"/>
        </w:rPr>
        <w:t>No 321 of 2020</w:t>
      </w:r>
    </w:p>
    <w:p w:rsidR="0023144E" w:rsidRDefault="0023144E" w:rsidP="0023144E">
      <w:pPr>
        <w:pBdr>
          <w:top w:val="single" w:sz="4" w:space="1" w:color="auto"/>
        </w:pBdr>
        <w:autoSpaceDE w:val="0"/>
        <w:autoSpaceDN w:val="0"/>
        <w:adjustRightInd w:val="0"/>
        <w:spacing w:before="100" w:after="0" w:line="14" w:lineRule="exact"/>
        <w:jc w:val="center"/>
        <w:rPr>
          <w:rFonts w:eastAsia="Times New Roman"/>
          <w:color w:val="000000"/>
          <w:sz w:val="23"/>
          <w:szCs w:val="23"/>
          <w:lang w:eastAsia="en-AU"/>
        </w:rPr>
      </w:pPr>
    </w:p>
    <w:p w:rsidR="008822A7" w:rsidRDefault="008822A7" w:rsidP="0016463B">
      <w:pPr>
        <w:pStyle w:val="GG-body"/>
      </w:pPr>
    </w:p>
    <w:p w:rsidR="00632C11" w:rsidRDefault="00632C11">
      <w:pPr>
        <w:spacing w:after="0" w:line="240" w:lineRule="auto"/>
        <w:jc w:val="left"/>
        <w:rPr>
          <w:rFonts w:eastAsia="Times New Roman"/>
          <w:szCs w:val="17"/>
        </w:rPr>
      </w:pPr>
      <w:r>
        <w:br w:type="page"/>
      </w:r>
    </w:p>
    <w:p w:rsidR="007E65D7" w:rsidRDefault="007E65D7" w:rsidP="007E65D7">
      <w:pPr>
        <w:pStyle w:val="RegSpace"/>
        <w:rPr>
          <w:lang w:eastAsia="en-AU"/>
        </w:rPr>
      </w:pPr>
    </w:p>
    <w:p w:rsidR="007E65D7" w:rsidRPr="007E65D7" w:rsidRDefault="007E65D7" w:rsidP="007E65D7">
      <w:pPr>
        <w:keepLines/>
        <w:autoSpaceDE w:val="0"/>
        <w:autoSpaceDN w:val="0"/>
        <w:adjustRightInd w:val="0"/>
        <w:spacing w:before="240" w:after="0" w:line="240" w:lineRule="auto"/>
        <w:jc w:val="left"/>
        <w:rPr>
          <w:rFonts w:eastAsia="Times New Roman"/>
          <w:color w:val="000000"/>
          <w:sz w:val="28"/>
          <w:szCs w:val="28"/>
          <w:lang w:eastAsia="en-AU"/>
        </w:rPr>
      </w:pPr>
      <w:r w:rsidRPr="007E65D7">
        <w:rPr>
          <w:rFonts w:eastAsia="Times New Roman"/>
          <w:color w:val="000000"/>
          <w:sz w:val="28"/>
          <w:szCs w:val="28"/>
          <w:lang w:eastAsia="en-AU"/>
        </w:rPr>
        <w:t>South Australia</w:t>
      </w:r>
    </w:p>
    <w:p w:rsidR="007E65D7" w:rsidRPr="007E65D7" w:rsidRDefault="007E65D7" w:rsidP="00046B75">
      <w:pPr>
        <w:pStyle w:val="Heading3"/>
        <w:rPr>
          <w:lang w:eastAsia="en-AU"/>
        </w:rPr>
      </w:pPr>
      <w:bookmarkStart w:id="97" w:name="_Toc59098940"/>
      <w:r w:rsidRPr="007E65D7">
        <w:rPr>
          <w:lang w:eastAsia="en-AU"/>
        </w:rPr>
        <w:t>Fisheries Management (Miscellaneous Fishery) (Quota) Variation Regulations 2020</w:t>
      </w:r>
      <w:bookmarkEnd w:id="97"/>
    </w:p>
    <w:p w:rsidR="007E65D7" w:rsidRPr="007E65D7" w:rsidRDefault="007E65D7" w:rsidP="007E65D7">
      <w:pPr>
        <w:keepLines/>
        <w:autoSpaceDE w:val="0"/>
        <w:autoSpaceDN w:val="0"/>
        <w:adjustRightInd w:val="0"/>
        <w:spacing w:before="80" w:after="240" w:line="240" w:lineRule="auto"/>
        <w:jc w:val="left"/>
        <w:rPr>
          <w:rFonts w:eastAsia="Times New Roman"/>
          <w:color w:val="000000"/>
          <w:sz w:val="24"/>
          <w:szCs w:val="24"/>
          <w:lang w:eastAsia="en-AU"/>
        </w:rPr>
      </w:pPr>
      <w:r w:rsidRPr="007E65D7">
        <w:rPr>
          <w:rFonts w:eastAsia="Times New Roman"/>
          <w:color w:val="000000"/>
          <w:sz w:val="24"/>
          <w:szCs w:val="24"/>
          <w:lang w:eastAsia="en-AU"/>
        </w:rPr>
        <w:t xml:space="preserve">under the </w:t>
      </w:r>
      <w:r w:rsidRPr="007E65D7">
        <w:rPr>
          <w:rFonts w:eastAsia="Times New Roman"/>
          <w:i/>
          <w:iCs/>
          <w:color w:val="000000"/>
          <w:sz w:val="24"/>
          <w:szCs w:val="24"/>
          <w:lang w:eastAsia="en-AU"/>
        </w:rPr>
        <w:t>Fisheries Management Act 2007</w:t>
      </w:r>
    </w:p>
    <w:p w:rsidR="007E65D7" w:rsidRPr="007E65D7" w:rsidRDefault="007E65D7" w:rsidP="007E65D7">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7E65D7" w:rsidRPr="007E65D7" w:rsidRDefault="007E65D7" w:rsidP="007E65D7">
      <w:pPr>
        <w:keepLines/>
        <w:autoSpaceDE w:val="0"/>
        <w:autoSpaceDN w:val="0"/>
        <w:adjustRightInd w:val="0"/>
        <w:spacing w:before="120" w:after="0" w:line="240" w:lineRule="auto"/>
        <w:jc w:val="left"/>
        <w:rPr>
          <w:rFonts w:eastAsia="Times New Roman"/>
          <w:b/>
          <w:bCs/>
          <w:color w:val="000000"/>
          <w:sz w:val="32"/>
          <w:szCs w:val="32"/>
          <w:lang w:eastAsia="en-AU"/>
        </w:rPr>
      </w:pPr>
      <w:r w:rsidRPr="007E65D7">
        <w:rPr>
          <w:rFonts w:eastAsia="Times New Roman"/>
          <w:b/>
          <w:bCs/>
          <w:color w:val="000000"/>
          <w:sz w:val="32"/>
          <w:szCs w:val="32"/>
          <w:lang w:eastAsia="en-AU"/>
        </w:rPr>
        <w:t>Contents</w:t>
      </w:r>
    </w:p>
    <w:p w:rsidR="007E65D7" w:rsidRPr="007E65D7" w:rsidRDefault="00607847" w:rsidP="007E65D7">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7E65D7" w:rsidRPr="007E65D7">
          <w:rPr>
            <w:rFonts w:eastAsia="Times New Roman"/>
            <w:color w:val="000000"/>
            <w:sz w:val="28"/>
            <w:szCs w:val="28"/>
            <w:lang w:eastAsia="en-AU"/>
          </w:rPr>
          <w:t>Part 1—Preliminary</w:t>
        </w:r>
      </w:hyperlink>
    </w:p>
    <w:p w:rsidR="007E65D7" w:rsidRPr="007E65D7" w:rsidRDefault="00607847" w:rsidP="007E65D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7E65D7" w:rsidRPr="007E65D7">
          <w:rPr>
            <w:rFonts w:eastAsia="Times New Roman"/>
            <w:color w:val="000000"/>
            <w:sz w:val="22"/>
            <w:lang w:eastAsia="en-AU"/>
          </w:rPr>
          <w:t>1</w:t>
        </w:r>
        <w:r w:rsidR="007E65D7" w:rsidRPr="007E65D7">
          <w:rPr>
            <w:rFonts w:eastAsia="Times New Roman"/>
            <w:color w:val="000000"/>
            <w:sz w:val="22"/>
            <w:lang w:eastAsia="en-AU"/>
          </w:rPr>
          <w:tab/>
          <w:t>Short title</w:t>
        </w:r>
      </w:hyperlink>
    </w:p>
    <w:p w:rsidR="007E65D7" w:rsidRPr="007E65D7" w:rsidRDefault="00607847" w:rsidP="007E65D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7E65D7" w:rsidRPr="007E65D7">
          <w:rPr>
            <w:rFonts w:eastAsia="Times New Roman"/>
            <w:color w:val="000000"/>
            <w:sz w:val="22"/>
            <w:lang w:eastAsia="en-AU"/>
          </w:rPr>
          <w:t>2</w:t>
        </w:r>
        <w:r w:rsidR="007E65D7" w:rsidRPr="007E65D7">
          <w:rPr>
            <w:rFonts w:eastAsia="Times New Roman"/>
            <w:color w:val="000000"/>
            <w:sz w:val="22"/>
            <w:lang w:eastAsia="en-AU"/>
          </w:rPr>
          <w:tab/>
          <w:t>Commencement</w:t>
        </w:r>
      </w:hyperlink>
    </w:p>
    <w:p w:rsidR="007E65D7" w:rsidRPr="007E65D7" w:rsidRDefault="00607847" w:rsidP="007E65D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7E65D7" w:rsidRPr="007E65D7">
          <w:rPr>
            <w:rFonts w:eastAsia="Times New Roman"/>
            <w:color w:val="000000"/>
            <w:sz w:val="22"/>
            <w:lang w:eastAsia="en-AU"/>
          </w:rPr>
          <w:t>3</w:t>
        </w:r>
        <w:r w:rsidR="007E65D7" w:rsidRPr="007E65D7">
          <w:rPr>
            <w:rFonts w:eastAsia="Times New Roman"/>
            <w:color w:val="000000"/>
            <w:sz w:val="22"/>
            <w:lang w:eastAsia="en-AU"/>
          </w:rPr>
          <w:tab/>
          <w:t>Variation provisions</w:t>
        </w:r>
      </w:hyperlink>
    </w:p>
    <w:p w:rsidR="007E65D7" w:rsidRPr="007E65D7" w:rsidRDefault="00607847" w:rsidP="007E65D7">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7E65D7" w:rsidRPr="007E65D7">
          <w:rPr>
            <w:rFonts w:eastAsia="Times New Roman"/>
            <w:color w:val="000000"/>
            <w:sz w:val="28"/>
            <w:szCs w:val="28"/>
            <w:lang w:eastAsia="en-AU"/>
          </w:rPr>
          <w:t xml:space="preserve">Part 2—Variation of </w:t>
        </w:r>
        <w:r w:rsidR="007E65D7" w:rsidRPr="007E65D7">
          <w:rPr>
            <w:rFonts w:eastAsia="Times New Roman"/>
            <w:i/>
            <w:iCs/>
            <w:color w:val="000000"/>
            <w:sz w:val="28"/>
            <w:szCs w:val="28"/>
            <w:lang w:eastAsia="en-AU"/>
          </w:rPr>
          <w:t>Fisheries Management (Miscellaneous Fishery) Regulations 2015</w:t>
        </w:r>
      </w:hyperlink>
    </w:p>
    <w:p w:rsidR="007E65D7" w:rsidRPr="007E65D7" w:rsidRDefault="00607847" w:rsidP="007E65D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7E65D7" w:rsidRPr="007E65D7">
          <w:rPr>
            <w:rFonts w:eastAsia="Times New Roman"/>
            <w:color w:val="000000"/>
            <w:sz w:val="22"/>
            <w:lang w:eastAsia="en-AU"/>
          </w:rPr>
          <w:t>4</w:t>
        </w:r>
        <w:r w:rsidR="007E65D7" w:rsidRPr="007E65D7">
          <w:rPr>
            <w:rFonts w:eastAsia="Times New Roman"/>
            <w:color w:val="000000"/>
            <w:sz w:val="22"/>
            <w:lang w:eastAsia="en-AU"/>
          </w:rPr>
          <w:tab/>
          <w:t>Variation of regulation 9—Individual giant crab catch quota system</w:t>
        </w:r>
      </w:hyperlink>
    </w:p>
    <w:p w:rsidR="007E65D7" w:rsidRPr="007E65D7" w:rsidRDefault="007E65D7" w:rsidP="007E65D7">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7E65D7" w:rsidRPr="007E65D7" w:rsidRDefault="007E65D7" w:rsidP="007E65D7">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7E65D7">
        <w:rPr>
          <w:rFonts w:eastAsia="Times New Roman"/>
          <w:b/>
          <w:bCs/>
          <w:color w:val="000000"/>
          <w:sz w:val="32"/>
          <w:szCs w:val="32"/>
          <w:lang w:eastAsia="en-AU"/>
        </w:rPr>
        <w:t>Part 1—Preliminary</w:t>
      </w:r>
    </w:p>
    <w:p w:rsidR="007E65D7" w:rsidRPr="007E65D7" w:rsidRDefault="007E65D7" w:rsidP="007E65D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E65D7">
        <w:rPr>
          <w:rFonts w:eastAsia="Times New Roman"/>
          <w:b/>
          <w:bCs/>
          <w:color w:val="000000"/>
          <w:sz w:val="26"/>
          <w:szCs w:val="26"/>
          <w:lang w:eastAsia="en-AU"/>
        </w:rPr>
        <w:t>1—Short title</w:t>
      </w:r>
    </w:p>
    <w:p w:rsidR="007E65D7" w:rsidRPr="007E65D7" w:rsidRDefault="007E65D7" w:rsidP="007E65D7">
      <w:pPr>
        <w:keepLines/>
        <w:autoSpaceDE w:val="0"/>
        <w:autoSpaceDN w:val="0"/>
        <w:adjustRightInd w:val="0"/>
        <w:spacing w:before="120" w:after="0" w:line="240" w:lineRule="auto"/>
        <w:ind w:left="794"/>
        <w:jc w:val="left"/>
        <w:rPr>
          <w:rFonts w:eastAsia="Times New Roman"/>
          <w:color w:val="000000"/>
          <w:sz w:val="23"/>
          <w:szCs w:val="23"/>
          <w:lang w:eastAsia="en-AU"/>
        </w:rPr>
      </w:pPr>
      <w:r w:rsidRPr="007E65D7">
        <w:rPr>
          <w:rFonts w:eastAsia="Times New Roman"/>
          <w:color w:val="000000"/>
          <w:sz w:val="23"/>
          <w:szCs w:val="23"/>
          <w:lang w:eastAsia="en-AU"/>
        </w:rPr>
        <w:t xml:space="preserve">These regulations may be cited as the </w:t>
      </w:r>
      <w:r w:rsidRPr="007E65D7">
        <w:rPr>
          <w:rFonts w:eastAsia="Times New Roman"/>
          <w:i/>
          <w:iCs/>
          <w:color w:val="000000"/>
          <w:sz w:val="23"/>
          <w:szCs w:val="23"/>
          <w:lang w:eastAsia="en-AU"/>
        </w:rPr>
        <w:t>Fisheries Management (Miscellaneous Fishery) (Quota) Variation Regulations 2020</w:t>
      </w:r>
      <w:r w:rsidRPr="007E65D7">
        <w:rPr>
          <w:rFonts w:eastAsia="Times New Roman"/>
          <w:color w:val="000000"/>
          <w:sz w:val="23"/>
          <w:szCs w:val="23"/>
          <w:lang w:eastAsia="en-AU"/>
        </w:rPr>
        <w:t>.</w:t>
      </w:r>
    </w:p>
    <w:p w:rsidR="007E65D7" w:rsidRPr="007E65D7" w:rsidRDefault="007E65D7" w:rsidP="007E65D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E65D7">
        <w:rPr>
          <w:rFonts w:eastAsia="Times New Roman"/>
          <w:b/>
          <w:bCs/>
          <w:color w:val="000000"/>
          <w:sz w:val="26"/>
          <w:szCs w:val="26"/>
          <w:lang w:eastAsia="en-AU"/>
        </w:rPr>
        <w:t>2—Commencement</w:t>
      </w:r>
    </w:p>
    <w:p w:rsidR="007E65D7" w:rsidRPr="007E65D7" w:rsidRDefault="007E65D7" w:rsidP="007E65D7">
      <w:pPr>
        <w:keepLines/>
        <w:autoSpaceDE w:val="0"/>
        <w:autoSpaceDN w:val="0"/>
        <w:adjustRightInd w:val="0"/>
        <w:spacing w:before="120" w:after="0" w:line="240" w:lineRule="auto"/>
        <w:ind w:left="794"/>
        <w:jc w:val="left"/>
        <w:rPr>
          <w:rFonts w:eastAsia="Times New Roman"/>
          <w:color w:val="000000"/>
          <w:sz w:val="23"/>
          <w:szCs w:val="23"/>
          <w:lang w:eastAsia="en-AU"/>
        </w:rPr>
      </w:pPr>
      <w:r w:rsidRPr="007E65D7">
        <w:rPr>
          <w:rFonts w:eastAsia="Times New Roman"/>
          <w:color w:val="000000"/>
          <w:sz w:val="23"/>
          <w:szCs w:val="23"/>
          <w:lang w:eastAsia="en-AU"/>
        </w:rPr>
        <w:t>These regulations come into operation on the day on which they are made.</w:t>
      </w:r>
    </w:p>
    <w:p w:rsidR="007E65D7" w:rsidRPr="007E65D7" w:rsidRDefault="007E65D7" w:rsidP="007E65D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E65D7">
        <w:rPr>
          <w:rFonts w:eastAsia="Times New Roman"/>
          <w:b/>
          <w:bCs/>
          <w:color w:val="000000"/>
          <w:sz w:val="26"/>
          <w:szCs w:val="26"/>
          <w:lang w:eastAsia="en-AU"/>
        </w:rPr>
        <w:t>3—Variation provisions</w:t>
      </w:r>
    </w:p>
    <w:p w:rsidR="007E65D7" w:rsidRPr="007E65D7" w:rsidRDefault="007E65D7" w:rsidP="007E65D7">
      <w:pPr>
        <w:keepLines/>
        <w:autoSpaceDE w:val="0"/>
        <w:autoSpaceDN w:val="0"/>
        <w:adjustRightInd w:val="0"/>
        <w:spacing w:before="120" w:after="0" w:line="240" w:lineRule="auto"/>
        <w:ind w:left="794"/>
        <w:jc w:val="left"/>
        <w:rPr>
          <w:rFonts w:eastAsia="Times New Roman"/>
          <w:color w:val="000000"/>
          <w:sz w:val="23"/>
          <w:szCs w:val="23"/>
          <w:lang w:eastAsia="en-AU"/>
        </w:rPr>
      </w:pPr>
      <w:r w:rsidRPr="007E65D7">
        <w:rPr>
          <w:rFonts w:eastAsia="Times New Roman"/>
          <w:color w:val="000000"/>
          <w:sz w:val="23"/>
          <w:szCs w:val="23"/>
          <w:lang w:eastAsia="en-AU"/>
        </w:rPr>
        <w:t>In these regulations, a provision under a heading referring to the variation of specified regulations varies the regulations so specified.</w:t>
      </w:r>
    </w:p>
    <w:p w:rsidR="007E65D7" w:rsidRPr="007E65D7" w:rsidRDefault="007E65D7" w:rsidP="007E65D7">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7E65D7">
        <w:rPr>
          <w:rFonts w:eastAsia="Times New Roman"/>
          <w:b/>
          <w:bCs/>
          <w:color w:val="000000"/>
          <w:sz w:val="32"/>
          <w:szCs w:val="32"/>
          <w:lang w:eastAsia="en-AU"/>
        </w:rPr>
        <w:t xml:space="preserve">Part 2—Variation of </w:t>
      </w:r>
      <w:r w:rsidRPr="007E65D7">
        <w:rPr>
          <w:rFonts w:eastAsia="Times New Roman"/>
          <w:b/>
          <w:bCs/>
          <w:i/>
          <w:iCs/>
          <w:color w:val="000000"/>
          <w:sz w:val="32"/>
          <w:szCs w:val="32"/>
          <w:lang w:eastAsia="en-AU"/>
        </w:rPr>
        <w:t>Fisheries Management (Miscellaneous Fishery) Regulations 2015</w:t>
      </w:r>
    </w:p>
    <w:p w:rsidR="007E65D7" w:rsidRPr="007E65D7" w:rsidRDefault="007E65D7" w:rsidP="007E65D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E65D7">
        <w:rPr>
          <w:rFonts w:eastAsia="Times New Roman"/>
          <w:b/>
          <w:bCs/>
          <w:color w:val="000000"/>
          <w:sz w:val="26"/>
          <w:szCs w:val="26"/>
          <w:lang w:eastAsia="en-AU"/>
        </w:rPr>
        <w:t>4—Variation of regulation 9—Individual giant crab catch quota system</w:t>
      </w:r>
    </w:p>
    <w:p w:rsidR="007E65D7" w:rsidRPr="007E65D7" w:rsidRDefault="007E65D7" w:rsidP="007E65D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7E65D7">
        <w:rPr>
          <w:rFonts w:eastAsia="Times New Roman"/>
          <w:color w:val="000000"/>
          <w:sz w:val="23"/>
          <w:szCs w:val="23"/>
          <w:lang w:eastAsia="en-AU"/>
        </w:rPr>
        <w:t xml:space="preserve">Regulation 9(1), definition of </w:t>
      </w:r>
      <w:r w:rsidRPr="007E65D7">
        <w:rPr>
          <w:rFonts w:eastAsia="Times New Roman"/>
          <w:b/>
          <w:bCs/>
          <w:i/>
          <w:iCs/>
          <w:color w:val="000000"/>
          <w:sz w:val="23"/>
          <w:szCs w:val="23"/>
          <w:lang w:eastAsia="en-AU"/>
        </w:rPr>
        <w:t>quota period</w:t>
      </w:r>
      <w:r w:rsidRPr="007E65D7">
        <w:rPr>
          <w:rFonts w:eastAsia="Times New Roman"/>
          <w:color w:val="000000"/>
          <w:sz w:val="23"/>
          <w:szCs w:val="23"/>
          <w:lang w:eastAsia="en-AU"/>
        </w:rPr>
        <w:t>—delete the definition and substitute:</w:t>
      </w:r>
    </w:p>
    <w:p w:rsidR="007E65D7" w:rsidRPr="007E65D7" w:rsidRDefault="007E65D7" w:rsidP="007E65D7">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7E65D7">
        <w:rPr>
          <w:rFonts w:eastAsia="Times New Roman"/>
          <w:b/>
          <w:bCs/>
          <w:i/>
          <w:iCs/>
          <w:color w:val="000000"/>
          <w:sz w:val="23"/>
          <w:szCs w:val="23"/>
          <w:lang w:eastAsia="en-AU"/>
        </w:rPr>
        <w:t>quota period</w:t>
      </w:r>
      <w:r w:rsidRPr="007E65D7">
        <w:rPr>
          <w:rFonts w:eastAsia="Times New Roman"/>
          <w:color w:val="000000"/>
          <w:sz w:val="23"/>
          <w:szCs w:val="23"/>
          <w:lang w:eastAsia="en-AU"/>
        </w:rPr>
        <w:t>—</w:t>
      </w:r>
    </w:p>
    <w:p w:rsidR="007E65D7" w:rsidRPr="007E65D7" w:rsidRDefault="007E65D7" w:rsidP="007E65D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7E65D7">
        <w:rPr>
          <w:rFonts w:eastAsia="Times New Roman"/>
          <w:color w:val="000000"/>
          <w:sz w:val="23"/>
          <w:szCs w:val="23"/>
          <w:lang w:eastAsia="en-AU"/>
        </w:rPr>
        <w:tab/>
        <w:t>(a)</w:t>
      </w:r>
      <w:r w:rsidRPr="007E65D7">
        <w:rPr>
          <w:rFonts w:eastAsia="Times New Roman"/>
          <w:color w:val="000000"/>
          <w:sz w:val="23"/>
          <w:szCs w:val="23"/>
          <w:lang w:eastAsia="en-AU"/>
        </w:rPr>
        <w:tab/>
        <w:t>in relation to the Northern Zone means—</w:t>
      </w:r>
    </w:p>
    <w:p w:rsidR="007E65D7" w:rsidRPr="007E65D7" w:rsidRDefault="007E65D7" w:rsidP="007E65D7">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7E65D7">
        <w:rPr>
          <w:rFonts w:eastAsia="Times New Roman"/>
          <w:color w:val="000000"/>
          <w:sz w:val="23"/>
          <w:szCs w:val="23"/>
          <w:lang w:eastAsia="en-AU"/>
        </w:rPr>
        <w:tab/>
        <w:t>(i)</w:t>
      </w:r>
      <w:r w:rsidRPr="007E65D7">
        <w:rPr>
          <w:rFonts w:eastAsia="Times New Roman"/>
          <w:color w:val="000000"/>
          <w:sz w:val="23"/>
          <w:szCs w:val="23"/>
          <w:lang w:eastAsia="en-AU"/>
        </w:rPr>
        <w:tab/>
        <w:t>the period that commenced on 1 July 2020 and ends on 31 October 2021; or</w:t>
      </w:r>
    </w:p>
    <w:p w:rsidR="007E65D7" w:rsidRPr="007E65D7" w:rsidRDefault="007E65D7" w:rsidP="007E65D7">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7E65D7">
        <w:rPr>
          <w:rFonts w:eastAsia="Times New Roman"/>
          <w:color w:val="000000"/>
          <w:sz w:val="23"/>
          <w:szCs w:val="23"/>
          <w:lang w:eastAsia="en-AU"/>
        </w:rPr>
        <w:tab/>
        <w:t>(ii)</w:t>
      </w:r>
      <w:r w:rsidRPr="007E65D7">
        <w:rPr>
          <w:rFonts w:eastAsia="Times New Roman"/>
          <w:color w:val="000000"/>
          <w:sz w:val="23"/>
          <w:szCs w:val="23"/>
          <w:lang w:eastAsia="en-AU"/>
        </w:rPr>
        <w:tab/>
        <w:t>the period of 12 months commencing on 1 November 2021 or on 1 November in any subsequent year;</w:t>
      </w:r>
    </w:p>
    <w:p w:rsidR="00ED286C" w:rsidRDefault="00ED286C">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rsidR="007E65D7" w:rsidRPr="007E65D7" w:rsidRDefault="007E65D7" w:rsidP="007E65D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7E65D7">
        <w:rPr>
          <w:rFonts w:eastAsia="Times New Roman"/>
          <w:color w:val="000000"/>
          <w:sz w:val="23"/>
          <w:szCs w:val="23"/>
          <w:lang w:eastAsia="en-AU"/>
        </w:rPr>
        <w:lastRenderedPageBreak/>
        <w:tab/>
        <w:t>(b)</w:t>
      </w:r>
      <w:r w:rsidRPr="007E65D7">
        <w:rPr>
          <w:rFonts w:eastAsia="Times New Roman"/>
          <w:color w:val="000000"/>
          <w:sz w:val="23"/>
          <w:szCs w:val="23"/>
          <w:lang w:eastAsia="en-AU"/>
        </w:rPr>
        <w:tab/>
        <w:t>in relation to the Southern Zone means—</w:t>
      </w:r>
    </w:p>
    <w:p w:rsidR="007E65D7" w:rsidRPr="007E65D7" w:rsidRDefault="007E65D7" w:rsidP="007E65D7">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7E65D7">
        <w:rPr>
          <w:rFonts w:eastAsia="Times New Roman"/>
          <w:color w:val="000000"/>
          <w:sz w:val="23"/>
          <w:szCs w:val="23"/>
          <w:lang w:eastAsia="en-AU"/>
        </w:rPr>
        <w:tab/>
        <w:t>(i)</w:t>
      </w:r>
      <w:r w:rsidRPr="007E65D7">
        <w:rPr>
          <w:rFonts w:eastAsia="Times New Roman"/>
          <w:color w:val="000000"/>
          <w:sz w:val="23"/>
          <w:szCs w:val="23"/>
          <w:lang w:eastAsia="en-AU"/>
        </w:rPr>
        <w:tab/>
        <w:t>the period that commenced on 1 July 2020 and ends on 30 September 2021; or</w:t>
      </w:r>
    </w:p>
    <w:p w:rsidR="007E65D7" w:rsidRPr="007E65D7" w:rsidRDefault="007E65D7" w:rsidP="007E65D7">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7E65D7">
        <w:rPr>
          <w:rFonts w:eastAsia="Times New Roman"/>
          <w:color w:val="000000"/>
          <w:sz w:val="23"/>
          <w:szCs w:val="23"/>
          <w:lang w:eastAsia="en-AU"/>
        </w:rPr>
        <w:tab/>
        <w:t>(ii)</w:t>
      </w:r>
      <w:r w:rsidRPr="007E65D7">
        <w:rPr>
          <w:rFonts w:eastAsia="Times New Roman"/>
          <w:color w:val="000000"/>
          <w:sz w:val="23"/>
          <w:szCs w:val="23"/>
          <w:lang w:eastAsia="en-AU"/>
        </w:rPr>
        <w:tab/>
        <w:t>the period of 12 months commencing on 1 October 2021 or on 1 October in any subsequent year;</w:t>
      </w:r>
    </w:p>
    <w:p w:rsidR="007E65D7" w:rsidRPr="007E65D7" w:rsidRDefault="007E65D7" w:rsidP="007E65D7">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7E65D7">
        <w:rPr>
          <w:rFonts w:eastAsia="Times New Roman"/>
          <w:b/>
          <w:bCs/>
          <w:color w:val="000000"/>
          <w:sz w:val="20"/>
          <w:szCs w:val="20"/>
          <w:lang w:eastAsia="en-AU"/>
        </w:rPr>
        <w:t>Note—</w:t>
      </w:r>
    </w:p>
    <w:p w:rsidR="007E65D7" w:rsidRPr="007E65D7" w:rsidRDefault="007E65D7" w:rsidP="007E65D7">
      <w:pPr>
        <w:keepLines/>
        <w:autoSpaceDE w:val="0"/>
        <w:autoSpaceDN w:val="0"/>
        <w:adjustRightInd w:val="0"/>
        <w:spacing w:before="120" w:after="0" w:line="240" w:lineRule="auto"/>
        <w:ind w:left="794"/>
        <w:jc w:val="left"/>
        <w:rPr>
          <w:rFonts w:eastAsia="Times New Roman"/>
          <w:color w:val="000000"/>
          <w:sz w:val="20"/>
          <w:szCs w:val="20"/>
          <w:lang w:eastAsia="en-AU"/>
        </w:rPr>
      </w:pPr>
      <w:r w:rsidRPr="007E65D7">
        <w:rPr>
          <w:rFonts w:eastAsia="Times New Roman"/>
          <w:color w:val="000000"/>
          <w:sz w:val="20"/>
          <w:szCs w:val="20"/>
          <w:lang w:eastAsia="en-AU"/>
        </w:rPr>
        <w:t xml:space="preserve">As required by section 10AA(2) of the </w:t>
      </w:r>
      <w:hyperlink r:id="rId60" w:history="1">
        <w:r w:rsidRPr="007E65D7">
          <w:rPr>
            <w:rFonts w:eastAsia="Times New Roman"/>
            <w:i/>
            <w:iCs/>
            <w:color w:val="000000"/>
            <w:sz w:val="20"/>
            <w:szCs w:val="20"/>
            <w:lang w:eastAsia="en-AU"/>
          </w:rPr>
          <w:t>Subordinate Legislation Act 1978</w:t>
        </w:r>
      </w:hyperlink>
      <w:r w:rsidRPr="007E65D7">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7E65D7" w:rsidRPr="007E65D7" w:rsidRDefault="007E65D7" w:rsidP="007E65D7">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7E65D7">
        <w:rPr>
          <w:rFonts w:eastAsia="Times New Roman"/>
          <w:b/>
          <w:bCs/>
          <w:color w:val="000000"/>
          <w:sz w:val="26"/>
          <w:szCs w:val="26"/>
          <w:lang w:eastAsia="en-AU"/>
        </w:rPr>
        <w:t>Made by the Governor</w:t>
      </w:r>
    </w:p>
    <w:p w:rsidR="007E65D7" w:rsidRPr="007E65D7" w:rsidRDefault="007E65D7" w:rsidP="007E65D7">
      <w:pPr>
        <w:keepNext/>
        <w:keepLines/>
        <w:autoSpaceDE w:val="0"/>
        <w:autoSpaceDN w:val="0"/>
        <w:adjustRightInd w:val="0"/>
        <w:spacing w:before="120" w:after="0" w:line="240" w:lineRule="auto"/>
        <w:jc w:val="left"/>
        <w:rPr>
          <w:rFonts w:eastAsia="Times New Roman"/>
          <w:color w:val="000000"/>
          <w:sz w:val="23"/>
          <w:szCs w:val="23"/>
          <w:lang w:eastAsia="en-AU"/>
        </w:rPr>
      </w:pPr>
      <w:r w:rsidRPr="007E65D7">
        <w:rPr>
          <w:rFonts w:eastAsia="Times New Roman"/>
          <w:color w:val="000000"/>
          <w:sz w:val="23"/>
          <w:szCs w:val="23"/>
          <w:lang w:eastAsia="en-AU"/>
        </w:rPr>
        <w:t>with the advice and consent of the Executive Council</w:t>
      </w:r>
    </w:p>
    <w:p w:rsidR="007E65D7" w:rsidRPr="007E65D7" w:rsidRDefault="007E65D7" w:rsidP="007E65D7">
      <w:pPr>
        <w:keepNext/>
        <w:keepLines/>
        <w:autoSpaceDE w:val="0"/>
        <w:autoSpaceDN w:val="0"/>
        <w:adjustRightInd w:val="0"/>
        <w:spacing w:after="0" w:line="240" w:lineRule="auto"/>
        <w:jc w:val="left"/>
        <w:rPr>
          <w:rFonts w:eastAsia="Times New Roman"/>
          <w:color w:val="000000"/>
          <w:sz w:val="23"/>
          <w:szCs w:val="23"/>
          <w:lang w:eastAsia="en-AU"/>
        </w:rPr>
      </w:pPr>
      <w:r w:rsidRPr="007E65D7">
        <w:rPr>
          <w:rFonts w:eastAsia="Times New Roman"/>
          <w:color w:val="000000"/>
          <w:sz w:val="23"/>
          <w:szCs w:val="23"/>
          <w:lang w:eastAsia="en-AU"/>
        </w:rPr>
        <w:t>on 17 December 2020</w:t>
      </w:r>
    </w:p>
    <w:p w:rsidR="007E65D7" w:rsidRDefault="007E65D7" w:rsidP="007E65D7">
      <w:pPr>
        <w:keepNext/>
        <w:keepLines/>
        <w:autoSpaceDE w:val="0"/>
        <w:autoSpaceDN w:val="0"/>
        <w:adjustRightInd w:val="0"/>
        <w:spacing w:before="120" w:line="240" w:lineRule="auto"/>
        <w:jc w:val="left"/>
        <w:rPr>
          <w:rFonts w:eastAsia="Times New Roman"/>
          <w:color w:val="000000"/>
          <w:sz w:val="23"/>
          <w:szCs w:val="23"/>
          <w:lang w:eastAsia="en-AU"/>
        </w:rPr>
      </w:pPr>
      <w:r w:rsidRPr="007E65D7">
        <w:rPr>
          <w:rFonts w:eastAsia="Times New Roman"/>
          <w:color w:val="000000"/>
          <w:sz w:val="23"/>
          <w:szCs w:val="23"/>
          <w:lang w:eastAsia="en-AU"/>
        </w:rPr>
        <w:t>No 322 of 2020</w:t>
      </w:r>
    </w:p>
    <w:p w:rsidR="007E65D7" w:rsidRDefault="007E65D7" w:rsidP="007E65D7">
      <w:pPr>
        <w:pBdr>
          <w:top w:val="single" w:sz="4" w:space="1" w:color="auto"/>
        </w:pBdr>
        <w:autoSpaceDE w:val="0"/>
        <w:autoSpaceDN w:val="0"/>
        <w:adjustRightInd w:val="0"/>
        <w:spacing w:before="100" w:after="0" w:line="14" w:lineRule="exact"/>
        <w:jc w:val="center"/>
        <w:rPr>
          <w:rFonts w:eastAsia="Times New Roman"/>
          <w:color w:val="000000"/>
          <w:sz w:val="23"/>
          <w:szCs w:val="23"/>
          <w:lang w:eastAsia="en-AU"/>
        </w:rPr>
      </w:pPr>
    </w:p>
    <w:p w:rsidR="00632C11" w:rsidRDefault="00632C11" w:rsidP="0016463B">
      <w:pPr>
        <w:pStyle w:val="GG-body"/>
      </w:pPr>
    </w:p>
    <w:p w:rsidR="00BC0AA3" w:rsidRDefault="00BC0AA3">
      <w:pPr>
        <w:spacing w:after="0" w:line="240" w:lineRule="auto"/>
        <w:jc w:val="left"/>
        <w:rPr>
          <w:rFonts w:eastAsia="Times New Roman"/>
          <w:szCs w:val="17"/>
        </w:rPr>
      </w:pPr>
      <w:r>
        <w:br w:type="page"/>
      </w:r>
    </w:p>
    <w:p w:rsidR="00D5517F" w:rsidRDefault="00D5517F" w:rsidP="00D5517F">
      <w:pPr>
        <w:pStyle w:val="RegSpace"/>
        <w:rPr>
          <w:lang w:eastAsia="en-AU"/>
        </w:rPr>
      </w:pPr>
    </w:p>
    <w:p w:rsidR="00D5517F" w:rsidRPr="00D5517F" w:rsidRDefault="00D5517F" w:rsidP="00D5517F">
      <w:pPr>
        <w:keepLines/>
        <w:autoSpaceDE w:val="0"/>
        <w:autoSpaceDN w:val="0"/>
        <w:adjustRightInd w:val="0"/>
        <w:spacing w:before="240" w:after="0" w:line="240" w:lineRule="auto"/>
        <w:jc w:val="left"/>
        <w:rPr>
          <w:rFonts w:eastAsia="Times New Roman"/>
          <w:color w:val="000000"/>
          <w:sz w:val="28"/>
          <w:szCs w:val="28"/>
          <w:lang w:eastAsia="en-AU"/>
        </w:rPr>
      </w:pPr>
      <w:r w:rsidRPr="00D5517F">
        <w:rPr>
          <w:rFonts w:eastAsia="Times New Roman"/>
          <w:color w:val="000000"/>
          <w:sz w:val="28"/>
          <w:szCs w:val="28"/>
          <w:lang w:eastAsia="en-AU"/>
        </w:rPr>
        <w:t>South Australia</w:t>
      </w:r>
    </w:p>
    <w:p w:rsidR="00D5517F" w:rsidRPr="00D5517F" w:rsidRDefault="00D5517F" w:rsidP="00046B75">
      <w:pPr>
        <w:pStyle w:val="Heading3"/>
        <w:rPr>
          <w:lang w:eastAsia="en-AU"/>
        </w:rPr>
      </w:pPr>
      <w:bookmarkStart w:id="98" w:name="_Toc59098941"/>
      <w:r w:rsidRPr="00D5517F">
        <w:rPr>
          <w:lang w:eastAsia="en-AU"/>
        </w:rPr>
        <w:t>Fisheries Management (Prawn Fisheries) (Fishing Nights Entitlement) Variation Regulations 2020</w:t>
      </w:r>
      <w:bookmarkEnd w:id="98"/>
    </w:p>
    <w:p w:rsidR="00D5517F" w:rsidRPr="00D5517F" w:rsidRDefault="00D5517F" w:rsidP="00D5517F">
      <w:pPr>
        <w:keepLines/>
        <w:autoSpaceDE w:val="0"/>
        <w:autoSpaceDN w:val="0"/>
        <w:adjustRightInd w:val="0"/>
        <w:spacing w:before="80" w:after="240" w:line="240" w:lineRule="auto"/>
        <w:jc w:val="left"/>
        <w:rPr>
          <w:rFonts w:eastAsia="Times New Roman"/>
          <w:color w:val="000000"/>
          <w:sz w:val="24"/>
          <w:szCs w:val="24"/>
          <w:lang w:eastAsia="en-AU"/>
        </w:rPr>
      </w:pPr>
      <w:r w:rsidRPr="00D5517F">
        <w:rPr>
          <w:rFonts w:eastAsia="Times New Roman"/>
          <w:color w:val="000000"/>
          <w:sz w:val="24"/>
          <w:szCs w:val="24"/>
          <w:lang w:eastAsia="en-AU"/>
        </w:rPr>
        <w:t xml:space="preserve">under the </w:t>
      </w:r>
      <w:r w:rsidRPr="00D5517F">
        <w:rPr>
          <w:rFonts w:eastAsia="Times New Roman"/>
          <w:i/>
          <w:iCs/>
          <w:color w:val="000000"/>
          <w:sz w:val="24"/>
          <w:szCs w:val="24"/>
          <w:lang w:eastAsia="en-AU"/>
        </w:rPr>
        <w:t>Fisheries Management Act 2007</w:t>
      </w:r>
    </w:p>
    <w:p w:rsidR="00D5517F" w:rsidRPr="00D5517F" w:rsidRDefault="00D5517F" w:rsidP="00D5517F">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D5517F" w:rsidRPr="00D5517F" w:rsidRDefault="00D5517F" w:rsidP="00D5517F">
      <w:pPr>
        <w:keepLines/>
        <w:autoSpaceDE w:val="0"/>
        <w:autoSpaceDN w:val="0"/>
        <w:adjustRightInd w:val="0"/>
        <w:spacing w:before="120" w:after="0" w:line="240" w:lineRule="auto"/>
        <w:jc w:val="left"/>
        <w:rPr>
          <w:rFonts w:eastAsia="Times New Roman"/>
          <w:b/>
          <w:bCs/>
          <w:color w:val="000000"/>
          <w:sz w:val="32"/>
          <w:szCs w:val="32"/>
          <w:lang w:eastAsia="en-AU"/>
        </w:rPr>
      </w:pPr>
      <w:r w:rsidRPr="00D5517F">
        <w:rPr>
          <w:rFonts w:eastAsia="Times New Roman"/>
          <w:b/>
          <w:bCs/>
          <w:color w:val="000000"/>
          <w:sz w:val="32"/>
          <w:szCs w:val="32"/>
          <w:lang w:eastAsia="en-AU"/>
        </w:rPr>
        <w:t>Contents</w:t>
      </w:r>
    </w:p>
    <w:p w:rsidR="00D5517F" w:rsidRPr="00D5517F" w:rsidRDefault="00607847" w:rsidP="00D5517F">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D5517F" w:rsidRPr="00D5517F">
          <w:rPr>
            <w:rFonts w:eastAsia="Times New Roman"/>
            <w:color w:val="000000"/>
            <w:sz w:val="28"/>
            <w:szCs w:val="28"/>
            <w:lang w:eastAsia="en-AU"/>
          </w:rPr>
          <w:t>Part 1—Preliminary</w:t>
        </w:r>
      </w:hyperlink>
    </w:p>
    <w:p w:rsidR="00D5517F" w:rsidRPr="00D5517F" w:rsidRDefault="00607847" w:rsidP="00D5517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D5517F" w:rsidRPr="00D5517F">
          <w:rPr>
            <w:rFonts w:eastAsia="Times New Roman"/>
            <w:color w:val="000000"/>
            <w:sz w:val="22"/>
            <w:lang w:eastAsia="en-AU"/>
          </w:rPr>
          <w:t>1</w:t>
        </w:r>
        <w:r w:rsidR="00D5517F" w:rsidRPr="00D5517F">
          <w:rPr>
            <w:rFonts w:eastAsia="Times New Roman"/>
            <w:color w:val="000000"/>
            <w:sz w:val="22"/>
            <w:lang w:eastAsia="en-AU"/>
          </w:rPr>
          <w:tab/>
          <w:t>Short title</w:t>
        </w:r>
      </w:hyperlink>
    </w:p>
    <w:p w:rsidR="00D5517F" w:rsidRPr="00D5517F" w:rsidRDefault="00607847" w:rsidP="00D5517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D5517F" w:rsidRPr="00D5517F">
          <w:rPr>
            <w:rFonts w:eastAsia="Times New Roman"/>
            <w:color w:val="000000"/>
            <w:sz w:val="22"/>
            <w:lang w:eastAsia="en-AU"/>
          </w:rPr>
          <w:t>2</w:t>
        </w:r>
        <w:r w:rsidR="00D5517F" w:rsidRPr="00D5517F">
          <w:rPr>
            <w:rFonts w:eastAsia="Times New Roman"/>
            <w:color w:val="000000"/>
            <w:sz w:val="22"/>
            <w:lang w:eastAsia="en-AU"/>
          </w:rPr>
          <w:tab/>
          <w:t>Commencement</w:t>
        </w:r>
      </w:hyperlink>
    </w:p>
    <w:p w:rsidR="00D5517F" w:rsidRPr="00D5517F" w:rsidRDefault="00607847" w:rsidP="00D5517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D5517F" w:rsidRPr="00D5517F">
          <w:rPr>
            <w:rFonts w:eastAsia="Times New Roman"/>
            <w:color w:val="000000"/>
            <w:sz w:val="22"/>
            <w:lang w:eastAsia="en-AU"/>
          </w:rPr>
          <w:t>3</w:t>
        </w:r>
        <w:r w:rsidR="00D5517F" w:rsidRPr="00D5517F">
          <w:rPr>
            <w:rFonts w:eastAsia="Times New Roman"/>
            <w:color w:val="000000"/>
            <w:sz w:val="22"/>
            <w:lang w:eastAsia="en-AU"/>
          </w:rPr>
          <w:tab/>
          <w:t>Variation provisions</w:t>
        </w:r>
      </w:hyperlink>
    </w:p>
    <w:p w:rsidR="00D5517F" w:rsidRPr="00D5517F" w:rsidRDefault="00607847" w:rsidP="00D5517F">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D5517F" w:rsidRPr="00D5517F">
          <w:rPr>
            <w:rFonts w:eastAsia="Times New Roman"/>
            <w:color w:val="000000"/>
            <w:sz w:val="28"/>
            <w:szCs w:val="28"/>
            <w:lang w:eastAsia="en-AU"/>
          </w:rPr>
          <w:t xml:space="preserve">Part 2—Variation of </w:t>
        </w:r>
        <w:r w:rsidR="00D5517F" w:rsidRPr="00D5517F">
          <w:rPr>
            <w:rFonts w:eastAsia="Times New Roman"/>
            <w:i/>
            <w:iCs/>
            <w:color w:val="000000"/>
            <w:sz w:val="28"/>
            <w:szCs w:val="28"/>
            <w:lang w:eastAsia="en-AU"/>
          </w:rPr>
          <w:t>Fisheries Management (Prawn Fisheries) Regulations 2017</w:t>
        </w:r>
      </w:hyperlink>
    </w:p>
    <w:p w:rsidR="00D5517F" w:rsidRPr="00D5517F" w:rsidRDefault="00607847" w:rsidP="00D5517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D5517F" w:rsidRPr="00D5517F">
          <w:rPr>
            <w:rFonts w:eastAsia="Times New Roman"/>
            <w:color w:val="000000"/>
            <w:sz w:val="22"/>
            <w:lang w:eastAsia="en-AU"/>
          </w:rPr>
          <w:t>4</w:t>
        </w:r>
        <w:r w:rsidR="00D5517F" w:rsidRPr="00D5517F">
          <w:rPr>
            <w:rFonts w:eastAsia="Times New Roman"/>
            <w:color w:val="000000"/>
            <w:sz w:val="22"/>
            <w:lang w:eastAsia="en-AU"/>
          </w:rPr>
          <w:tab/>
          <w:t>Variation of regulation 9—Individual fishing nights entitlement scheme—Gulf St. Vincent Prawn Fishery</w:t>
        </w:r>
      </w:hyperlink>
    </w:p>
    <w:p w:rsidR="00D5517F" w:rsidRPr="00D5517F" w:rsidRDefault="00D5517F" w:rsidP="00D5517F">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D5517F" w:rsidRPr="00D5517F" w:rsidRDefault="00D5517F" w:rsidP="00D5517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D5517F">
        <w:rPr>
          <w:rFonts w:eastAsia="Times New Roman"/>
          <w:b/>
          <w:bCs/>
          <w:color w:val="000000"/>
          <w:sz w:val="32"/>
          <w:szCs w:val="32"/>
          <w:lang w:eastAsia="en-AU"/>
        </w:rPr>
        <w:t>Part 1—Preliminary</w:t>
      </w:r>
    </w:p>
    <w:p w:rsidR="00D5517F" w:rsidRPr="00D5517F" w:rsidRDefault="00D5517F" w:rsidP="00D5517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5517F">
        <w:rPr>
          <w:rFonts w:eastAsia="Times New Roman"/>
          <w:b/>
          <w:bCs/>
          <w:color w:val="000000"/>
          <w:sz w:val="26"/>
          <w:szCs w:val="26"/>
          <w:lang w:eastAsia="en-AU"/>
        </w:rPr>
        <w:t>1—Short title</w:t>
      </w:r>
    </w:p>
    <w:p w:rsidR="00D5517F" w:rsidRPr="00D5517F" w:rsidRDefault="00D5517F" w:rsidP="00D5517F">
      <w:pPr>
        <w:keepLines/>
        <w:autoSpaceDE w:val="0"/>
        <w:autoSpaceDN w:val="0"/>
        <w:adjustRightInd w:val="0"/>
        <w:spacing w:before="120" w:after="0" w:line="240" w:lineRule="auto"/>
        <w:ind w:left="794"/>
        <w:jc w:val="left"/>
        <w:rPr>
          <w:rFonts w:eastAsia="Times New Roman"/>
          <w:color w:val="000000"/>
          <w:sz w:val="23"/>
          <w:szCs w:val="23"/>
          <w:lang w:eastAsia="en-AU"/>
        </w:rPr>
      </w:pPr>
      <w:r w:rsidRPr="00D5517F">
        <w:rPr>
          <w:rFonts w:eastAsia="Times New Roman"/>
          <w:color w:val="000000"/>
          <w:sz w:val="23"/>
          <w:szCs w:val="23"/>
          <w:lang w:eastAsia="en-AU"/>
        </w:rPr>
        <w:t xml:space="preserve">These regulations may be cited as the </w:t>
      </w:r>
      <w:r w:rsidRPr="00D5517F">
        <w:rPr>
          <w:rFonts w:eastAsia="Times New Roman"/>
          <w:i/>
          <w:iCs/>
          <w:color w:val="000000"/>
          <w:sz w:val="23"/>
          <w:szCs w:val="23"/>
          <w:lang w:eastAsia="en-AU"/>
        </w:rPr>
        <w:t>Fisheries Management (Prawn Fisheries) (Fishing Nights Entitlement) Variation Regulations 2020</w:t>
      </w:r>
      <w:r w:rsidRPr="00D5517F">
        <w:rPr>
          <w:rFonts w:eastAsia="Times New Roman"/>
          <w:color w:val="000000"/>
          <w:sz w:val="23"/>
          <w:szCs w:val="23"/>
          <w:lang w:eastAsia="en-AU"/>
        </w:rPr>
        <w:t>.</w:t>
      </w:r>
    </w:p>
    <w:p w:rsidR="00D5517F" w:rsidRPr="00D5517F" w:rsidRDefault="00D5517F" w:rsidP="00D5517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5517F">
        <w:rPr>
          <w:rFonts w:eastAsia="Times New Roman"/>
          <w:b/>
          <w:bCs/>
          <w:color w:val="000000"/>
          <w:sz w:val="26"/>
          <w:szCs w:val="26"/>
          <w:lang w:eastAsia="en-AU"/>
        </w:rPr>
        <w:t>2—Commencement</w:t>
      </w:r>
    </w:p>
    <w:p w:rsidR="00D5517F" w:rsidRPr="00D5517F" w:rsidRDefault="00D5517F" w:rsidP="00D5517F">
      <w:pPr>
        <w:keepLines/>
        <w:autoSpaceDE w:val="0"/>
        <w:autoSpaceDN w:val="0"/>
        <w:adjustRightInd w:val="0"/>
        <w:spacing w:before="120" w:after="0" w:line="240" w:lineRule="auto"/>
        <w:ind w:left="794"/>
        <w:jc w:val="left"/>
        <w:rPr>
          <w:rFonts w:eastAsia="Times New Roman"/>
          <w:color w:val="000000"/>
          <w:sz w:val="23"/>
          <w:szCs w:val="23"/>
          <w:lang w:eastAsia="en-AU"/>
        </w:rPr>
      </w:pPr>
      <w:r w:rsidRPr="00D5517F">
        <w:rPr>
          <w:rFonts w:eastAsia="Times New Roman"/>
          <w:color w:val="000000"/>
          <w:sz w:val="23"/>
          <w:szCs w:val="23"/>
          <w:lang w:eastAsia="en-AU"/>
        </w:rPr>
        <w:t>These regulations come into operation on the day on which they are made.</w:t>
      </w:r>
    </w:p>
    <w:p w:rsidR="00D5517F" w:rsidRPr="00D5517F" w:rsidRDefault="00D5517F" w:rsidP="00D5517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5517F">
        <w:rPr>
          <w:rFonts w:eastAsia="Times New Roman"/>
          <w:b/>
          <w:bCs/>
          <w:color w:val="000000"/>
          <w:sz w:val="26"/>
          <w:szCs w:val="26"/>
          <w:lang w:eastAsia="en-AU"/>
        </w:rPr>
        <w:t>3—Variation provisions</w:t>
      </w:r>
    </w:p>
    <w:p w:rsidR="00D5517F" w:rsidRPr="00D5517F" w:rsidRDefault="00D5517F" w:rsidP="00D5517F">
      <w:pPr>
        <w:keepLines/>
        <w:autoSpaceDE w:val="0"/>
        <w:autoSpaceDN w:val="0"/>
        <w:adjustRightInd w:val="0"/>
        <w:spacing w:before="120" w:after="0" w:line="240" w:lineRule="auto"/>
        <w:ind w:left="794"/>
        <w:jc w:val="left"/>
        <w:rPr>
          <w:rFonts w:eastAsia="Times New Roman"/>
          <w:color w:val="000000"/>
          <w:sz w:val="23"/>
          <w:szCs w:val="23"/>
          <w:lang w:eastAsia="en-AU"/>
        </w:rPr>
      </w:pPr>
      <w:r w:rsidRPr="00D5517F">
        <w:rPr>
          <w:rFonts w:eastAsia="Times New Roman"/>
          <w:color w:val="000000"/>
          <w:sz w:val="23"/>
          <w:szCs w:val="23"/>
          <w:lang w:eastAsia="en-AU"/>
        </w:rPr>
        <w:t>In these regulations, a provision under a heading referring to the variation of specified regulations varies the regulations so specified.</w:t>
      </w:r>
    </w:p>
    <w:p w:rsidR="00D5517F" w:rsidRPr="00D5517F" w:rsidRDefault="00D5517F" w:rsidP="00D5517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D5517F">
        <w:rPr>
          <w:rFonts w:eastAsia="Times New Roman"/>
          <w:b/>
          <w:bCs/>
          <w:color w:val="000000"/>
          <w:sz w:val="32"/>
          <w:szCs w:val="32"/>
          <w:lang w:eastAsia="en-AU"/>
        </w:rPr>
        <w:t xml:space="preserve">Part 2—Variation of </w:t>
      </w:r>
      <w:r w:rsidRPr="00D5517F">
        <w:rPr>
          <w:rFonts w:eastAsia="Times New Roman"/>
          <w:b/>
          <w:bCs/>
          <w:i/>
          <w:iCs/>
          <w:color w:val="000000"/>
          <w:sz w:val="32"/>
          <w:szCs w:val="32"/>
          <w:lang w:eastAsia="en-AU"/>
        </w:rPr>
        <w:t>Fisheries Management (Prawn Fisheries) Regulations 2017</w:t>
      </w:r>
    </w:p>
    <w:p w:rsidR="00D5517F" w:rsidRPr="00D5517F" w:rsidRDefault="00D5517F" w:rsidP="00D5517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5517F">
        <w:rPr>
          <w:rFonts w:eastAsia="Times New Roman"/>
          <w:b/>
          <w:bCs/>
          <w:color w:val="000000"/>
          <w:sz w:val="26"/>
          <w:szCs w:val="26"/>
          <w:lang w:eastAsia="en-AU"/>
        </w:rPr>
        <w:t>4—Variation of regulation 9—Individual fishing nights entitlement scheme—Gulf St. Vincent Prawn Fishery</w:t>
      </w:r>
    </w:p>
    <w:p w:rsidR="00D5517F" w:rsidRPr="00D5517F" w:rsidRDefault="00D5517F" w:rsidP="00D5517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5517F">
        <w:rPr>
          <w:rFonts w:eastAsia="Times New Roman"/>
          <w:color w:val="000000"/>
          <w:sz w:val="23"/>
          <w:szCs w:val="23"/>
          <w:lang w:eastAsia="en-AU"/>
        </w:rPr>
        <w:tab/>
        <w:t>(1)</w:t>
      </w:r>
      <w:r w:rsidRPr="00D5517F">
        <w:rPr>
          <w:rFonts w:eastAsia="Times New Roman"/>
          <w:color w:val="000000"/>
          <w:sz w:val="23"/>
          <w:szCs w:val="23"/>
          <w:lang w:eastAsia="en-AU"/>
        </w:rPr>
        <w:tab/>
        <w:t xml:space="preserve">Regulation 9(1)—after the definition of </w:t>
      </w:r>
      <w:r w:rsidRPr="00D5517F">
        <w:rPr>
          <w:rFonts w:eastAsia="Times New Roman"/>
          <w:b/>
          <w:bCs/>
          <w:i/>
          <w:iCs/>
          <w:color w:val="000000"/>
          <w:sz w:val="23"/>
          <w:szCs w:val="23"/>
          <w:lang w:eastAsia="en-AU"/>
        </w:rPr>
        <w:t>prescribed period 2</w:t>
      </w:r>
      <w:r w:rsidRPr="00D5517F">
        <w:rPr>
          <w:rFonts w:eastAsia="Times New Roman"/>
          <w:color w:val="000000"/>
          <w:sz w:val="23"/>
          <w:szCs w:val="23"/>
          <w:lang w:eastAsia="en-AU"/>
        </w:rPr>
        <w:t xml:space="preserve"> insert:</w:t>
      </w:r>
    </w:p>
    <w:p w:rsidR="00D5517F" w:rsidRPr="00D5517F" w:rsidRDefault="00D5517F" w:rsidP="00D5517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5517F">
        <w:rPr>
          <w:rFonts w:eastAsia="Times New Roman"/>
          <w:b/>
          <w:bCs/>
          <w:i/>
          <w:iCs/>
          <w:color w:val="000000"/>
          <w:sz w:val="23"/>
          <w:szCs w:val="23"/>
          <w:lang w:eastAsia="en-AU"/>
        </w:rPr>
        <w:t>prescribed period 2 (2020)</w:t>
      </w:r>
      <w:r w:rsidRPr="00D5517F">
        <w:rPr>
          <w:rFonts w:eastAsia="Times New Roman"/>
          <w:color w:val="000000"/>
          <w:sz w:val="23"/>
          <w:szCs w:val="23"/>
          <w:lang w:eastAsia="en-AU"/>
        </w:rPr>
        <w:t xml:space="preserve"> means the prescribed period 2 that ended on 31 July 2020;</w:t>
      </w:r>
    </w:p>
    <w:p w:rsidR="00D5517F" w:rsidRPr="00D5517F" w:rsidRDefault="00D5517F" w:rsidP="00D5517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5517F">
        <w:rPr>
          <w:rFonts w:eastAsia="Times New Roman"/>
          <w:b/>
          <w:bCs/>
          <w:i/>
          <w:iCs/>
          <w:color w:val="000000"/>
          <w:sz w:val="23"/>
          <w:szCs w:val="23"/>
          <w:lang w:eastAsia="en-AU"/>
        </w:rPr>
        <w:t>prescribed period 2 (2021)</w:t>
      </w:r>
      <w:r w:rsidRPr="00D5517F">
        <w:rPr>
          <w:rFonts w:eastAsia="Times New Roman"/>
          <w:color w:val="000000"/>
          <w:sz w:val="23"/>
          <w:szCs w:val="23"/>
          <w:lang w:eastAsia="en-AU"/>
        </w:rPr>
        <w:t xml:space="preserve"> means the prescribed period 2 ending on 31 July 2021;</w:t>
      </w:r>
    </w:p>
    <w:p w:rsidR="00D5517F" w:rsidRPr="00D5517F" w:rsidRDefault="00D5517F" w:rsidP="00D5517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5517F">
        <w:rPr>
          <w:rFonts w:eastAsia="Times New Roman"/>
          <w:b/>
          <w:bCs/>
          <w:i/>
          <w:iCs/>
          <w:color w:val="000000"/>
          <w:sz w:val="23"/>
          <w:szCs w:val="23"/>
          <w:lang w:eastAsia="en-AU"/>
        </w:rPr>
        <w:t>prescribed period 2 (2022)</w:t>
      </w:r>
      <w:r w:rsidRPr="00D5517F">
        <w:rPr>
          <w:rFonts w:eastAsia="Times New Roman"/>
          <w:color w:val="000000"/>
          <w:sz w:val="23"/>
          <w:szCs w:val="23"/>
          <w:lang w:eastAsia="en-AU"/>
        </w:rPr>
        <w:t xml:space="preserve"> means the prescribed period 2 ending on 31 July 2022;</w:t>
      </w:r>
    </w:p>
    <w:p w:rsidR="00D5517F" w:rsidRPr="00D5517F" w:rsidRDefault="00D5517F" w:rsidP="00D5517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5517F">
        <w:rPr>
          <w:rFonts w:eastAsia="Times New Roman"/>
          <w:color w:val="000000"/>
          <w:sz w:val="23"/>
          <w:szCs w:val="23"/>
          <w:lang w:eastAsia="en-AU"/>
        </w:rPr>
        <w:lastRenderedPageBreak/>
        <w:tab/>
        <w:t>(2)</w:t>
      </w:r>
      <w:r w:rsidRPr="00D5517F">
        <w:rPr>
          <w:rFonts w:eastAsia="Times New Roman"/>
          <w:color w:val="000000"/>
          <w:sz w:val="23"/>
          <w:szCs w:val="23"/>
          <w:lang w:eastAsia="en-AU"/>
        </w:rPr>
        <w:tab/>
        <w:t>Regulation 9(4)—after paragraph (a) insert:</w:t>
      </w:r>
    </w:p>
    <w:p w:rsidR="00D5517F" w:rsidRPr="00D5517F" w:rsidRDefault="00D5517F" w:rsidP="00D5517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D5517F">
        <w:rPr>
          <w:rFonts w:eastAsia="Times New Roman"/>
          <w:color w:val="000000"/>
          <w:sz w:val="23"/>
          <w:szCs w:val="23"/>
          <w:lang w:eastAsia="en-AU"/>
        </w:rPr>
        <w:tab/>
        <w:t>(ab)</w:t>
      </w:r>
      <w:r w:rsidRPr="00D5517F">
        <w:rPr>
          <w:rFonts w:eastAsia="Times New Roman"/>
          <w:color w:val="000000"/>
          <w:sz w:val="23"/>
          <w:szCs w:val="23"/>
          <w:lang w:eastAsia="en-AU"/>
        </w:rPr>
        <w:tab/>
        <w:t>if the total number of nights on which the holder of the licence in respect of the fishery took aquatic resources during the prescribed period 2 (2020) is less than the fishing nights entitlement under the licence for that prescribed period, the Minister may vary the conditions of the licence so as to increase the fishing nights entitlement for the prescribed period 2 (2021) and the prescribed period 2 (2022) by up to 1 fishing night for every fishing night by which the number of nights fell short of the fishing nights entitlement for the prescribed period 2 (2020);</w:t>
      </w:r>
    </w:p>
    <w:p w:rsidR="00D5517F" w:rsidRPr="00D5517F" w:rsidRDefault="00D5517F" w:rsidP="00D5517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5517F">
        <w:rPr>
          <w:rFonts w:eastAsia="Times New Roman"/>
          <w:color w:val="000000"/>
          <w:sz w:val="23"/>
          <w:szCs w:val="23"/>
          <w:lang w:eastAsia="en-AU"/>
        </w:rPr>
        <w:tab/>
        <w:t>(3)</w:t>
      </w:r>
      <w:r w:rsidRPr="00D5517F">
        <w:rPr>
          <w:rFonts w:eastAsia="Times New Roman"/>
          <w:color w:val="000000"/>
          <w:sz w:val="23"/>
          <w:szCs w:val="23"/>
          <w:lang w:eastAsia="en-AU"/>
        </w:rPr>
        <w:tab/>
        <w:t>Regulation 9—after subregulation (4) insert:</w:t>
      </w:r>
    </w:p>
    <w:p w:rsidR="00D5517F" w:rsidRPr="00D5517F" w:rsidRDefault="00D5517F" w:rsidP="00D5517F">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D5517F">
        <w:rPr>
          <w:rFonts w:eastAsia="Times New Roman"/>
          <w:color w:val="000000"/>
          <w:sz w:val="23"/>
          <w:szCs w:val="23"/>
          <w:lang w:eastAsia="en-AU"/>
        </w:rPr>
        <w:tab/>
        <w:t>(4a)</w:t>
      </w:r>
      <w:r w:rsidRPr="00D5517F">
        <w:rPr>
          <w:rFonts w:eastAsia="Times New Roman"/>
          <w:color w:val="000000"/>
          <w:sz w:val="23"/>
          <w:szCs w:val="23"/>
          <w:lang w:eastAsia="en-AU"/>
        </w:rPr>
        <w:tab/>
        <w:t>In determining whether to vary the conditions of a licence under subregulation (4)(ab) so as to increase the fishing nights entitlement under the licence for the prescribed period 2 (2022), the Minister must take into account—</w:t>
      </w:r>
    </w:p>
    <w:p w:rsidR="00D5517F" w:rsidRPr="00D5517F" w:rsidRDefault="00D5517F" w:rsidP="00D5517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5517F">
        <w:rPr>
          <w:rFonts w:eastAsia="Times New Roman"/>
          <w:color w:val="000000"/>
          <w:sz w:val="23"/>
          <w:szCs w:val="23"/>
          <w:lang w:eastAsia="en-AU"/>
        </w:rPr>
        <w:tab/>
        <w:t>(a)</w:t>
      </w:r>
      <w:r w:rsidRPr="00D5517F">
        <w:rPr>
          <w:rFonts w:eastAsia="Times New Roman"/>
          <w:color w:val="000000"/>
          <w:sz w:val="23"/>
          <w:szCs w:val="23"/>
          <w:lang w:eastAsia="en-AU"/>
        </w:rPr>
        <w:tab/>
        <w:t>the total nights of fishing undertaken by the holder of the licence during the prescribed period 2 (2021); and</w:t>
      </w:r>
    </w:p>
    <w:p w:rsidR="00D5517F" w:rsidRPr="00D5517F" w:rsidRDefault="00D5517F" w:rsidP="00D5517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5517F">
        <w:rPr>
          <w:rFonts w:eastAsia="Times New Roman"/>
          <w:color w:val="000000"/>
          <w:sz w:val="23"/>
          <w:szCs w:val="23"/>
          <w:lang w:eastAsia="en-AU"/>
        </w:rPr>
        <w:tab/>
        <w:t>(b)</w:t>
      </w:r>
      <w:r w:rsidRPr="00D5517F">
        <w:rPr>
          <w:rFonts w:eastAsia="Times New Roman"/>
          <w:color w:val="000000"/>
          <w:sz w:val="23"/>
          <w:szCs w:val="23"/>
          <w:lang w:eastAsia="en-AU"/>
        </w:rPr>
        <w:tab/>
        <w:t>any increase in the fishing nights entitlement under the licence for the prescribed period 2 (2021).</w:t>
      </w:r>
    </w:p>
    <w:p w:rsidR="00D5517F" w:rsidRPr="00D5517F" w:rsidRDefault="00D5517F" w:rsidP="00D5517F">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D5517F">
        <w:rPr>
          <w:rFonts w:eastAsia="Times New Roman"/>
          <w:b/>
          <w:bCs/>
          <w:color w:val="000000"/>
          <w:sz w:val="20"/>
          <w:szCs w:val="20"/>
          <w:lang w:eastAsia="en-AU"/>
        </w:rPr>
        <w:t>Note—</w:t>
      </w:r>
    </w:p>
    <w:p w:rsidR="00D5517F" w:rsidRPr="00D5517F" w:rsidRDefault="00D5517F" w:rsidP="00D5517F">
      <w:pPr>
        <w:keepLines/>
        <w:autoSpaceDE w:val="0"/>
        <w:autoSpaceDN w:val="0"/>
        <w:adjustRightInd w:val="0"/>
        <w:spacing w:before="120" w:after="0" w:line="240" w:lineRule="auto"/>
        <w:ind w:left="794"/>
        <w:jc w:val="left"/>
        <w:rPr>
          <w:rFonts w:eastAsia="Times New Roman"/>
          <w:color w:val="000000"/>
          <w:sz w:val="20"/>
          <w:szCs w:val="20"/>
          <w:lang w:eastAsia="en-AU"/>
        </w:rPr>
      </w:pPr>
      <w:r w:rsidRPr="00D5517F">
        <w:rPr>
          <w:rFonts w:eastAsia="Times New Roman"/>
          <w:color w:val="000000"/>
          <w:sz w:val="20"/>
          <w:szCs w:val="20"/>
          <w:lang w:eastAsia="en-AU"/>
        </w:rPr>
        <w:t xml:space="preserve">As required by section 10AA(2) of the </w:t>
      </w:r>
      <w:hyperlink r:id="rId61" w:history="1">
        <w:r w:rsidRPr="00D5517F">
          <w:rPr>
            <w:rFonts w:eastAsia="Times New Roman"/>
            <w:i/>
            <w:iCs/>
            <w:color w:val="000000"/>
            <w:sz w:val="20"/>
            <w:szCs w:val="20"/>
            <w:lang w:eastAsia="en-AU"/>
          </w:rPr>
          <w:t>Subordinate Legislation Act 1978</w:t>
        </w:r>
      </w:hyperlink>
      <w:r w:rsidRPr="00D5517F">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D5517F" w:rsidRPr="00D5517F" w:rsidRDefault="00D5517F" w:rsidP="00D5517F">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D5517F">
        <w:rPr>
          <w:rFonts w:eastAsia="Times New Roman"/>
          <w:b/>
          <w:bCs/>
          <w:color w:val="000000"/>
          <w:sz w:val="26"/>
          <w:szCs w:val="26"/>
          <w:lang w:eastAsia="en-AU"/>
        </w:rPr>
        <w:t>Made by the Governor</w:t>
      </w:r>
    </w:p>
    <w:p w:rsidR="00D5517F" w:rsidRPr="00D5517F" w:rsidRDefault="00D5517F" w:rsidP="00D5517F">
      <w:pPr>
        <w:keepNext/>
        <w:keepLines/>
        <w:autoSpaceDE w:val="0"/>
        <w:autoSpaceDN w:val="0"/>
        <w:adjustRightInd w:val="0"/>
        <w:spacing w:before="120" w:after="0" w:line="240" w:lineRule="auto"/>
        <w:jc w:val="left"/>
        <w:rPr>
          <w:rFonts w:eastAsia="Times New Roman"/>
          <w:color w:val="000000"/>
          <w:sz w:val="23"/>
          <w:szCs w:val="23"/>
          <w:lang w:eastAsia="en-AU"/>
        </w:rPr>
      </w:pPr>
      <w:r w:rsidRPr="00D5517F">
        <w:rPr>
          <w:rFonts w:eastAsia="Times New Roman"/>
          <w:color w:val="000000"/>
          <w:sz w:val="23"/>
          <w:szCs w:val="23"/>
          <w:lang w:eastAsia="en-AU"/>
        </w:rPr>
        <w:t>with the advice and consent of the Executive Council</w:t>
      </w:r>
    </w:p>
    <w:p w:rsidR="00D5517F" w:rsidRPr="00D5517F" w:rsidRDefault="00D5517F" w:rsidP="00D5517F">
      <w:pPr>
        <w:keepNext/>
        <w:keepLines/>
        <w:autoSpaceDE w:val="0"/>
        <w:autoSpaceDN w:val="0"/>
        <w:adjustRightInd w:val="0"/>
        <w:spacing w:after="0" w:line="240" w:lineRule="auto"/>
        <w:jc w:val="left"/>
        <w:rPr>
          <w:rFonts w:eastAsia="Times New Roman"/>
          <w:color w:val="000000"/>
          <w:sz w:val="23"/>
          <w:szCs w:val="23"/>
          <w:lang w:eastAsia="en-AU"/>
        </w:rPr>
      </w:pPr>
      <w:r w:rsidRPr="00D5517F">
        <w:rPr>
          <w:rFonts w:eastAsia="Times New Roman"/>
          <w:color w:val="000000"/>
          <w:sz w:val="23"/>
          <w:szCs w:val="23"/>
          <w:lang w:eastAsia="en-AU"/>
        </w:rPr>
        <w:t>on 17 December 2020</w:t>
      </w:r>
    </w:p>
    <w:p w:rsidR="00D5517F" w:rsidRDefault="00D5517F" w:rsidP="00D5517F">
      <w:pPr>
        <w:keepNext/>
        <w:keepLines/>
        <w:autoSpaceDE w:val="0"/>
        <w:autoSpaceDN w:val="0"/>
        <w:adjustRightInd w:val="0"/>
        <w:spacing w:before="120" w:line="240" w:lineRule="auto"/>
        <w:jc w:val="left"/>
        <w:rPr>
          <w:rFonts w:eastAsia="Times New Roman"/>
          <w:color w:val="000000"/>
          <w:sz w:val="23"/>
          <w:szCs w:val="23"/>
          <w:lang w:eastAsia="en-AU"/>
        </w:rPr>
      </w:pPr>
      <w:r w:rsidRPr="00D5517F">
        <w:rPr>
          <w:rFonts w:eastAsia="Times New Roman"/>
          <w:color w:val="000000"/>
          <w:sz w:val="23"/>
          <w:szCs w:val="23"/>
          <w:lang w:eastAsia="en-AU"/>
        </w:rPr>
        <w:t>No 323 of 2020</w:t>
      </w:r>
    </w:p>
    <w:p w:rsidR="00D5517F" w:rsidRDefault="00D5517F" w:rsidP="00D5517F">
      <w:pPr>
        <w:pBdr>
          <w:top w:val="single" w:sz="4" w:space="1" w:color="auto"/>
        </w:pBdr>
        <w:autoSpaceDE w:val="0"/>
        <w:autoSpaceDN w:val="0"/>
        <w:adjustRightInd w:val="0"/>
        <w:spacing w:before="100" w:after="0" w:line="14" w:lineRule="exact"/>
        <w:jc w:val="center"/>
        <w:rPr>
          <w:rFonts w:eastAsia="Times New Roman"/>
          <w:color w:val="000000"/>
          <w:sz w:val="23"/>
          <w:szCs w:val="23"/>
          <w:lang w:eastAsia="en-AU"/>
        </w:rPr>
      </w:pPr>
    </w:p>
    <w:p w:rsidR="00BC0AA3" w:rsidRDefault="00BC0AA3" w:rsidP="0016463B">
      <w:pPr>
        <w:pStyle w:val="GG-body"/>
      </w:pPr>
    </w:p>
    <w:p w:rsidR="00456FBE" w:rsidRDefault="00456FBE">
      <w:pPr>
        <w:spacing w:after="0" w:line="240" w:lineRule="auto"/>
        <w:jc w:val="left"/>
        <w:rPr>
          <w:rFonts w:eastAsia="Times New Roman"/>
          <w:szCs w:val="17"/>
        </w:rPr>
      </w:pPr>
      <w:r>
        <w:br w:type="page"/>
      </w:r>
    </w:p>
    <w:p w:rsidR="00907ED3" w:rsidRDefault="00907ED3" w:rsidP="00907ED3">
      <w:pPr>
        <w:pStyle w:val="RegSpace"/>
        <w:rPr>
          <w:lang w:eastAsia="en-AU"/>
        </w:rPr>
      </w:pPr>
    </w:p>
    <w:p w:rsidR="00907ED3" w:rsidRPr="00907ED3" w:rsidRDefault="00907ED3" w:rsidP="00907ED3">
      <w:pPr>
        <w:keepLines/>
        <w:autoSpaceDE w:val="0"/>
        <w:autoSpaceDN w:val="0"/>
        <w:adjustRightInd w:val="0"/>
        <w:spacing w:before="240" w:after="0" w:line="240" w:lineRule="auto"/>
        <w:jc w:val="left"/>
        <w:rPr>
          <w:rFonts w:eastAsia="Times New Roman"/>
          <w:color w:val="000000"/>
          <w:sz w:val="28"/>
          <w:szCs w:val="28"/>
          <w:lang w:eastAsia="en-AU"/>
        </w:rPr>
      </w:pPr>
      <w:r w:rsidRPr="00907ED3">
        <w:rPr>
          <w:rFonts w:eastAsia="Times New Roman"/>
          <w:color w:val="000000"/>
          <w:sz w:val="28"/>
          <w:szCs w:val="28"/>
          <w:lang w:eastAsia="en-AU"/>
        </w:rPr>
        <w:t>South Australia</w:t>
      </w:r>
    </w:p>
    <w:p w:rsidR="00907ED3" w:rsidRPr="00907ED3" w:rsidRDefault="00907ED3" w:rsidP="00046B75">
      <w:pPr>
        <w:pStyle w:val="Heading3"/>
        <w:rPr>
          <w:lang w:eastAsia="en-AU"/>
        </w:rPr>
      </w:pPr>
      <w:bookmarkStart w:id="99" w:name="_Toc59098942"/>
      <w:r w:rsidRPr="00907ED3">
        <w:rPr>
          <w:lang w:eastAsia="en-AU"/>
        </w:rPr>
        <w:t>Fisheries Management (Rock</w:t>
      </w:r>
      <w:r w:rsidR="003868F7">
        <w:rPr>
          <w:lang w:eastAsia="en-AU"/>
        </w:rPr>
        <w:t xml:space="preserve"> Lobster Fisheries) (Quota) (No </w:t>
      </w:r>
      <w:r w:rsidRPr="00907ED3">
        <w:rPr>
          <w:lang w:eastAsia="en-AU"/>
        </w:rPr>
        <w:t>3) Variation Regulations 2020</w:t>
      </w:r>
      <w:bookmarkEnd w:id="99"/>
    </w:p>
    <w:p w:rsidR="00907ED3" w:rsidRPr="00907ED3" w:rsidRDefault="00907ED3" w:rsidP="00907ED3">
      <w:pPr>
        <w:keepLines/>
        <w:autoSpaceDE w:val="0"/>
        <w:autoSpaceDN w:val="0"/>
        <w:adjustRightInd w:val="0"/>
        <w:spacing w:before="80" w:after="240" w:line="240" w:lineRule="auto"/>
        <w:jc w:val="left"/>
        <w:rPr>
          <w:rFonts w:eastAsia="Times New Roman"/>
          <w:color w:val="000000"/>
          <w:sz w:val="24"/>
          <w:szCs w:val="24"/>
          <w:lang w:eastAsia="en-AU"/>
        </w:rPr>
      </w:pPr>
      <w:r w:rsidRPr="00907ED3">
        <w:rPr>
          <w:rFonts w:eastAsia="Times New Roman"/>
          <w:color w:val="000000"/>
          <w:sz w:val="24"/>
          <w:szCs w:val="24"/>
          <w:lang w:eastAsia="en-AU"/>
        </w:rPr>
        <w:t xml:space="preserve">under the </w:t>
      </w:r>
      <w:r w:rsidRPr="00907ED3">
        <w:rPr>
          <w:rFonts w:eastAsia="Times New Roman"/>
          <w:i/>
          <w:iCs/>
          <w:color w:val="000000"/>
          <w:sz w:val="24"/>
          <w:szCs w:val="24"/>
          <w:lang w:eastAsia="en-AU"/>
        </w:rPr>
        <w:t>Fisheries Management Act 2007</w:t>
      </w:r>
    </w:p>
    <w:p w:rsidR="00907ED3" w:rsidRPr="00907ED3" w:rsidRDefault="00907ED3" w:rsidP="00907ED3">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907ED3" w:rsidRPr="00907ED3" w:rsidRDefault="00907ED3" w:rsidP="00907ED3">
      <w:pPr>
        <w:keepLines/>
        <w:autoSpaceDE w:val="0"/>
        <w:autoSpaceDN w:val="0"/>
        <w:adjustRightInd w:val="0"/>
        <w:spacing w:before="120" w:after="0" w:line="240" w:lineRule="auto"/>
        <w:jc w:val="left"/>
        <w:rPr>
          <w:rFonts w:eastAsia="Times New Roman"/>
          <w:b/>
          <w:bCs/>
          <w:color w:val="000000"/>
          <w:sz w:val="32"/>
          <w:szCs w:val="32"/>
          <w:lang w:eastAsia="en-AU"/>
        </w:rPr>
      </w:pPr>
      <w:r w:rsidRPr="00907ED3">
        <w:rPr>
          <w:rFonts w:eastAsia="Times New Roman"/>
          <w:b/>
          <w:bCs/>
          <w:color w:val="000000"/>
          <w:sz w:val="32"/>
          <w:szCs w:val="32"/>
          <w:lang w:eastAsia="en-AU"/>
        </w:rPr>
        <w:t>Contents</w:t>
      </w:r>
    </w:p>
    <w:p w:rsidR="00907ED3" w:rsidRPr="00907ED3" w:rsidRDefault="00607847" w:rsidP="00907ED3">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907ED3" w:rsidRPr="00907ED3">
          <w:rPr>
            <w:rFonts w:eastAsia="Times New Roman"/>
            <w:color w:val="000000"/>
            <w:sz w:val="28"/>
            <w:szCs w:val="28"/>
            <w:lang w:eastAsia="en-AU"/>
          </w:rPr>
          <w:t>Part 1—Preliminary</w:t>
        </w:r>
      </w:hyperlink>
    </w:p>
    <w:p w:rsidR="00907ED3" w:rsidRPr="00907ED3" w:rsidRDefault="00607847" w:rsidP="00907ED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907ED3" w:rsidRPr="00907ED3">
          <w:rPr>
            <w:rFonts w:eastAsia="Times New Roman"/>
            <w:color w:val="000000"/>
            <w:sz w:val="22"/>
            <w:lang w:eastAsia="en-AU"/>
          </w:rPr>
          <w:t>1</w:t>
        </w:r>
        <w:r w:rsidR="00907ED3" w:rsidRPr="00907ED3">
          <w:rPr>
            <w:rFonts w:eastAsia="Times New Roman"/>
            <w:color w:val="000000"/>
            <w:sz w:val="22"/>
            <w:lang w:eastAsia="en-AU"/>
          </w:rPr>
          <w:tab/>
          <w:t>Short title</w:t>
        </w:r>
      </w:hyperlink>
    </w:p>
    <w:p w:rsidR="00907ED3" w:rsidRPr="00907ED3" w:rsidRDefault="00607847" w:rsidP="00907ED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907ED3" w:rsidRPr="00907ED3">
          <w:rPr>
            <w:rFonts w:eastAsia="Times New Roman"/>
            <w:color w:val="000000"/>
            <w:sz w:val="22"/>
            <w:lang w:eastAsia="en-AU"/>
          </w:rPr>
          <w:t>2</w:t>
        </w:r>
        <w:r w:rsidR="00907ED3" w:rsidRPr="00907ED3">
          <w:rPr>
            <w:rFonts w:eastAsia="Times New Roman"/>
            <w:color w:val="000000"/>
            <w:sz w:val="22"/>
            <w:lang w:eastAsia="en-AU"/>
          </w:rPr>
          <w:tab/>
          <w:t>Commencement</w:t>
        </w:r>
      </w:hyperlink>
    </w:p>
    <w:p w:rsidR="00907ED3" w:rsidRPr="00907ED3" w:rsidRDefault="00607847" w:rsidP="00907ED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907ED3" w:rsidRPr="00907ED3">
          <w:rPr>
            <w:rFonts w:eastAsia="Times New Roman"/>
            <w:color w:val="000000"/>
            <w:sz w:val="22"/>
            <w:lang w:eastAsia="en-AU"/>
          </w:rPr>
          <w:t>3</w:t>
        </w:r>
        <w:r w:rsidR="00907ED3" w:rsidRPr="00907ED3">
          <w:rPr>
            <w:rFonts w:eastAsia="Times New Roman"/>
            <w:color w:val="000000"/>
            <w:sz w:val="22"/>
            <w:lang w:eastAsia="en-AU"/>
          </w:rPr>
          <w:tab/>
          <w:t>Variation provisions</w:t>
        </w:r>
      </w:hyperlink>
    </w:p>
    <w:p w:rsidR="00907ED3" w:rsidRPr="00907ED3" w:rsidRDefault="00607847" w:rsidP="00907ED3">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907ED3" w:rsidRPr="00907ED3">
          <w:rPr>
            <w:rFonts w:eastAsia="Times New Roman"/>
            <w:color w:val="000000"/>
            <w:sz w:val="28"/>
            <w:szCs w:val="28"/>
            <w:lang w:eastAsia="en-AU"/>
          </w:rPr>
          <w:t xml:space="preserve">Part 2—Variation of </w:t>
        </w:r>
        <w:r w:rsidR="00907ED3" w:rsidRPr="00907ED3">
          <w:rPr>
            <w:rFonts w:eastAsia="Times New Roman"/>
            <w:i/>
            <w:iCs/>
            <w:color w:val="000000"/>
            <w:sz w:val="28"/>
            <w:szCs w:val="28"/>
            <w:lang w:eastAsia="en-AU"/>
          </w:rPr>
          <w:t>Fisheries Management (Rock Lobster Fisheries) Regulations 2017</w:t>
        </w:r>
      </w:hyperlink>
    </w:p>
    <w:p w:rsidR="00907ED3" w:rsidRPr="00907ED3" w:rsidRDefault="00607847" w:rsidP="00907ED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907ED3" w:rsidRPr="00907ED3">
          <w:rPr>
            <w:rFonts w:eastAsia="Times New Roman"/>
            <w:color w:val="000000"/>
            <w:sz w:val="22"/>
            <w:lang w:eastAsia="en-AU"/>
          </w:rPr>
          <w:t>4</w:t>
        </w:r>
        <w:r w:rsidR="00907ED3" w:rsidRPr="00907ED3">
          <w:rPr>
            <w:rFonts w:eastAsia="Times New Roman"/>
            <w:color w:val="000000"/>
            <w:sz w:val="22"/>
            <w:lang w:eastAsia="en-AU"/>
          </w:rPr>
          <w:tab/>
          <w:t>Variation of regulation 15—Individual rock lobster catch quota system—Northern Zone</w:t>
        </w:r>
      </w:hyperlink>
    </w:p>
    <w:p w:rsidR="00907ED3" w:rsidRPr="00907ED3" w:rsidRDefault="00607847" w:rsidP="00907ED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00907ED3" w:rsidRPr="00907ED3">
          <w:rPr>
            <w:rFonts w:eastAsia="Times New Roman"/>
            <w:color w:val="000000"/>
            <w:sz w:val="22"/>
            <w:lang w:eastAsia="en-AU"/>
          </w:rPr>
          <w:t>5</w:t>
        </w:r>
        <w:r w:rsidR="00907ED3" w:rsidRPr="00907ED3">
          <w:rPr>
            <w:rFonts w:eastAsia="Times New Roman"/>
            <w:color w:val="000000"/>
            <w:sz w:val="22"/>
            <w:lang w:eastAsia="en-AU"/>
          </w:rPr>
          <w:tab/>
          <w:t>Variation of regulation 16—Individual rock lobster catch quota system—Southern Zone</w:t>
        </w:r>
      </w:hyperlink>
    </w:p>
    <w:p w:rsidR="00907ED3" w:rsidRPr="00907ED3" w:rsidRDefault="00907ED3" w:rsidP="00907ED3">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907ED3" w:rsidRPr="00907ED3" w:rsidRDefault="00907ED3" w:rsidP="00907ED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907ED3">
        <w:rPr>
          <w:rFonts w:eastAsia="Times New Roman"/>
          <w:b/>
          <w:bCs/>
          <w:color w:val="000000"/>
          <w:sz w:val="32"/>
          <w:szCs w:val="32"/>
          <w:lang w:eastAsia="en-AU"/>
        </w:rPr>
        <w:t>Part 1—Preliminary</w:t>
      </w:r>
    </w:p>
    <w:p w:rsidR="00907ED3" w:rsidRPr="00907ED3" w:rsidRDefault="00907ED3" w:rsidP="00907ED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07ED3">
        <w:rPr>
          <w:rFonts w:eastAsia="Times New Roman"/>
          <w:b/>
          <w:bCs/>
          <w:color w:val="000000"/>
          <w:sz w:val="26"/>
          <w:szCs w:val="26"/>
          <w:lang w:eastAsia="en-AU"/>
        </w:rPr>
        <w:t>1—Short title</w:t>
      </w:r>
    </w:p>
    <w:p w:rsidR="00907ED3" w:rsidRPr="00907ED3" w:rsidRDefault="00907ED3" w:rsidP="00907ED3">
      <w:pPr>
        <w:keepLines/>
        <w:autoSpaceDE w:val="0"/>
        <w:autoSpaceDN w:val="0"/>
        <w:adjustRightInd w:val="0"/>
        <w:spacing w:before="120" w:after="0" w:line="240" w:lineRule="auto"/>
        <w:ind w:left="794"/>
        <w:jc w:val="left"/>
        <w:rPr>
          <w:rFonts w:eastAsia="Times New Roman"/>
          <w:color w:val="000000"/>
          <w:sz w:val="23"/>
          <w:szCs w:val="23"/>
          <w:lang w:eastAsia="en-AU"/>
        </w:rPr>
      </w:pPr>
      <w:r w:rsidRPr="00907ED3">
        <w:rPr>
          <w:rFonts w:eastAsia="Times New Roman"/>
          <w:color w:val="000000"/>
          <w:sz w:val="23"/>
          <w:szCs w:val="23"/>
          <w:lang w:eastAsia="en-AU"/>
        </w:rPr>
        <w:t xml:space="preserve">These regulations may be cited as the </w:t>
      </w:r>
      <w:r w:rsidRPr="00907ED3">
        <w:rPr>
          <w:rFonts w:eastAsia="Times New Roman"/>
          <w:i/>
          <w:iCs/>
          <w:color w:val="000000"/>
          <w:sz w:val="23"/>
          <w:szCs w:val="23"/>
          <w:lang w:eastAsia="en-AU"/>
        </w:rPr>
        <w:t>Fisheries Management (Rock Lobster Fisheries) (Quota) (No 3) Variation Regulations 2020</w:t>
      </w:r>
      <w:r w:rsidRPr="00907ED3">
        <w:rPr>
          <w:rFonts w:eastAsia="Times New Roman"/>
          <w:color w:val="000000"/>
          <w:sz w:val="23"/>
          <w:szCs w:val="23"/>
          <w:lang w:eastAsia="en-AU"/>
        </w:rPr>
        <w:t>.</w:t>
      </w:r>
    </w:p>
    <w:p w:rsidR="00907ED3" w:rsidRPr="00907ED3" w:rsidRDefault="00907ED3" w:rsidP="00907ED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07ED3">
        <w:rPr>
          <w:rFonts w:eastAsia="Times New Roman"/>
          <w:b/>
          <w:bCs/>
          <w:color w:val="000000"/>
          <w:sz w:val="26"/>
          <w:szCs w:val="26"/>
          <w:lang w:eastAsia="en-AU"/>
        </w:rPr>
        <w:t>2—Commencement</w:t>
      </w:r>
    </w:p>
    <w:p w:rsidR="00907ED3" w:rsidRPr="00907ED3" w:rsidRDefault="00907ED3" w:rsidP="00907ED3">
      <w:pPr>
        <w:keepLines/>
        <w:autoSpaceDE w:val="0"/>
        <w:autoSpaceDN w:val="0"/>
        <w:adjustRightInd w:val="0"/>
        <w:spacing w:before="120" w:after="0" w:line="240" w:lineRule="auto"/>
        <w:ind w:left="794"/>
        <w:jc w:val="left"/>
        <w:rPr>
          <w:rFonts w:eastAsia="Times New Roman"/>
          <w:color w:val="000000"/>
          <w:sz w:val="23"/>
          <w:szCs w:val="23"/>
          <w:lang w:eastAsia="en-AU"/>
        </w:rPr>
      </w:pPr>
      <w:r w:rsidRPr="00907ED3">
        <w:rPr>
          <w:rFonts w:eastAsia="Times New Roman"/>
          <w:color w:val="000000"/>
          <w:sz w:val="23"/>
          <w:szCs w:val="23"/>
          <w:lang w:eastAsia="en-AU"/>
        </w:rPr>
        <w:t>These regulations come into operation on the day on which they are made.</w:t>
      </w:r>
    </w:p>
    <w:p w:rsidR="00907ED3" w:rsidRPr="00907ED3" w:rsidRDefault="00907ED3" w:rsidP="00907ED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07ED3">
        <w:rPr>
          <w:rFonts w:eastAsia="Times New Roman"/>
          <w:b/>
          <w:bCs/>
          <w:color w:val="000000"/>
          <w:sz w:val="26"/>
          <w:szCs w:val="26"/>
          <w:lang w:eastAsia="en-AU"/>
        </w:rPr>
        <w:t>3—Variation provisions</w:t>
      </w:r>
    </w:p>
    <w:p w:rsidR="00907ED3" w:rsidRPr="00907ED3" w:rsidRDefault="00907ED3" w:rsidP="00907ED3">
      <w:pPr>
        <w:keepLines/>
        <w:autoSpaceDE w:val="0"/>
        <w:autoSpaceDN w:val="0"/>
        <w:adjustRightInd w:val="0"/>
        <w:spacing w:before="120" w:after="0" w:line="240" w:lineRule="auto"/>
        <w:ind w:left="794"/>
        <w:jc w:val="left"/>
        <w:rPr>
          <w:rFonts w:eastAsia="Times New Roman"/>
          <w:color w:val="000000"/>
          <w:sz w:val="23"/>
          <w:szCs w:val="23"/>
          <w:lang w:eastAsia="en-AU"/>
        </w:rPr>
      </w:pPr>
      <w:r w:rsidRPr="00907ED3">
        <w:rPr>
          <w:rFonts w:eastAsia="Times New Roman"/>
          <w:color w:val="000000"/>
          <w:sz w:val="23"/>
          <w:szCs w:val="23"/>
          <w:lang w:eastAsia="en-AU"/>
        </w:rPr>
        <w:t>In these regulations, a provision under a heading referring to the variation of specified regulations varies the regulations so specified.</w:t>
      </w:r>
    </w:p>
    <w:p w:rsidR="00907ED3" w:rsidRPr="00907ED3" w:rsidRDefault="00907ED3" w:rsidP="00907ED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907ED3">
        <w:rPr>
          <w:rFonts w:eastAsia="Times New Roman"/>
          <w:b/>
          <w:bCs/>
          <w:color w:val="000000"/>
          <w:sz w:val="32"/>
          <w:szCs w:val="32"/>
          <w:lang w:eastAsia="en-AU"/>
        </w:rPr>
        <w:t xml:space="preserve">Part 2—Variation of </w:t>
      </w:r>
      <w:r w:rsidRPr="00907ED3">
        <w:rPr>
          <w:rFonts w:eastAsia="Times New Roman"/>
          <w:b/>
          <w:bCs/>
          <w:i/>
          <w:iCs/>
          <w:color w:val="000000"/>
          <w:sz w:val="32"/>
          <w:szCs w:val="32"/>
          <w:lang w:eastAsia="en-AU"/>
        </w:rPr>
        <w:t>Fisheries Management (Rock Lobster Fisheries) Regulations 2017</w:t>
      </w:r>
    </w:p>
    <w:p w:rsidR="00907ED3" w:rsidRPr="00907ED3" w:rsidRDefault="00907ED3" w:rsidP="00907ED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07ED3">
        <w:rPr>
          <w:rFonts w:eastAsia="Times New Roman"/>
          <w:b/>
          <w:bCs/>
          <w:color w:val="000000"/>
          <w:sz w:val="26"/>
          <w:szCs w:val="26"/>
          <w:lang w:eastAsia="en-AU"/>
        </w:rPr>
        <w:t>4—Variation of regulation 15—Individual rock lobster catch quota system—Northern Zone</w:t>
      </w:r>
    </w:p>
    <w:p w:rsidR="00907ED3" w:rsidRPr="00907ED3" w:rsidRDefault="00907ED3" w:rsidP="00907ED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07ED3">
        <w:rPr>
          <w:rFonts w:eastAsia="Times New Roman"/>
          <w:color w:val="000000"/>
          <w:sz w:val="23"/>
          <w:szCs w:val="23"/>
          <w:lang w:eastAsia="en-AU"/>
        </w:rPr>
        <w:tab/>
        <w:t>(1)</w:t>
      </w:r>
      <w:r w:rsidRPr="00907ED3">
        <w:rPr>
          <w:rFonts w:eastAsia="Times New Roman"/>
          <w:color w:val="000000"/>
          <w:sz w:val="23"/>
          <w:szCs w:val="23"/>
          <w:lang w:eastAsia="en-AU"/>
        </w:rPr>
        <w:tab/>
        <w:t xml:space="preserve">Regulation 15(1)—after the definition of </w:t>
      </w:r>
      <w:r w:rsidRPr="00907ED3">
        <w:rPr>
          <w:rFonts w:eastAsia="Times New Roman"/>
          <w:b/>
          <w:bCs/>
          <w:i/>
          <w:iCs/>
          <w:color w:val="000000"/>
          <w:sz w:val="23"/>
          <w:szCs w:val="23"/>
          <w:lang w:eastAsia="en-AU"/>
        </w:rPr>
        <w:t>quota period 2021</w:t>
      </w:r>
      <w:r w:rsidRPr="00907ED3">
        <w:rPr>
          <w:rFonts w:eastAsia="Times New Roman"/>
          <w:b/>
          <w:bCs/>
          <w:i/>
          <w:iCs/>
          <w:color w:val="000000"/>
          <w:sz w:val="23"/>
          <w:szCs w:val="23"/>
          <w:lang w:eastAsia="en-AU"/>
        </w:rPr>
        <w:noBreakHyphen/>
        <w:t>2022</w:t>
      </w:r>
      <w:r w:rsidRPr="00907ED3">
        <w:rPr>
          <w:rFonts w:eastAsia="Times New Roman"/>
          <w:color w:val="000000"/>
          <w:sz w:val="23"/>
          <w:szCs w:val="23"/>
          <w:lang w:eastAsia="en-AU"/>
        </w:rPr>
        <w:t xml:space="preserve"> insert:</w:t>
      </w:r>
    </w:p>
    <w:p w:rsidR="00907ED3" w:rsidRPr="00907ED3" w:rsidRDefault="00907ED3" w:rsidP="00907ED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907ED3">
        <w:rPr>
          <w:rFonts w:eastAsia="Times New Roman"/>
          <w:b/>
          <w:bCs/>
          <w:i/>
          <w:iCs/>
          <w:color w:val="000000"/>
          <w:sz w:val="23"/>
          <w:szCs w:val="23"/>
          <w:lang w:eastAsia="en-AU"/>
        </w:rPr>
        <w:t>quota period 2022</w:t>
      </w:r>
      <w:r w:rsidRPr="00907ED3">
        <w:rPr>
          <w:rFonts w:eastAsia="Times New Roman"/>
          <w:b/>
          <w:bCs/>
          <w:i/>
          <w:iCs/>
          <w:color w:val="000000"/>
          <w:sz w:val="23"/>
          <w:szCs w:val="23"/>
          <w:lang w:eastAsia="en-AU"/>
        </w:rPr>
        <w:noBreakHyphen/>
        <w:t>2023</w:t>
      </w:r>
      <w:r w:rsidRPr="00907ED3">
        <w:rPr>
          <w:rFonts w:eastAsia="Times New Roman"/>
          <w:color w:val="000000"/>
          <w:sz w:val="23"/>
          <w:szCs w:val="23"/>
          <w:lang w:eastAsia="en-AU"/>
        </w:rPr>
        <w:t xml:space="preserve"> means the quota period ending on 31 October 2023;</w:t>
      </w:r>
    </w:p>
    <w:p w:rsidR="00907ED3" w:rsidRPr="00907ED3" w:rsidRDefault="00907ED3" w:rsidP="00907ED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07ED3">
        <w:rPr>
          <w:rFonts w:eastAsia="Times New Roman"/>
          <w:color w:val="000000"/>
          <w:sz w:val="23"/>
          <w:szCs w:val="23"/>
          <w:lang w:eastAsia="en-AU"/>
        </w:rPr>
        <w:tab/>
        <w:t>(2)</w:t>
      </w:r>
      <w:r w:rsidRPr="00907ED3">
        <w:rPr>
          <w:rFonts w:eastAsia="Times New Roman"/>
          <w:color w:val="000000"/>
          <w:sz w:val="23"/>
          <w:szCs w:val="23"/>
          <w:lang w:eastAsia="en-AU"/>
        </w:rPr>
        <w:tab/>
        <w:t>Regulation 15(3)(ab)—delete "2019</w:t>
      </w:r>
      <w:r w:rsidRPr="00907ED3">
        <w:rPr>
          <w:rFonts w:eastAsia="Times New Roman"/>
          <w:color w:val="000000"/>
          <w:sz w:val="23"/>
          <w:szCs w:val="23"/>
          <w:lang w:eastAsia="en-AU"/>
        </w:rPr>
        <w:noBreakHyphen/>
        <w:t>2020 quota period" wherever occurring and substitute in each case:</w:t>
      </w:r>
    </w:p>
    <w:p w:rsidR="00907ED3" w:rsidRPr="00907ED3" w:rsidRDefault="00907ED3" w:rsidP="00907ED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907ED3">
        <w:rPr>
          <w:rFonts w:eastAsia="Times New Roman"/>
          <w:color w:val="000000"/>
          <w:sz w:val="23"/>
          <w:szCs w:val="23"/>
          <w:lang w:eastAsia="en-AU"/>
        </w:rPr>
        <w:t>quota period 2019</w:t>
      </w:r>
      <w:r w:rsidRPr="00907ED3">
        <w:rPr>
          <w:rFonts w:eastAsia="Times New Roman"/>
          <w:color w:val="000000"/>
          <w:sz w:val="23"/>
          <w:szCs w:val="23"/>
          <w:lang w:eastAsia="en-AU"/>
        </w:rPr>
        <w:noBreakHyphen/>
        <w:t>2020</w:t>
      </w:r>
    </w:p>
    <w:p w:rsidR="00AF561A" w:rsidRDefault="00AF561A">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rsidR="00907ED3" w:rsidRPr="00907ED3" w:rsidRDefault="00907ED3" w:rsidP="00907ED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07ED3">
        <w:rPr>
          <w:rFonts w:eastAsia="Times New Roman"/>
          <w:color w:val="000000"/>
          <w:sz w:val="23"/>
          <w:szCs w:val="23"/>
          <w:lang w:eastAsia="en-AU"/>
        </w:rPr>
        <w:lastRenderedPageBreak/>
        <w:tab/>
        <w:t>(3)</w:t>
      </w:r>
      <w:r w:rsidRPr="00907ED3">
        <w:rPr>
          <w:rFonts w:eastAsia="Times New Roman"/>
          <w:color w:val="000000"/>
          <w:sz w:val="23"/>
          <w:szCs w:val="23"/>
          <w:lang w:eastAsia="en-AU"/>
        </w:rPr>
        <w:tab/>
        <w:t>Regulation 15(3)(ab)—delete "rock lobster entitlement" and substitute:</w:t>
      </w:r>
    </w:p>
    <w:p w:rsidR="00907ED3" w:rsidRPr="00907ED3" w:rsidRDefault="00907ED3" w:rsidP="00907ED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907ED3">
        <w:rPr>
          <w:rFonts w:eastAsia="Times New Roman"/>
          <w:color w:val="000000"/>
          <w:sz w:val="23"/>
          <w:szCs w:val="23"/>
          <w:lang w:eastAsia="en-AU"/>
        </w:rPr>
        <w:t>rock lobster quota entitlement</w:t>
      </w:r>
    </w:p>
    <w:p w:rsidR="00907ED3" w:rsidRPr="00907ED3" w:rsidRDefault="00907ED3" w:rsidP="00907ED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07ED3">
        <w:rPr>
          <w:rFonts w:eastAsia="Times New Roman"/>
          <w:color w:val="000000"/>
          <w:sz w:val="23"/>
          <w:szCs w:val="23"/>
          <w:lang w:eastAsia="en-AU"/>
        </w:rPr>
        <w:tab/>
        <w:t>(4)</w:t>
      </w:r>
      <w:r w:rsidRPr="00907ED3">
        <w:rPr>
          <w:rFonts w:eastAsia="Times New Roman"/>
          <w:color w:val="000000"/>
          <w:sz w:val="23"/>
          <w:szCs w:val="23"/>
          <w:lang w:eastAsia="en-AU"/>
        </w:rPr>
        <w:tab/>
        <w:t>Regulation 15(3)—after paragraph (ab) insert:</w:t>
      </w:r>
    </w:p>
    <w:p w:rsidR="00907ED3" w:rsidRPr="00907ED3" w:rsidRDefault="00907ED3" w:rsidP="00907ED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07ED3">
        <w:rPr>
          <w:rFonts w:eastAsia="Times New Roman"/>
          <w:color w:val="000000"/>
          <w:sz w:val="23"/>
          <w:szCs w:val="23"/>
          <w:lang w:eastAsia="en-AU"/>
        </w:rPr>
        <w:tab/>
        <w:t>(ac)</w:t>
      </w:r>
      <w:r w:rsidRPr="00907ED3">
        <w:rPr>
          <w:rFonts w:eastAsia="Times New Roman"/>
          <w:color w:val="000000"/>
          <w:sz w:val="23"/>
          <w:szCs w:val="23"/>
          <w:lang w:eastAsia="en-AU"/>
        </w:rPr>
        <w:tab/>
        <w:t>if the total catch of rock lobster taken by the holder of a licence in a particular Northern Zone Region during the quota period 2020</w:t>
      </w:r>
      <w:r w:rsidRPr="00907ED3">
        <w:rPr>
          <w:rFonts w:eastAsia="Times New Roman"/>
          <w:color w:val="000000"/>
          <w:sz w:val="23"/>
          <w:szCs w:val="23"/>
          <w:lang w:eastAsia="en-AU"/>
        </w:rPr>
        <w:noBreakHyphen/>
        <w:t>2021 is less than the rock lobster quota entitlement under the licence for that Region and that quota period, the Minister may vary the conditions of the licence so as to increase the quota entitlement in respect of that Region for the quota periods 2021</w:t>
      </w:r>
      <w:r w:rsidRPr="00907ED3">
        <w:rPr>
          <w:rFonts w:eastAsia="Times New Roman"/>
          <w:color w:val="000000"/>
          <w:sz w:val="23"/>
          <w:szCs w:val="23"/>
          <w:lang w:eastAsia="en-AU"/>
        </w:rPr>
        <w:noBreakHyphen/>
        <w:t>2022 and 2022</w:t>
      </w:r>
      <w:r w:rsidRPr="00907ED3">
        <w:rPr>
          <w:rFonts w:eastAsia="Times New Roman"/>
          <w:color w:val="000000"/>
          <w:sz w:val="23"/>
          <w:szCs w:val="23"/>
          <w:lang w:eastAsia="en-AU"/>
        </w:rPr>
        <w:noBreakHyphen/>
        <w:t>2023 by up to 1 kilogram of rock lobster for each kilogram by which the catch fell short of the rock lobster quota entitlement under the licence for the quota period 2020</w:t>
      </w:r>
      <w:r w:rsidRPr="00907ED3">
        <w:rPr>
          <w:rFonts w:eastAsia="Times New Roman"/>
          <w:color w:val="000000"/>
          <w:sz w:val="23"/>
          <w:szCs w:val="23"/>
          <w:lang w:eastAsia="en-AU"/>
        </w:rPr>
        <w:noBreakHyphen/>
        <w:t>2021;</w:t>
      </w:r>
    </w:p>
    <w:p w:rsidR="00907ED3" w:rsidRPr="00907ED3" w:rsidRDefault="00907ED3" w:rsidP="00907ED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07ED3">
        <w:rPr>
          <w:rFonts w:eastAsia="Times New Roman"/>
          <w:color w:val="000000"/>
          <w:sz w:val="23"/>
          <w:szCs w:val="23"/>
          <w:lang w:eastAsia="en-AU"/>
        </w:rPr>
        <w:tab/>
        <w:t>(5)</w:t>
      </w:r>
      <w:r w:rsidRPr="00907ED3">
        <w:rPr>
          <w:rFonts w:eastAsia="Times New Roman"/>
          <w:color w:val="000000"/>
          <w:sz w:val="23"/>
          <w:szCs w:val="23"/>
          <w:lang w:eastAsia="en-AU"/>
        </w:rPr>
        <w:tab/>
        <w:t>Regulation 15(3a)—delete "rock lobster entitlement" and substitute:</w:t>
      </w:r>
    </w:p>
    <w:p w:rsidR="00907ED3" w:rsidRPr="00907ED3" w:rsidRDefault="00907ED3" w:rsidP="00907ED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907ED3">
        <w:rPr>
          <w:rFonts w:eastAsia="Times New Roman"/>
          <w:color w:val="000000"/>
          <w:sz w:val="23"/>
          <w:szCs w:val="23"/>
          <w:lang w:eastAsia="en-AU"/>
        </w:rPr>
        <w:t>rock lobster quota entitlement</w:t>
      </w:r>
    </w:p>
    <w:p w:rsidR="00907ED3" w:rsidRPr="00907ED3" w:rsidRDefault="00907ED3" w:rsidP="00907ED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07ED3">
        <w:rPr>
          <w:rFonts w:eastAsia="Times New Roman"/>
          <w:color w:val="000000"/>
          <w:sz w:val="23"/>
          <w:szCs w:val="23"/>
          <w:lang w:eastAsia="en-AU"/>
        </w:rPr>
        <w:tab/>
        <w:t>(6)</w:t>
      </w:r>
      <w:r w:rsidRPr="00907ED3">
        <w:rPr>
          <w:rFonts w:eastAsia="Times New Roman"/>
          <w:color w:val="000000"/>
          <w:sz w:val="23"/>
          <w:szCs w:val="23"/>
          <w:lang w:eastAsia="en-AU"/>
        </w:rPr>
        <w:tab/>
        <w:t>Regulation 15(3a)—delete "2021</w:t>
      </w:r>
      <w:r w:rsidRPr="00907ED3">
        <w:rPr>
          <w:rFonts w:eastAsia="Times New Roman"/>
          <w:color w:val="000000"/>
          <w:sz w:val="23"/>
          <w:szCs w:val="23"/>
          <w:lang w:eastAsia="en-AU"/>
        </w:rPr>
        <w:noBreakHyphen/>
        <w:t>2022 quota period" and substitute:</w:t>
      </w:r>
    </w:p>
    <w:p w:rsidR="00907ED3" w:rsidRPr="00907ED3" w:rsidRDefault="00907ED3" w:rsidP="00907ED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907ED3">
        <w:rPr>
          <w:rFonts w:eastAsia="Times New Roman"/>
          <w:color w:val="000000"/>
          <w:sz w:val="23"/>
          <w:szCs w:val="23"/>
          <w:lang w:eastAsia="en-AU"/>
        </w:rPr>
        <w:t>quota period 2021</w:t>
      </w:r>
      <w:r w:rsidRPr="00907ED3">
        <w:rPr>
          <w:rFonts w:eastAsia="Times New Roman"/>
          <w:color w:val="000000"/>
          <w:sz w:val="23"/>
          <w:szCs w:val="23"/>
          <w:lang w:eastAsia="en-AU"/>
        </w:rPr>
        <w:noBreakHyphen/>
        <w:t>2022</w:t>
      </w:r>
    </w:p>
    <w:p w:rsidR="00907ED3" w:rsidRPr="00907ED3" w:rsidRDefault="00907ED3" w:rsidP="00907ED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07ED3">
        <w:rPr>
          <w:rFonts w:eastAsia="Times New Roman"/>
          <w:color w:val="000000"/>
          <w:sz w:val="23"/>
          <w:szCs w:val="23"/>
          <w:lang w:eastAsia="en-AU"/>
        </w:rPr>
        <w:tab/>
        <w:t>(7)</w:t>
      </w:r>
      <w:r w:rsidRPr="00907ED3">
        <w:rPr>
          <w:rFonts w:eastAsia="Times New Roman"/>
          <w:color w:val="000000"/>
          <w:sz w:val="23"/>
          <w:szCs w:val="23"/>
          <w:lang w:eastAsia="en-AU"/>
        </w:rPr>
        <w:tab/>
        <w:t>Regulation 15(3a)—delete "2020</w:t>
      </w:r>
      <w:r w:rsidRPr="00907ED3">
        <w:rPr>
          <w:rFonts w:eastAsia="Times New Roman"/>
          <w:color w:val="000000"/>
          <w:sz w:val="23"/>
          <w:szCs w:val="23"/>
          <w:lang w:eastAsia="en-AU"/>
        </w:rPr>
        <w:noBreakHyphen/>
        <w:t>2021 quota period" wherever occurring and substitute in each case:</w:t>
      </w:r>
    </w:p>
    <w:p w:rsidR="00907ED3" w:rsidRPr="00907ED3" w:rsidRDefault="00907ED3" w:rsidP="00907ED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907ED3">
        <w:rPr>
          <w:rFonts w:eastAsia="Times New Roman"/>
          <w:color w:val="000000"/>
          <w:sz w:val="23"/>
          <w:szCs w:val="23"/>
          <w:lang w:eastAsia="en-AU"/>
        </w:rPr>
        <w:t>quota period 2020</w:t>
      </w:r>
      <w:r w:rsidRPr="00907ED3">
        <w:rPr>
          <w:rFonts w:eastAsia="Times New Roman"/>
          <w:color w:val="000000"/>
          <w:sz w:val="23"/>
          <w:szCs w:val="23"/>
          <w:lang w:eastAsia="en-AU"/>
        </w:rPr>
        <w:noBreakHyphen/>
        <w:t>2021</w:t>
      </w:r>
    </w:p>
    <w:p w:rsidR="00907ED3" w:rsidRPr="00907ED3" w:rsidRDefault="00907ED3" w:rsidP="00907ED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07ED3">
        <w:rPr>
          <w:rFonts w:eastAsia="Times New Roman"/>
          <w:color w:val="000000"/>
          <w:sz w:val="23"/>
          <w:szCs w:val="23"/>
          <w:lang w:eastAsia="en-AU"/>
        </w:rPr>
        <w:tab/>
        <w:t>(8)</w:t>
      </w:r>
      <w:r w:rsidRPr="00907ED3">
        <w:rPr>
          <w:rFonts w:eastAsia="Times New Roman"/>
          <w:color w:val="000000"/>
          <w:sz w:val="23"/>
          <w:szCs w:val="23"/>
          <w:lang w:eastAsia="en-AU"/>
        </w:rPr>
        <w:tab/>
        <w:t>Regulation 15—after subregulation (3a) insert:</w:t>
      </w:r>
    </w:p>
    <w:p w:rsidR="00907ED3" w:rsidRPr="00907ED3" w:rsidRDefault="00907ED3" w:rsidP="00907ED3">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07ED3">
        <w:rPr>
          <w:rFonts w:eastAsia="Times New Roman"/>
          <w:color w:val="000000"/>
          <w:sz w:val="23"/>
          <w:szCs w:val="23"/>
          <w:lang w:eastAsia="en-AU"/>
        </w:rPr>
        <w:tab/>
        <w:t>(3b)</w:t>
      </w:r>
      <w:r w:rsidRPr="00907ED3">
        <w:rPr>
          <w:rFonts w:eastAsia="Times New Roman"/>
          <w:color w:val="000000"/>
          <w:sz w:val="23"/>
          <w:szCs w:val="23"/>
          <w:lang w:eastAsia="en-AU"/>
        </w:rPr>
        <w:tab/>
        <w:t>In determining whether to vary the conditions of a licence under subregulation (3)(ac) so as to increase the rock lobster quota entitlement under the licence for a particular Northern Zone Region and the quota period 2022</w:t>
      </w:r>
      <w:r w:rsidRPr="00907ED3">
        <w:rPr>
          <w:rFonts w:eastAsia="Times New Roman"/>
          <w:color w:val="000000"/>
          <w:sz w:val="23"/>
          <w:szCs w:val="23"/>
          <w:lang w:eastAsia="en-AU"/>
        </w:rPr>
        <w:noBreakHyphen/>
        <w:t>2023, the Minister must take into account—</w:t>
      </w:r>
    </w:p>
    <w:p w:rsidR="00907ED3" w:rsidRPr="00907ED3" w:rsidRDefault="00907ED3" w:rsidP="00907ED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07ED3">
        <w:rPr>
          <w:rFonts w:eastAsia="Times New Roman"/>
          <w:color w:val="000000"/>
          <w:sz w:val="23"/>
          <w:szCs w:val="23"/>
          <w:lang w:eastAsia="en-AU"/>
        </w:rPr>
        <w:tab/>
        <w:t>(a)</w:t>
      </w:r>
      <w:r w:rsidRPr="00907ED3">
        <w:rPr>
          <w:rFonts w:eastAsia="Times New Roman"/>
          <w:color w:val="000000"/>
          <w:sz w:val="23"/>
          <w:szCs w:val="23"/>
          <w:lang w:eastAsia="en-AU"/>
        </w:rPr>
        <w:tab/>
        <w:t>the total catch of rock lobster taken by the holder of the licence in that Region during the quota period 2021</w:t>
      </w:r>
      <w:r w:rsidRPr="00907ED3">
        <w:rPr>
          <w:rFonts w:eastAsia="Times New Roman"/>
          <w:color w:val="000000"/>
          <w:sz w:val="23"/>
          <w:szCs w:val="23"/>
          <w:lang w:eastAsia="en-AU"/>
        </w:rPr>
        <w:noBreakHyphen/>
        <w:t>2022; and</w:t>
      </w:r>
    </w:p>
    <w:p w:rsidR="00907ED3" w:rsidRPr="00907ED3" w:rsidRDefault="00907ED3" w:rsidP="00907ED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07ED3">
        <w:rPr>
          <w:rFonts w:eastAsia="Times New Roman"/>
          <w:color w:val="000000"/>
          <w:sz w:val="23"/>
          <w:szCs w:val="23"/>
          <w:lang w:eastAsia="en-AU"/>
        </w:rPr>
        <w:tab/>
        <w:t>(b)</w:t>
      </w:r>
      <w:r w:rsidRPr="00907ED3">
        <w:rPr>
          <w:rFonts w:eastAsia="Times New Roman"/>
          <w:color w:val="000000"/>
          <w:sz w:val="23"/>
          <w:szCs w:val="23"/>
          <w:lang w:eastAsia="en-AU"/>
        </w:rPr>
        <w:tab/>
        <w:t>any increase in the rock lobster quota entitlement under that licence in respect of that Region for the quota period 2021</w:t>
      </w:r>
      <w:r w:rsidRPr="00907ED3">
        <w:rPr>
          <w:rFonts w:eastAsia="Times New Roman"/>
          <w:color w:val="000000"/>
          <w:sz w:val="23"/>
          <w:szCs w:val="23"/>
          <w:lang w:eastAsia="en-AU"/>
        </w:rPr>
        <w:noBreakHyphen/>
        <w:t>2022.</w:t>
      </w:r>
    </w:p>
    <w:p w:rsidR="00907ED3" w:rsidRPr="00907ED3" w:rsidRDefault="00907ED3" w:rsidP="00907ED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07ED3">
        <w:rPr>
          <w:rFonts w:eastAsia="Times New Roman"/>
          <w:b/>
          <w:bCs/>
          <w:color w:val="000000"/>
          <w:sz w:val="26"/>
          <w:szCs w:val="26"/>
          <w:lang w:eastAsia="en-AU"/>
        </w:rPr>
        <w:t>5—Variation of regulation 16—Individual rock lobster catch quota system—Southern Zone</w:t>
      </w:r>
    </w:p>
    <w:p w:rsidR="00907ED3" w:rsidRPr="00907ED3" w:rsidRDefault="00907ED3" w:rsidP="00907ED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07ED3">
        <w:rPr>
          <w:rFonts w:eastAsia="Times New Roman"/>
          <w:color w:val="000000"/>
          <w:sz w:val="23"/>
          <w:szCs w:val="23"/>
          <w:lang w:eastAsia="en-AU"/>
        </w:rPr>
        <w:tab/>
        <w:t>(1)</w:t>
      </w:r>
      <w:r w:rsidRPr="00907ED3">
        <w:rPr>
          <w:rFonts w:eastAsia="Times New Roman"/>
          <w:color w:val="000000"/>
          <w:sz w:val="23"/>
          <w:szCs w:val="23"/>
          <w:lang w:eastAsia="en-AU"/>
        </w:rPr>
        <w:tab/>
        <w:t xml:space="preserve">Regulation 16(1), definition of </w:t>
      </w:r>
      <w:r w:rsidRPr="00907ED3">
        <w:rPr>
          <w:rFonts w:eastAsia="Times New Roman"/>
          <w:b/>
          <w:bCs/>
          <w:i/>
          <w:iCs/>
          <w:color w:val="000000"/>
          <w:sz w:val="23"/>
          <w:szCs w:val="23"/>
          <w:lang w:eastAsia="en-AU"/>
        </w:rPr>
        <w:t>quota period</w:t>
      </w:r>
      <w:r w:rsidRPr="00907ED3">
        <w:rPr>
          <w:rFonts w:eastAsia="Times New Roman"/>
          <w:color w:val="000000"/>
          <w:sz w:val="23"/>
          <w:szCs w:val="23"/>
          <w:lang w:eastAsia="en-AU"/>
        </w:rPr>
        <w:t>, paragraph (b)—delete "30 September" and substitute:</w:t>
      </w:r>
    </w:p>
    <w:p w:rsidR="00907ED3" w:rsidRPr="00907ED3" w:rsidRDefault="00907ED3" w:rsidP="00907ED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907ED3">
        <w:rPr>
          <w:rFonts w:eastAsia="Times New Roman"/>
          <w:color w:val="000000"/>
          <w:sz w:val="23"/>
          <w:szCs w:val="23"/>
          <w:lang w:eastAsia="en-AU"/>
        </w:rPr>
        <w:t>14 September</w:t>
      </w:r>
    </w:p>
    <w:p w:rsidR="00907ED3" w:rsidRPr="00907ED3" w:rsidRDefault="00907ED3" w:rsidP="00907ED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07ED3">
        <w:rPr>
          <w:rFonts w:eastAsia="Times New Roman"/>
          <w:color w:val="000000"/>
          <w:sz w:val="23"/>
          <w:szCs w:val="23"/>
          <w:lang w:eastAsia="en-AU"/>
        </w:rPr>
        <w:tab/>
        <w:t>(2)</w:t>
      </w:r>
      <w:r w:rsidRPr="00907ED3">
        <w:rPr>
          <w:rFonts w:eastAsia="Times New Roman"/>
          <w:color w:val="000000"/>
          <w:sz w:val="23"/>
          <w:szCs w:val="23"/>
          <w:lang w:eastAsia="en-AU"/>
        </w:rPr>
        <w:tab/>
        <w:t xml:space="preserve">Regulation 16(1), definition of </w:t>
      </w:r>
      <w:r w:rsidRPr="00907ED3">
        <w:rPr>
          <w:rFonts w:eastAsia="Times New Roman"/>
          <w:b/>
          <w:bCs/>
          <w:i/>
          <w:iCs/>
          <w:color w:val="000000"/>
          <w:sz w:val="23"/>
          <w:szCs w:val="23"/>
          <w:lang w:eastAsia="en-AU"/>
        </w:rPr>
        <w:t>quota period</w:t>
      </w:r>
      <w:r w:rsidRPr="00907ED3">
        <w:rPr>
          <w:rFonts w:eastAsia="Times New Roman"/>
          <w:color w:val="000000"/>
          <w:sz w:val="23"/>
          <w:szCs w:val="23"/>
          <w:lang w:eastAsia="en-AU"/>
        </w:rPr>
        <w:t>, paragraph (c)—delete the paragraph and substitute:</w:t>
      </w:r>
    </w:p>
    <w:p w:rsidR="00907ED3" w:rsidRPr="00907ED3" w:rsidRDefault="00907ED3" w:rsidP="00907ED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07ED3">
        <w:rPr>
          <w:rFonts w:eastAsia="Times New Roman"/>
          <w:color w:val="000000"/>
          <w:sz w:val="23"/>
          <w:szCs w:val="23"/>
          <w:lang w:eastAsia="en-AU"/>
        </w:rPr>
        <w:tab/>
        <w:t>(c)</w:t>
      </w:r>
      <w:r w:rsidRPr="00907ED3">
        <w:rPr>
          <w:rFonts w:eastAsia="Times New Roman"/>
          <w:color w:val="000000"/>
          <w:sz w:val="23"/>
          <w:szCs w:val="23"/>
          <w:lang w:eastAsia="en-AU"/>
        </w:rPr>
        <w:tab/>
        <w:t>the period commencing on 15 September 2021 and ending on 30 September 2022; or</w:t>
      </w:r>
    </w:p>
    <w:p w:rsidR="00907ED3" w:rsidRPr="00907ED3" w:rsidRDefault="00907ED3" w:rsidP="00907ED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07ED3">
        <w:rPr>
          <w:rFonts w:eastAsia="Times New Roman"/>
          <w:color w:val="000000"/>
          <w:sz w:val="23"/>
          <w:szCs w:val="23"/>
          <w:lang w:eastAsia="en-AU"/>
        </w:rPr>
        <w:tab/>
        <w:t>(d)</w:t>
      </w:r>
      <w:r w:rsidRPr="00907ED3">
        <w:rPr>
          <w:rFonts w:eastAsia="Times New Roman"/>
          <w:color w:val="000000"/>
          <w:sz w:val="23"/>
          <w:szCs w:val="23"/>
          <w:lang w:eastAsia="en-AU"/>
        </w:rPr>
        <w:tab/>
        <w:t>the period of 12 months commencing on 1 October 2022 or on 1 October in any subsequent year;</w:t>
      </w:r>
    </w:p>
    <w:p w:rsidR="00AF561A" w:rsidRDefault="00AF561A">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rsidR="00907ED3" w:rsidRPr="00907ED3" w:rsidRDefault="00907ED3" w:rsidP="00907ED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07ED3">
        <w:rPr>
          <w:rFonts w:eastAsia="Times New Roman"/>
          <w:color w:val="000000"/>
          <w:sz w:val="23"/>
          <w:szCs w:val="23"/>
          <w:lang w:eastAsia="en-AU"/>
        </w:rPr>
        <w:lastRenderedPageBreak/>
        <w:tab/>
        <w:t>(3)</w:t>
      </w:r>
      <w:r w:rsidRPr="00907ED3">
        <w:rPr>
          <w:rFonts w:eastAsia="Times New Roman"/>
          <w:color w:val="000000"/>
          <w:sz w:val="23"/>
          <w:szCs w:val="23"/>
          <w:lang w:eastAsia="en-AU"/>
        </w:rPr>
        <w:tab/>
        <w:t xml:space="preserve">Regulation 16(1), definition of </w:t>
      </w:r>
      <w:r w:rsidRPr="00907ED3">
        <w:rPr>
          <w:rFonts w:eastAsia="Times New Roman"/>
          <w:b/>
          <w:bCs/>
          <w:i/>
          <w:iCs/>
          <w:color w:val="000000"/>
          <w:sz w:val="23"/>
          <w:szCs w:val="23"/>
          <w:lang w:eastAsia="en-AU"/>
        </w:rPr>
        <w:t>quota period 2020</w:t>
      </w:r>
      <w:r w:rsidRPr="00907ED3">
        <w:rPr>
          <w:rFonts w:eastAsia="Times New Roman"/>
          <w:b/>
          <w:bCs/>
          <w:i/>
          <w:iCs/>
          <w:color w:val="000000"/>
          <w:sz w:val="23"/>
          <w:szCs w:val="23"/>
          <w:lang w:eastAsia="en-AU"/>
        </w:rPr>
        <w:noBreakHyphen/>
        <w:t>2021</w:t>
      </w:r>
      <w:r w:rsidRPr="00907ED3">
        <w:rPr>
          <w:rFonts w:eastAsia="Times New Roman"/>
          <w:color w:val="000000"/>
          <w:sz w:val="23"/>
          <w:szCs w:val="23"/>
          <w:lang w:eastAsia="en-AU"/>
        </w:rPr>
        <w:t>—delete "30 September" and substitute:</w:t>
      </w:r>
    </w:p>
    <w:p w:rsidR="00907ED3" w:rsidRPr="00907ED3" w:rsidRDefault="00907ED3" w:rsidP="00907ED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907ED3">
        <w:rPr>
          <w:rFonts w:eastAsia="Times New Roman"/>
          <w:color w:val="000000"/>
          <w:sz w:val="23"/>
          <w:szCs w:val="23"/>
          <w:lang w:eastAsia="en-AU"/>
        </w:rPr>
        <w:t>14 September</w:t>
      </w:r>
    </w:p>
    <w:p w:rsidR="00907ED3" w:rsidRPr="00907ED3" w:rsidRDefault="00907ED3" w:rsidP="00907ED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07ED3">
        <w:rPr>
          <w:rFonts w:eastAsia="Times New Roman"/>
          <w:color w:val="000000"/>
          <w:sz w:val="23"/>
          <w:szCs w:val="23"/>
          <w:lang w:eastAsia="en-AU"/>
        </w:rPr>
        <w:tab/>
        <w:t>(4)</w:t>
      </w:r>
      <w:r w:rsidRPr="00907ED3">
        <w:rPr>
          <w:rFonts w:eastAsia="Times New Roman"/>
          <w:color w:val="000000"/>
          <w:sz w:val="23"/>
          <w:szCs w:val="23"/>
          <w:lang w:eastAsia="en-AU"/>
        </w:rPr>
        <w:tab/>
        <w:t xml:space="preserve">Regulation 16(1)—after the definition of </w:t>
      </w:r>
      <w:r w:rsidRPr="00907ED3">
        <w:rPr>
          <w:rFonts w:eastAsia="Times New Roman"/>
          <w:b/>
          <w:bCs/>
          <w:i/>
          <w:iCs/>
          <w:color w:val="000000"/>
          <w:sz w:val="23"/>
          <w:szCs w:val="23"/>
          <w:lang w:eastAsia="en-AU"/>
        </w:rPr>
        <w:t>quota period 2020</w:t>
      </w:r>
      <w:r w:rsidRPr="00907ED3">
        <w:rPr>
          <w:rFonts w:eastAsia="Times New Roman"/>
          <w:b/>
          <w:bCs/>
          <w:i/>
          <w:iCs/>
          <w:color w:val="000000"/>
          <w:sz w:val="23"/>
          <w:szCs w:val="23"/>
          <w:lang w:eastAsia="en-AU"/>
        </w:rPr>
        <w:noBreakHyphen/>
        <w:t>2021</w:t>
      </w:r>
      <w:r w:rsidRPr="00907ED3">
        <w:rPr>
          <w:rFonts w:eastAsia="Times New Roman"/>
          <w:color w:val="000000"/>
          <w:sz w:val="23"/>
          <w:szCs w:val="23"/>
          <w:lang w:eastAsia="en-AU"/>
        </w:rPr>
        <w:t xml:space="preserve"> insert:</w:t>
      </w:r>
    </w:p>
    <w:p w:rsidR="00907ED3" w:rsidRPr="00907ED3" w:rsidRDefault="00907ED3" w:rsidP="00907ED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907ED3">
        <w:rPr>
          <w:rFonts w:eastAsia="Times New Roman"/>
          <w:b/>
          <w:bCs/>
          <w:i/>
          <w:iCs/>
          <w:color w:val="000000"/>
          <w:sz w:val="23"/>
          <w:szCs w:val="23"/>
          <w:lang w:eastAsia="en-AU"/>
        </w:rPr>
        <w:t>quota period 2021</w:t>
      </w:r>
      <w:r w:rsidRPr="00907ED3">
        <w:rPr>
          <w:rFonts w:eastAsia="Times New Roman"/>
          <w:b/>
          <w:bCs/>
          <w:i/>
          <w:iCs/>
          <w:color w:val="000000"/>
          <w:sz w:val="23"/>
          <w:szCs w:val="23"/>
          <w:lang w:eastAsia="en-AU"/>
        </w:rPr>
        <w:noBreakHyphen/>
        <w:t>2022</w:t>
      </w:r>
      <w:r w:rsidRPr="00907ED3">
        <w:rPr>
          <w:rFonts w:eastAsia="Times New Roman"/>
          <w:color w:val="000000"/>
          <w:sz w:val="23"/>
          <w:szCs w:val="23"/>
          <w:lang w:eastAsia="en-AU"/>
        </w:rPr>
        <w:t xml:space="preserve"> means the quota period ending on 30 September 2022;</w:t>
      </w:r>
    </w:p>
    <w:p w:rsidR="00907ED3" w:rsidRPr="00907ED3" w:rsidRDefault="00907ED3" w:rsidP="00907ED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07ED3">
        <w:rPr>
          <w:rFonts w:eastAsia="Times New Roman"/>
          <w:color w:val="000000"/>
          <w:sz w:val="23"/>
          <w:szCs w:val="23"/>
          <w:lang w:eastAsia="en-AU"/>
        </w:rPr>
        <w:tab/>
        <w:t>(5)</w:t>
      </w:r>
      <w:r w:rsidRPr="00907ED3">
        <w:rPr>
          <w:rFonts w:eastAsia="Times New Roman"/>
          <w:color w:val="000000"/>
          <w:sz w:val="23"/>
          <w:szCs w:val="23"/>
          <w:lang w:eastAsia="en-AU"/>
        </w:rPr>
        <w:tab/>
        <w:t>Regulation 16(3)(ab)—delete "2019</w:t>
      </w:r>
      <w:r w:rsidRPr="00907ED3">
        <w:rPr>
          <w:rFonts w:eastAsia="Times New Roman"/>
          <w:color w:val="000000"/>
          <w:sz w:val="23"/>
          <w:szCs w:val="23"/>
          <w:lang w:eastAsia="en-AU"/>
        </w:rPr>
        <w:noBreakHyphen/>
        <w:t>2020 quota period" wherever occurring and substitute in each case:</w:t>
      </w:r>
    </w:p>
    <w:p w:rsidR="00907ED3" w:rsidRPr="00907ED3" w:rsidRDefault="00907ED3" w:rsidP="00907ED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907ED3">
        <w:rPr>
          <w:rFonts w:eastAsia="Times New Roman"/>
          <w:color w:val="000000"/>
          <w:sz w:val="23"/>
          <w:szCs w:val="23"/>
          <w:lang w:eastAsia="en-AU"/>
        </w:rPr>
        <w:t>quota period 2019</w:t>
      </w:r>
      <w:r w:rsidRPr="00907ED3">
        <w:rPr>
          <w:rFonts w:eastAsia="Times New Roman"/>
          <w:color w:val="000000"/>
          <w:sz w:val="23"/>
          <w:szCs w:val="23"/>
          <w:lang w:eastAsia="en-AU"/>
        </w:rPr>
        <w:noBreakHyphen/>
        <w:t>2020</w:t>
      </w:r>
    </w:p>
    <w:p w:rsidR="00907ED3" w:rsidRPr="00907ED3" w:rsidRDefault="00907ED3" w:rsidP="00907ED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07ED3">
        <w:rPr>
          <w:rFonts w:eastAsia="Times New Roman"/>
          <w:color w:val="000000"/>
          <w:sz w:val="23"/>
          <w:szCs w:val="23"/>
          <w:lang w:eastAsia="en-AU"/>
        </w:rPr>
        <w:tab/>
        <w:t>(6)</w:t>
      </w:r>
      <w:r w:rsidRPr="00907ED3">
        <w:rPr>
          <w:rFonts w:eastAsia="Times New Roman"/>
          <w:color w:val="000000"/>
          <w:sz w:val="23"/>
          <w:szCs w:val="23"/>
          <w:lang w:eastAsia="en-AU"/>
        </w:rPr>
        <w:tab/>
        <w:t>Regulation 16(3)(ab)—delete "2020</w:t>
      </w:r>
      <w:r w:rsidRPr="00907ED3">
        <w:rPr>
          <w:rFonts w:eastAsia="Times New Roman"/>
          <w:color w:val="000000"/>
          <w:sz w:val="23"/>
          <w:szCs w:val="23"/>
          <w:lang w:eastAsia="en-AU"/>
        </w:rPr>
        <w:noBreakHyphen/>
        <w:t>2021 quota period" and substitute:</w:t>
      </w:r>
    </w:p>
    <w:p w:rsidR="00907ED3" w:rsidRPr="00907ED3" w:rsidRDefault="00907ED3" w:rsidP="00907ED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907ED3">
        <w:rPr>
          <w:rFonts w:eastAsia="Times New Roman"/>
          <w:color w:val="000000"/>
          <w:sz w:val="23"/>
          <w:szCs w:val="23"/>
          <w:lang w:eastAsia="en-AU"/>
        </w:rPr>
        <w:t>quota period 2020</w:t>
      </w:r>
      <w:r w:rsidRPr="00907ED3">
        <w:rPr>
          <w:rFonts w:eastAsia="Times New Roman"/>
          <w:color w:val="000000"/>
          <w:sz w:val="23"/>
          <w:szCs w:val="23"/>
          <w:lang w:eastAsia="en-AU"/>
        </w:rPr>
        <w:noBreakHyphen/>
        <w:t xml:space="preserve">2021 </w:t>
      </w:r>
    </w:p>
    <w:p w:rsidR="00907ED3" w:rsidRPr="00907ED3" w:rsidRDefault="00907ED3" w:rsidP="00907ED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07ED3">
        <w:rPr>
          <w:rFonts w:eastAsia="Times New Roman"/>
          <w:color w:val="000000"/>
          <w:sz w:val="23"/>
          <w:szCs w:val="23"/>
          <w:lang w:eastAsia="en-AU"/>
        </w:rPr>
        <w:tab/>
        <w:t>(7)</w:t>
      </w:r>
      <w:r w:rsidRPr="00907ED3">
        <w:rPr>
          <w:rFonts w:eastAsia="Times New Roman"/>
          <w:color w:val="000000"/>
          <w:sz w:val="23"/>
          <w:szCs w:val="23"/>
          <w:lang w:eastAsia="en-AU"/>
        </w:rPr>
        <w:tab/>
        <w:t>Regulation 16(3)(ab)—delete "rock lobster entitlement" and substitute:</w:t>
      </w:r>
    </w:p>
    <w:p w:rsidR="00907ED3" w:rsidRPr="00907ED3" w:rsidRDefault="00907ED3" w:rsidP="00907ED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907ED3">
        <w:rPr>
          <w:rFonts w:eastAsia="Times New Roman"/>
          <w:color w:val="000000"/>
          <w:sz w:val="23"/>
          <w:szCs w:val="23"/>
          <w:lang w:eastAsia="en-AU"/>
        </w:rPr>
        <w:t>rock lobster quota entitlement</w:t>
      </w:r>
    </w:p>
    <w:p w:rsidR="00907ED3" w:rsidRPr="00907ED3" w:rsidRDefault="00907ED3" w:rsidP="00907ED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07ED3">
        <w:rPr>
          <w:rFonts w:eastAsia="Times New Roman"/>
          <w:color w:val="000000"/>
          <w:sz w:val="23"/>
          <w:szCs w:val="23"/>
          <w:lang w:eastAsia="en-AU"/>
        </w:rPr>
        <w:tab/>
        <w:t>(8)</w:t>
      </w:r>
      <w:r w:rsidRPr="00907ED3">
        <w:rPr>
          <w:rFonts w:eastAsia="Times New Roman"/>
          <w:color w:val="000000"/>
          <w:sz w:val="23"/>
          <w:szCs w:val="23"/>
          <w:lang w:eastAsia="en-AU"/>
        </w:rPr>
        <w:tab/>
        <w:t>Regulation 16(3)—after paragraph (ab) insert:</w:t>
      </w:r>
    </w:p>
    <w:p w:rsidR="00907ED3" w:rsidRPr="00907ED3" w:rsidRDefault="00907ED3" w:rsidP="00907ED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07ED3">
        <w:rPr>
          <w:rFonts w:eastAsia="Times New Roman"/>
          <w:color w:val="000000"/>
          <w:sz w:val="23"/>
          <w:szCs w:val="23"/>
          <w:lang w:eastAsia="en-AU"/>
        </w:rPr>
        <w:tab/>
        <w:t>(ac)</w:t>
      </w:r>
      <w:r w:rsidRPr="00907ED3">
        <w:rPr>
          <w:rFonts w:eastAsia="Times New Roman"/>
          <w:color w:val="000000"/>
          <w:sz w:val="23"/>
          <w:szCs w:val="23"/>
          <w:lang w:eastAsia="en-AU"/>
        </w:rPr>
        <w:tab/>
        <w:t>if the total catch of rock lobster taken by the holder of a licence during the quota period 2020</w:t>
      </w:r>
      <w:r w:rsidRPr="00907ED3">
        <w:rPr>
          <w:rFonts w:eastAsia="Times New Roman"/>
          <w:color w:val="000000"/>
          <w:sz w:val="23"/>
          <w:szCs w:val="23"/>
          <w:lang w:eastAsia="en-AU"/>
        </w:rPr>
        <w:noBreakHyphen/>
        <w:t>2021 is less than the rock lobster quota entitlement under the licence for that quota period, the Minister may vary the conditions of the licence so as to increase the quota entitlement for the quota period 2021</w:t>
      </w:r>
      <w:r w:rsidRPr="00907ED3">
        <w:rPr>
          <w:rFonts w:eastAsia="Times New Roman"/>
          <w:color w:val="000000"/>
          <w:sz w:val="23"/>
          <w:szCs w:val="23"/>
          <w:lang w:eastAsia="en-AU"/>
        </w:rPr>
        <w:noBreakHyphen/>
        <w:t>2022 by up to 1 kilogram of rock lobster for each kilogram by which the catch fell short of the rock lobster quota entitlement under the licence for the quota period 2020</w:t>
      </w:r>
      <w:r w:rsidRPr="00907ED3">
        <w:rPr>
          <w:rFonts w:eastAsia="Times New Roman"/>
          <w:color w:val="000000"/>
          <w:sz w:val="23"/>
          <w:szCs w:val="23"/>
          <w:lang w:eastAsia="en-AU"/>
        </w:rPr>
        <w:noBreakHyphen/>
        <w:t>2021;</w:t>
      </w:r>
    </w:p>
    <w:p w:rsidR="00907ED3" w:rsidRPr="00907ED3" w:rsidRDefault="00907ED3" w:rsidP="00907ED3">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907ED3">
        <w:rPr>
          <w:rFonts w:eastAsia="Times New Roman"/>
          <w:b/>
          <w:bCs/>
          <w:color w:val="000000"/>
          <w:sz w:val="20"/>
          <w:szCs w:val="20"/>
          <w:lang w:eastAsia="en-AU"/>
        </w:rPr>
        <w:t>Note—</w:t>
      </w:r>
    </w:p>
    <w:p w:rsidR="00907ED3" w:rsidRPr="00907ED3" w:rsidRDefault="00907ED3" w:rsidP="00907ED3">
      <w:pPr>
        <w:keepLines/>
        <w:autoSpaceDE w:val="0"/>
        <w:autoSpaceDN w:val="0"/>
        <w:adjustRightInd w:val="0"/>
        <w:spacing w:before="120" w:after="0" w:line="240" w:lineRule="auto"/>
        <w:ind w:left="794"/>
        <w:jc w:val="left"/>
        <w:rPr>
          <w:rFonts w:eastAsia="Times New Roman"/>
          <w:color w:val="000000"/>
          <w:sz w:val="20"/>
          <w:szCs w:val="20"/>
          <w:lang w:eastAsia="en-AU"/>
        </w:rPr>
      </w:pPr>
      <w:r w:rsidRPr="00907ED3">
        <w:rPr>
          <w:rFonts w:eastAsia="Times New Roman"/>
          <w:color w:val="000000"/>
          <w:sz w:val="20"/>
          <w:szCs w:val="20"/>
          <w:lang w:eastAsia="en-AU"/>
        </w:rPr>
        <w:t xml:space="preserve">As required by section 10AA(2) of the </w:t>
      </w:r>
      <w:hyperlink r:id="rId62" w:history="1">
        <w:r w:rsidRPr="00907ED3">
          <w:rPr>
            <w:rFonts w:eastAsia="Times New Roman"/>
            <w:i/>
            <w:iCs/>
            <w:color w:val="000000"/>
            <w:sz w:val="20"/>
            <w:szCs w:val="20"/>
            <w:lang w:eastAsia="en-AU"/>
          </w:rPr>
          <w:t>Subordinate Legislation Act 1978</w:t>
        </w:r>
      </w:hyperlink>
      <w:r w:rsidRPr="00907ED3">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907ED3" w:rsidRPr="00907ED3" w:rsidRDefault="00907ED3" w:rsidP="00907ED3">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907ED3">
        <w:rPr>
          <w:rFonts w:eastAsia="Times New Roman"/>
          <w:b/>
          <w:bCs/>
          <w:color w:val="000000"/>
          <w:sz w:val="26"/>
          <w:szCs w:val="26"/>
          <w:lang w:eastAsia="en-AU"/>
        </w:rPr>
        <w:t>Made by the Governor</w:t>
      </w:r>
    </w:p>
    <w:p w:rsidR="00907ED3" w:rsidRPr="00907ED3" w:rsidRDefault="00907ED3" w:rsidP="00907ED3">
      <w:pPr>
        <w:keepNext/>
        <w:keepLines/>
        <w:autoSpaceDE w:val="0"/>
        <w:autoSpaceDN w:val="0"/>
        <w:adjustRightInd w:val="0"/>
        <w:spacing w:before="120" w:after="0" w:line="240" w:lineRule="auto"/>
        <w:jc w:val="left"/>
        <w:rPr>
          <w:rFonts w:eastAsia="Times New Roman"/>
          <w:color w:val="000000"/>
          <w:sz w:val="23"/>
          <w:szCs w:val="23"/>
          <w:lang w:eastAsia="en-AU"/>
        </w:rPr>
      </w:pPr>
      <w:r w:rsidRPr="00907ED3">
        <w:rPr>
          <w:rFonts w:eastAsia="Times New Roman"/>
          <w:color w:val="000000"/>
          <w:sz w:val="23"/>
          <w:szCs w:val="23"/>
          <w:lang w:eastAsia="en-AU"/>
        </w:rPr>
        <w:t>with the advice and consent of the Executive Council</w:t>
      </w:r>
    </w:p>
    <w:p w:rsidR="00907ED3" w:rsidRPr="00907ED3" w:rsidRDefault="00907ED3" w:rsidP="00907ED3">
      <w:pPr>
        <w:keepNext/>
        <w:keepLines/>
        <w:autoSpaceDE w:val="0"/>
        <w:autoSpaceDN w:val="0"/>
        <w:adjustRightInd w:val="0"/>
        <w:spacing w:after="0" w:line="240" w:lineRule="auto"/>
        <w:jc w:val="left"/>
        <w:rPr>
          <w:rFonts w:eastAsia="Times New Roman"/>
          <w:color w:val="000000"/>
          <w:sz w:val="23"/>
          <w:szCs w:val="23"/>
          <w:lang w:eastAsia="en-AU"/>
        </w:rPr>
      </w:pPr>
      <w:r w:rsidRPr="00907ED3">
        <w:rPr>
          <w:rFonts w:eastAsia="Times New Roman"/>
          <w:color w:val="000000"/>
          <w:sz w:val="23"/>
          <w:szCs w:val="23"/>
          <w:lang w:eastAsia="en-AU"/>
        </w:rPr>
        <w:t>on 17 December 2020</w:t>
      </w:r>
    </w:p>
    <w:p w:rsidR="00FD21D5" w:rsidRDefault="00907ED3" w:rsidP="00213154">
      <w:pPr>
        <w:keepNext/>
        <w:keepLines/>
        <w:autoSpaceDE w:val="0"/>
        <w:autoSpaceDN w:val="0"/>
        <w:adjustRightInd w:val="0"/>
        <w:spacing w:before="120" w:after="0" w:line="240" w:lineRule="auto"/>
        <w:jc w:val="left"/>
        <w:rPr>
          <w:rFonts w:eastAsia="Times New Roman"/>
          <w:color w:val="000000"/>
          <w:sz w:val="23"/>
          <w:szCs w:val="23"/>
          <w:lang w:eastAsia="en-AU"/>
        </w:rPr>
      </w:pPr>
      <w:r w:rsidRPr="00907ED3">
        <w:rPr>
          <w:rFonts w:eastAsia="Times New Roman"/>
          <w:color w:val="000000"/>
          <w:sz w:val="23"/>
          <w:szCs w:val="23"/>
          <w:lang w:eastAsia="en-AU"/>
        </w:rPr>
        <w:t>No 324 of 2020</w:t>
      </w:r>
    </w:p>
    <w:p w:rsidR="00FD21D5" w:rsidRDefault="00FD21D5" w:rsidP="00FD21D5">
      <w:pPr>
        <w:pBdr>
          <w:bottom w:val="single" w:sz="4" w:space="1" w:color="auto"/>
        </w:pBdr>
        <w:spacing w:after="0" w:line="52" w:lineRule="exact"/>
        <w:jc w:val="center"/>
        <w:rPr>
          <w:lang w:val="en-US"/>
        </w:rPr>
      </w:pPr>
    </w:p>
    <w:p w:rsidR="00FD21D5" w:rsidRDefault="00FD21D5" w:rsidP="00FD21D5">
      <w:pPr>
        <w:pBdr>
          <w:top w:val="single" w:sz="4" w:space="1" w:color="auto"/>
        </w:pBdr>
        <w:spacing w:before="34" w:after="0" w:line="14" w:lineRule="exact"/>
        <w:jc w:val="center"/>
        <w:rPr>
          <w:lang w:val="en-US"/>
        </w:rPr>
      </w:pPr>
    </w:p>
    <w:p w:rsidR="00FD21D5" w:rsidRDefault="00FD21D5" w:rsidP="00FD21D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rsidR="009D1E2E" w:rsidRPr="009D1E2E" w:rsidRDefault="009D1E2E" w:rsidP="00B17B1A">
      <w:pPr>
        <w:pStyle w:val="Heading1"/>
        <w:spacing w:before="0"/>
      </w:pPr>
      <w:r>
        <w:rPr>
          <w:lang w:val="en-US"/>
        </w:rPr>
        <w:br w:type="page"/>
      </w:r>
      <w:bookmarkStart w:id="100" w:name="_Toc33707981"/>
      <w:bookmarkStart w:id="101" w:name="_Toc33708152"/>
      <w:bookmarkStart w:id="102" w:name="_Toc59098943"/>
      <w:r w:rsidRPr="009D1E2E">
        <w:lastRenderedPageBreak/>
        <w:t>Rules of Court</w:t>
      </w:r>
      <w:bookmarkEnd w:id="100"/>
      <w:bookmarkEnd w:id="101"/>
      <w:bookmarkEnd w:id="102"/>
    </w:p>
    <w:p w:rsidR="00161BC5" w:rsidRPr="00161BC5" w:rsidRDefault="00161BC5" w:rsidP="00161BC5">
      <w:pPr>
        <w:jc w:val="center"/>
        <w:rPr>
          <w:caps/>
          <w:szCs w:val="17"/>
        </w:rPr>
      </w:pPr>
      <w:r w:rsidRPr="00161BC5">
        <w:rPr>
          <w:caps/>
          <w:szCs w:val="17"/>
        </w:rPr>
        <w:t>RULES OF COURT</w:t>
      </w:r>
    </w:p>
    <w:p w:rsidR="00161BC5" w:rsidRPr="00161BC5" w:rsidRDefault="00161BC5" w:rsidP="00161BC5">
      <w:pPr>
        <w:jc w:val="center"/>
        <w:rPr>
          <w:smallCaps/>
          <w:szCs w:val="17"/>
        </w:rPr>
      </w:pPr>
      <w:r w:rsidRPr="00161BC5">
        <w:rPr>
          <w:smallCaps/>
          <w:szCs w:val="17"/>
        </w:rPr>
        <w:t>Magistrates Court of South Australia</w:t>
      </w:r>
    </w:p>
    <w:p w:rsidR="00161BC5" w:rsidRPr="00D71C91" w:rsidRDefault="00D71C91" w:rsidP="00D71C91">
      <w:pPr>
        <w:pStyle w:val="Heading2"/>
        <w:rPr>
          <w:i/>
        </w:rPr>
      </w:pPr>
      <w:bookmarkStart w:id="103" w:name="_Toc59098944"/>
      <w:r w:rsidRPr="00D71C91">
        <w:rPr>
          <w:i/>
          <w:caps w:val="0"/>
        </w:rPr>
        <w:t xml:space="preserve">Amendment 87 </w:t>
      </w:r>
      <w:r>
        <w:rPr>
          <w:i/>
          <w:caps w:val="0"/>
        </w:rPr>
        <w:t>t</w:t>
      </w:r>
      <w:r w:rsidRPr="00D71C91">
        <w:rPr>
          <w:i/>
          <w:caps w:val="0"/>
        </w:rPr>
        <w:t xml:space="preserve">o </w:t>
      </w:r>
      <w:r>
        <w:rPr>
          <w:i/>
          <w:caps w:val="0"/>
        </w:rPr>
        <w:t>t</w:t>
      </w:r>
      <w:r w:rsidRPr="00D71C91">
        <w:rPr>
          <w:i/>
          <w:caps w:val="0"/>
        </w:rPr>
        <w:t>he Magistrates Court Rules 1992</w:t>
      </w:r>
      <w:bookmarkEnd w:id="103"/>
    </w:p>
    <w:p w:rsidR="00161BC5" w:rsidRPr="00161BC5" w:rsidRDefault="00161BC5" w:rsidP="00161BC5">
      <w:pPr>
        <w:rPr>
          <w:rFonts w:eastAsia="Times New Roman"/>
          <w:szCs w:val="17"/>
        </w:rPr>
      </w:pPr>
      <w:r w:rsidRPr="00161BC5">
        <w:rPr>
          <w:rFonts w:eastAsia="Times New Roman"/>
          <w:szCs w:val="17"/>
        </w:rPr>
        <w:t xml:space="preserve">PURSUANT to section 49 of the </w:t>
      </w:r>
      <w:r w:rsidRPr="00161BC5">
        <w:rPr>
          <w:rFonts w:eastAsia="Times New Roman"/>
          <w:i/>
          <w:szCs w:val="17"/>
        </w:rPr>
        <w:t>Magistrates Court Act 1991</w:t>
      </w:r>
      <w:r w:rsidRPr="00161BC5">
        <w:rPr>
          <w:rFonts w:eastAsia="Times New Roman"/>
          <w:szCs w:val="17"/>
        </w:rPr>
        <w:t xml:space="preserve"> and all other enabling powers, we, the undersigned, do hereby make the following amendments to the </w:t>
      </w:r>
      <w:r w:rsidRPr="00161BC5">
        <w:rPr>
          <w:rFonts w:eastAsia="Times New Roman"/>
          <w:b/>
          <w:i/>
          <w:szCs w:val="17"/>
        </w:rPr>
        <w:t>Magistrates Court Rules 1992</w:t>
      </w:r>
      <w:r w:rsidRPr="00161BC5">
        <w:rPr>
          <w:rFonts w:eastAsia="Times New Roman"/>
          <w:szCs w:val="17"/>
        </w:rPr>
        <w:t xml:space="preserve"> as amended.</w:t>
      </w:r>
    </w:p>
    <w:p w:rsidR="00161BC5" w:rsidRPr="00161BC5" w:rsidRDefault="00161BC5" w:rsidP="00161BC5">
      <w:pPr>
        <w:ind w:left="426" w:hanging="284"/>
        <w:rPr>
          <w:rFonts w:eastAsia="Times New Roman"/>
          <w:szCs w:val="17"/>
        </w:rPr>
      </w:pPr>
      <w:r w:rsidRPr="00161BC5">
        <w:rPr>
          <w:rFonts w:eastAsia="Times New Roman"/>
          <w:szCs w:val="17"/>
        </w:rPr>
        <w:t>1.</w:t>
      </w:r>
      <w:r w:rsidRPr="00161BC5">
        <w:rPr>
          <w:rFonts w:eastAsia="Times New Roman"/>
          <w:szCs w:val="17"/>
        </w:rPr>
        <w:tab/>
        <w:t>These Rules may be cited as the ‘Magistrates Court Rules 1992 (Amendment 87)’.</w:t>
      </w:r>
    </w:p>
    <w:p w:rsidR="00161BC5" w:rsidRPr="00161BC5" w:rsidRDefault="00161BC5" w:rsidP="00161BC5">
      <w:pPr>
        <w:ind w:left="426" w:hanging="284"/>
        <w:rPr>
          <w:rFonts w:eastAsia="Times New Roman"/>
          <w:szCs w:val="17"/>
        </w:rPr>
      </w:pPr>
      <w:r w:rsidRPr="00161BC5">
        <w:rPr>
          <w:rFonts w:eastAsia="Times New Roman"/>
          <w:szCs w:val="17"/>
        </w:rPr>
        <w:t>2.</w:t>
      </w:r>
      <w:r w:rsidRPr="00161BC5">
        <w:rPr>
          <w:rFonts w:eastAsia="Times New Roman"/>
          <w:szCs w:val="17"/>
        </w:rPr>
        <w:tab/>
        <w:t xml:space="preserve">The </w:t>
      </w:r>
      <w:r w:rsidRPr="00161BC5">
        <w:rPr>
          <w:rFonts w:eastAsia="Times New Roman"/>
          <w:i/>
          <w:szCs w:val="17"/>
        </w:rPr>
        <w:t>Magistrates Court Rules 1992</w:t>
      </w:r>
      <w:r w:rsidRPr="00161BC5">
        <w:rPr>
          <w:rFonts w:eastAsia="Times New Roman"/>
          <w:szCs w:val="17"/>
        </w:rPr>
        <w:t xml:space="preserve"> (‘the Rules’) as amended by these amendments apply to and govern all actions in the criminal division of the Court on and after the date on which these amendments are gazetted.</w:t>
      </w:r>
    </w:p>
    <w:p w:rsidR="00161BC5" w:rsidRPr="00161BC5" w:rsidRDefault="00161BC5" w:rsidP="00161BC5">
      <w:pPr>
        <w:ind w:left="426" w:hanging="284"/>
        <w:rPr>
          <w:rFonts w:eastAsia="Times New Roman"/>
          <w:szCs w:val="17"/>
        </w:rPr>
      </w:pPr>
      <w:r w:rsidRPr="00161BC5">
        <w:rPr>
          <w:rFonts w:eastAsia="Times New Roman"/>
          <w:szCs w:val="17"/>
        </w:rPr>
        <w:t>3.</w:t>
      </w:r>
      <w:r w:rsidRPr="00161BC5">
        <w:rPr>
          <w:rFonts w:eastAsia="Times New Roman"/>
          <w:szCs w:val="17"/>
        </w:rPr>
        <w:tab/>
        <w:t>The following is inserted after Rule 18.11:</w:t>
      </w:r>
    </w:p>
    <w:p w:rsidR="00161BC5" w:rsidRPr="00161BC5" w:rsidRDefault="00161BC5" w:rsidP="00161BC5">
      <w:pPr>
        <w:ind w:left="426"/>
        <w:rPr>
          <w:rFonts w:eastAsia="Times New Roman"/>
          <w:szCs w:val="17"/>
        </w:rPr>
      </w:pPr>
      <w:r w:rsidRPr="00161BC5">
        <w:rPr>
          <w:rFonts w:eastAsia="Times New Roman"/>
          <w:szCs w:val="17"/>
        </w:rPr>
        <w:t>18A.12 A request to register a Foreign Paedophile Restraining Order must comply with Form 41A and may be listed before a Magistrate. The applicant may appear in person or by telephone or file an affidavit explaining why the order should be registered.</w:t>
      </w:r>
    </w:p>
    <w:p w:rsidR="00161BC5" w:rsidRPr="00161BC5" w:rsidRDefault="00161BC5" w:rsidP="00161BC5">
      <w:pPr>
        <w:ind w:left="426"/>
        <w:rPr>
          <w:rFonts w:eastAsia="Times New Roman"/>
          <w:szCs w:val="17"/>
        </w:rPr>
      </w:pPr>
      <w:r w:rsidRPr="00161BC5">
        <w:rPr>
          <w:rFonts w:eastAsia="Times New Roman"/>
          <w:szCs w:val="17"/>
        </w:rPr>
        <w:t>18A.13 A notice of registration of a Foreign Paedophile Restraining Order must comply with Form 42A.</w:t>
      </w:r>
    </w:p>
    <w:p w:rsidR="00161BC5" w:rsidRPr="00161BC5" w:rsidRDefault="00161BC5" w:rsidP="00161BC5">
      <w:pPr>
        <w:ind w:left="426"/>
        <w:rPr>
          <w:rFonts w:eastAsia="Times New Roman"/>
          <w:szCs w:val="17"/>
        </w:rPr>
      </w:pPr>
      <w:r w:rsidRPr="00161BC5">
        <w:rPr>
          <w:rFonts w:eastAsia="Times New Roman"/>
          <w:szCs w:val="17"/>
        </w:rPr>
        <w:t>18A.14 A request to register a Foreign Child Protection Restraining Order must comply with Form 41B and may be listed before a Magistrate. The applicant may appear in person or by telephone or file an affidavit explaining why the order should be registered.</w:t>
      </w:r>
    </w:p>
    <w:p w:rsidR="00161BC5" w:rsidRPr="00161BC5" w:rsidRDefault="00161BC5" w:rsidP="00161BC5">
      <w:pPr>
        <w:ind w:left="426"/>
        <w:rPr>
          <w:rFonts w:eastAsia="Times New Roman"/>
          <w:szCs w:val="17"/>
        </w:rPr>
      </w:pPr>
      <w:r w:rsidRPr="00161BC5">
        <w:rPr>
          <w:rFonts w:eastAsia="Times New Roman"/>
          <w:szCs w:val="17"/>
        </w:rPr>
        <w:t>18A.15 A notice of registration of a Foreign Child Protection Restraining Order must comply with Form 42B.</w:t>
      </w:r>
    </w:p>
    <w:p w:rsidR="00161BC5" w:rsidRPr="00161BC5" w:rsidRDefault="00161BC5" w:rsidP="00161BC5">
      <w:pPr>
        <w:ind w:left="426" w:hanging="284"/>
        <w:rPr>
          <w:rFonts w:eastAsia="Times New Roman"/>
          <w:szCs w:val="17"/>
        </w:rPr>
      </w:pPr>
      <w:r w:rsidRPr="00161BC5">
        <w:rPr>
          <w:rFonts w:eastAsia="Times New Roman"/>
          <w:szCs w:val="17"/>
        </w:rPr>
        <w:t>4.</w:t>
      </w:r>
      <w:r w:rsidRPr="00161BC5">
        <w:rPr>
          <w:rFonts w:eastAsia="Times New Roman"/>
          <w:szCs w:val="17"/>
        </w:rPr>
        <w:tab/>
        <w:t>Forms 41A, 41B, 42A and 42B are inserted.</w:t>
      </w:r>
    </w:p>
    <w:p w:rsidR="00161BC5" w:rsidRPr="00161BC5" w:rsidRDefault="00161BC5" w:rsidP="00161BC5">
      <w:pPr>
        <w:ind w:left="426" w:hanging="284"/>
        <w:rPr>
          <w:rFonts w:eastAsia="Times New Roman"/>
          <w:szCs w:val="17"/>
        </w:rPr>
      </w:pPr>
      <w:r w:rsidRPr="00161BC5">
        <w:rPr>
          <w:rFonts w:eastAsia="Times New Roman"/>
          <w:szCs w:val="17"/>
        </w:rPr>
        <w:t>5.</w:t>
      </w:r>
      <w:r w:rsidRPr="00161BC5">
        <w:rPr>
          <w:rFonts w:eastAsia="Times New Roman"/>
          <w:szCs w:val="17"/>
        </w:rPr>
        <w:tab/>
        <w:t>Rule 18.15 is deleted and replaced with the following:</w:t>
      </w:r>
    </w:p>
    <w:p w:rsidR="00161BC5" w:rsidRPr="00161BC5" w:rsidRDefault="00161BC5" w:rsidP="00161BC5">
      <w:pPr>
        <w:ind w:left="426"/>
        <w:rPr>
          <w:rFonts w:eastAsia="Times New Roman"/>
          <w:szCs w:val="17"/>
        </w:rPr>
      </w:pPr>
      <w:r w:rsidRPr="00161BC5">
        <w:rPr>
          <w:rFonts w:eastAsia="Times New Roman"/>
          <w:szCs w:val="17"/>
        </w:rPr>
        <w:t>18.15 A request to register a Foreign Intervention Order must comply with Form 41 and may be listed before a Magistrate. The applicant may appear in person or by telephone or file an affidavit explaining why the order should be registered and any reasons to support a request that it not be served. The Magistrate when ordering registration of the order must specify whether it is to be served or not.</w:t>
      </w:r>
    </w:p>
    <w:p w:rsidR="00161BC5" w:rsidRPr="00161BC5" w:rsidRDefault="00161BC5" w:rsidP="00161BC5">
      <w:pPr>
        <w:ind w:left="426" w:hanging="284"/>
        <w:rPr>
          <w:rFonts w:eastAsia="Times New Roman"/>
          <w:szCs w:val="17"/>
        </w:rPr>
      </w:pPr>
      <w:r w:rsidRPr="00161BC5">
        <w:rPr>
          <w:rFonts w:eastAsia="Times New Roman"/>
          <w:szCs w:val="17"/>
        </w:rPr>
        <w:t>6.</w:t>
      </w:r>
      <w:r w:rsidRPr="00161BC5">
        <w:rPr>
          <w:rFonts w:eastAsia="Times New Roman"/>
          <w:szCs w:val="17"/>
        </w:rPr>
        <w:tab/>
        <w:t>Form 46AA is deleted and replaced with Form 46AA.</w:t>
      </w:r>
    </w:p>
    <w:p w:rsidR="00161BC5" w:rsidRPr="00161BC5" w:rsidRDefault="00161BC5" w:rsidP="00161BC5">
      <w:pPr>
        <w:ind w:left="426" w:hanging="284"/>
        <w:rPr>
          <w:rFonts w:eastAsia="Times New Roman"/>
          <w:szCs w:val="17"/>
        </w:rPr>
      </w:pPr>
      <w:r w:rsidRPr="00161BC5">
        <w:rPr>
          <w:rFonts w:eastAsia="Times New Roman"/>
          <w:szCs w:val="17"/>
        </w:rPr>
        <w:t>7.</w:t>
      </w:r>
      <w:r w:rsidRPr="00161BC5">
        <w:rPr>
          <w:rFonts w:eastAsia="Times New Roman"/>
          <w:szCs w:val="17"/>
        </w:rPr>
        <w:tab/>
        <w:t>Form 28 is deleted and replaced with Form 28.</w:t>
      </w:r>
    </w:p>
    <w:p w:rsidR="00161BC5" w:rsidRPr="00161BC5" w:rsidRDefault="00161BC5" w:rsidP="00161BC5">
      <w:pPr>
        <w:ind w:left="426" w:hanging="284"/>
        <w:rPr>
          <w:rFonts w:eastAsia="Times New Roman"/>
          <w:szCs w:val="17"/>
        </w:rPr>
      </w:pPr>
      <w:r w:rsidRPr="00161BC5">
        <w:rPr>
          <w:rFonts w:eastAsia="Times New Roman"/>
          <w:szCs w:val="17"/>
        </w:rPr>
        <w:t>8.</w:t>
      </w:r>
      <w:r w:rsidRPr="00161BC5">
        <w:rPr>
          <w:rFonts w:eastAsia="Times New Roman"/>
          <w:szCs w:val="17"/>
        </w:rPr>
        <w:tab/>
        <w:t>Form 28AA is deleted and replaced with Form 28AA.</w:t>
      </w:r>
    </w:p>
    <w:p w:rsidR="00161BC5" w:rsidRPr="00161BC5" w:rsidRDefault="00161BC5" w:rsidP="00161BC5">
      <w:pPr>
        <w:ind w:left="426" w:hanging="284"/>
        <w:rPr>
          <w:rFonts w:eastAsia="Times New Roman"/>
          <w:szCs w:val="17"/>
        </w:rPr>
      </w:pPr>
      <w:r w:rsidRPr="00161BC5">
        <w:rPr>
          <w:rFonts w:eastAsia="Times New Roman"/>
          <w:szCs w:val="17"/>
        </w:rPr>
        <w:t>9.</w:t>
      </w:r>
      <w:r w:rsidRPr="00161BC5">
        <w:rPr>
          <w:rFonts w:eastAsia="Times New Roman"/>
          <w:szCs w:val="17"/>
        </w:rPr>
        <w:tab/>
        <w:t>Form 29 is deleted and replaced with Form 29.</w:t>
      </w:r>
    </w:p>
    <w:p w:rsidR="00161BC5" w:rsidRPr="00161BC5" w:rsidRDefault="00161BC5" w:rsidP="00161BC5">
      <w:pPr>
        <w:ind w:left="426" w:hanging="284"/>
        <w:rPr>
          <w:rFonts w:eastAsia="Times New Roman"/>
          <w:szCs w:val="17"/>
        </w:rPr>
      </w:pPr>
      <w:r w:rsidRPr="00161BC5">
        <w:rPr>
          <w:rFonts w:eastAsia="Times New Roman"/>
          <w:szCs w:val="17"/>
        </w:rPr>
        <w:t>10.</w:t>
      </w:r>
      <w:r w:rsidRPr="00161BC5">
        <w:rPr>
          <w:rFonts w:eastAsia="Times New Roman"/>
          <w:szCs w:val="17"/>
        </w:rPr>
        <w:tab/>
        <w:t>Form 29AA is deleted and replaced with Form 29AA.</w:t>
      </w:r>
    </w:p>
    <w:p w:rsidR="00161BC5" w:rsidRPr="00161BC5" w:rsidRDefault="00161BC5" w:rsidP="00161BC5">
      <w:pPr>
        <w:ind w:left="426" w:hanging="284"/>
        <w:rPr>
          <w:rFonts w:eastAsia="Times New Roman"/>
          <w:szCs w:val="17"/>
        </w:rPr>
      </w:pPr>
      <w:r w:rsidRPr="00161BC5">
        <w:rPr>
          <w:rFonts w:eastAsia="Times New Roman"/>
          <w:szCs w:val="17"/>
        </w:rPr>
        <w:t>11.</w:t>
      </w:r>
      <w:r w:rsidRPr="00161BC5">
        <w:rPr>
          <w:rFonts w:eastAsia="Times New Roman"/>
          <w:szCs w:val="17"/>
        </w:rPr>
        <w:tab/>
        <w:t xml:space="preserve">Form 30 is deleted and replaced with Form 30. </w:t>
      </w:r>
    </w:p>
    <w:p w:rsidR="00161BC5" w:rsidRPr="00161BC5" w:rsidRDefault="00161BC5" w:rsidP="00161BC5">
      <w:pPr>
        <w:rPr>
          <w:rFonts w:eastAsia="Times New Roman"/>
          <w:szCs w:val="17"/>
        </w:rPr>
      </w:pPr>
      <w:r w:rsidRPr="00161BC5">
        <w:rPr>
          <w:rFonts w:eastAsia="Times New Roman"/>
          <w:szCs w:val="17"/>
        </w:rPr>
        <w:t>Signed on the 15</w:t>
      </w:r>
      <w:r w:rsidRPr="00161BC5">
        <w:rPr>
          <w:rFonts w:eastAsia="Times New Roman"/>
          <w:szCs w:val="17"/>
          <w:vertAlign w:val="superscript"/>
        </w:rPr>
        <w:t>th</w:t>
      </w:r>
      <w:r w:rsidRPr="00161BC5">
        <w:rPr>
          <w:rFonts w:eastAsia="Times New Roman"/>
          <w:szCs w:val="17"/>
        </w:rPr>
        <w:t xml:space="preserve"> day of December 2020.</w:t>
      </w:r>
    </w:p>
    <w:p w:rsidR="00161BC5" w:rsidRPr="00161BC5" w:rsidRDefault="00161BC5" w:rsidP="00161BC5">
      <w:pPr>
        <w:spacing w:after="0"/>
        <w:jc w:val="right"/>
        <w:rPr>
          <w:rFonts w:eastAsia="Times New Roman"/>
          <w:smallCaps/>
          <w:szCs w:val="20"/>
        </w:rPr>
      </w:pPr>
      <w:r w:rsidRPr="00161BC5">
        <w:rPr>
          <w:rFonts w:eastAsia="Times New Roman"/>
          <w:smallCaps/>
          <w:szCs w:val="20"/>
        </w:rPr>
        <w:t>Mary-Louise Hribal</w:t>
      </w:r>
    </w:p>
    <w:p w:rsidR="00161BC5" w:rsidRPr="00161BC5" w:rsidRDefault="00161BC5" w:rsidP="00161BC5">
      <w:pPr>
        <w:jc w:val="right"/>
        <w:rPr>
          <w:rFonts w:eastAsia="Times New Roman"/>
          <w:szCs w:val="17"/>
        </w:rPr>
      </w:pPr>
      <w:r w:rsidRPr="00161BC5">
        <w:rPr>
          <w:rFonts w:eastAsia="Times New Roman"/>
          <w:szCs w:val="17"/>
        </w:rPr>
        <w:t>Chief Magistrate</w:t>
      </w:r>
    </w:p>
    <w:p w:rsidR="00161BC5" w:rsidRPr="00161BC5" w:rsidRDefault="00161BC5" w:rsidP="00161BC5">
      <w:pPr>
        <w:spacing w:after="0"/>
        <w:jc w:val="right"/>
        <w:rPr>
          <w:rFonts w:eastAsia="Times New Roman"/>
          <w:smallCaps/>
          <w:szCs w:val="20"/>
        </w:rPr>
      </w:pPr>
      <w:r w:rsidRPr="00161BC5">
        <w:rPr>
          <w:rFonts w:eastAsia="Times New Roman"/>
          <w:smallCaps/>
          <w:szCs w:val="20"/>
        </w:rPr>
        <w:t>Brett Jonathon Dixon</w:t>
      </w:r>
    </w:p>
    <w:p w:rsidR="00161BC5" w:rsidRPr="00161BC5" w:rsidRDefault="00161BC5" w:rsidP="00161BC5">
      <w:pPr>
        <w:jc w:val="right"/>
        <w:rPr>
          <w:rFonts w:eastAsia="Times New Roman"/>
          <w:szCs w:val="17"/>
        </w:rPr>
      </w:pPr>
      <w:r w:rsidRPr="00161BC5">
        <w:rPr>
          <w:rFonts w:eastAsia="Times New Roman"/>
          <w:szCs w:val="17"/>
        </w:rPr>
        <w:t>Magistrate</w:t>
      </w:r>
    </w:p>
    <w:p w:rsidR="00161BC5" w:rsidRPr="00161BC5" w:rsidRDefault="00161BC5" w:rsidP="00161BC5">
      <w:pPr>
        <w:spacing w:after="0"/>
        <w:jc w:val="right"/>
        <w:rPr>
          <w:rFonts w:eastAsia="Times New Roman"/>
          <w:smallCaps/>
          <w:szCs w:val="20"/>
        </w:rPr>
      </w:pPr>
      <w:r w:rsidRPr="00161BC5">
        <w:rPr>
          <w:rFonts w:eastAsia="Times New Roman"/>
          <w:smallCaps/>
          <w:szCs w:val="20"/>
        </w:rPr>
        <w:t>Luke Anthony Davis</w:t>
      </w:r>
    </w:p>
    <w:p w:rsidR="00161BC5" w:rsidRPr="00161BC5" w:rsidRDefault="00161BC5" w:rsidP="00161BC5">
      <w:pPr>
        <w:jc w:val="right"/>
        <w:rPr>
          <w:rFonts w:eastAsia="Times New Roman"/>
          <w:szCs w:val="17"/>
        </w:rPr>
      </w:pPr>
      <w:r w:rsidRPr="00161BC5">
        <w:rPr>
          <w:rFonts w:eastAsia="Times New Roman"/>
          <w:szCs w:val="17"/>
        </w:rPr>
        <w:t>Magistrate</w:t>
      </w:r>
    </w:p>
    <w:p w:rsidR="00161BC5" w:rsidRPr="00161BC5" w:rsidRDefault="00161BC5" w:rsidP="00161BC5">
      <w:pPr>
        <w:spacing w:after="0"/>
        <w:jc w:val="right"/>
        <w:rPr>
          <w:rFonts w:eastAsia="Times New Roman"/>
          <w:smallCaps/>
          <w:szCs w:val="20"/>
        </w:rPr>
      </w:pPr>
      <w:r w:rsidRPr="00161BC5">
        <w:rPr>
          <w:rFonts w:eastAsia="Times New Roman"/>
          <w:smallCaps/>
          <w:szCs w:val="20"/>
        </w:rPr>
        <w:t>Nicolas Alexandrides</w:t>
      </w:r>
    </w:p>
    <w:p w:rsidR="00161BC5" w:rsidRPr="00161BC5" w:rsidRDefault="00161BC5" w:rsidP="00161BC5">
      <w:pPr>
        <w:spacing w:after="0"/>
        <w:jc w:val="right"/>
        <w:rPr>
          <w:rFonts w:eastAsia="Times New Roman"/>
          <w:szCs w:val="17"/>
        </w:rPr>
      </w:pPr>
      <w:r w:rsidRPr="00161BC5">
        <w:rPr>
          <w:rFonts w:eastAsia="Times New Roman"/>
          <w:szCs w:val="17"/>
        </w:rPr>
        <w:t>Magistrate</w:t>
      </w:r>
    </w:p>
    <w:p w:rsidR="00161BC5" w:rsidRPr="00161BC5" w:rsidRDefault="00161BC5" w:rsidP="00161BC5">
      <w:pPr>
        <w:pBdr>
          <w:top w:val="single" w:sz="4" w:space="1" w:color="auto"/>
        </w:pBdr>
        <w:spacing w:before="100" w:line="14" w:lineRule="exact"/>
        <w:ind w:left="1080" w:right="1080"/>
        <w:jc w:val="center"/>
        <w:rPr>
          <w:rFonts w:eastAsia="Times New Roman"/>
          <w:szCs w:val="17"/>
        </w:rPr>
      </w:pPr>
    </w:p>
    <w:p w:rsidR="00161BC5" w:rsidRPr="00161BC5" w:rsidRDefault="00161BC5" w:rsidP="00161BC5">
      <w:pPr>
        <w:spacing w:after="0" w:line="240" w:lineRule="auto"/>
        <w:jc w:val="left"/>
        <w:rPr>
          <w:rFonts w:eastAsia="Times New Roman"/>
          <w:szCs w:val="17"/>
        </w:rPr>
      </w:pPr>
      <w:r w:rsidRPr="00161BC5">
        <w:rPr>
          <w:rFonts w:eastAsia="Times New Roman"/>
          <w:szCs w:val="20"/>
        </w:rPr>
        <w:br w:type="page"/>
      </w:r>
    </w:p>
    <w:p w:rsidR="00161BC5" w:rsidRPr="00161BC5" w:rsidRDefault="00161BC5" w:rsidP="00161BC5">
      <w:pPr>
        <w:spacing w:after="0" w:line="240" w:lineRule="auto"/>
        <w:jc w:val="left"/>
        <w:rPr>
          <w:rFonts w:eastAsia="Times New Roman"/>
          <w:szCs w:val="17"/>
        </w:rPr>
      </w:pPr>
      <w:r w:rsidRPr="00161BC5">
        <w:rPr>
          <w:rFonts w:eastAsia="Times New Roman"/>
          <w:noProof/>
          <w:szCs w:val="20"/>
          <w:lang w:eastAsia="en-AU"/>
        </w:rPr>
        <w:lastRenderedPageBreak/>
        <w:drawing>
          <wp:anchor distT="0" distB="0" distL="114300" distR="114300" simplePos="0" relativeHeight="251659776" behindDoc="0" locked="0" layoutInCell="1" allowOverlap="1" wp14:anchorId="2E5795A2" wp14:editId="711442D0">
            <wp:simplePos x="0" y="0"/>
            <wp:positionH relativeFrom="margin">
              <wp:align>center</wp:align>
            </wp:positionH>
            <wp:positionV relativeFrom="margin">
              <wp:align>top</wp:align>
            </wp:positionV>
            <wp:extent cx="5943600" cy="8406130"/>
            <wp:effectExtent l="0" t="0" r="0" b="0"/>
            <wp:wrapTopAndBottom/>
            <wp:docPr id="1" name="Picture 1" descr="G:\GAZETTE\GAZETTE NOTICES\2. RULES OF COURT\17 December 2020\Source\Forms_Combined_Page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AZETTE\GAZETTE NOTICES\2. RULES OF COURT\17 December 2020\Source\Forms_Combined_Page_01.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8406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1BC5">
        <w:rPr>
          <w:rFonts w:eastAsia="Times New Roman"/>
          <w:szCs w:val="20"/>
        </w:rPr>
        <w:br w:type="page"/>
      </w:r>
    </w:p>
    <w:p w:rsidR="00161BC5" w:rsidRPr="00161BC5" w:rsidRDefault="003A4FC3" w:rsidP="00161BC5">
      <w:pPr>
        <w:spacing w:after="0" w:line="240" w:lineRule="auto"/>
        <w:jc w:val="left"/>
        <w:rPr>
          <w:rFonts w:eastAsia="Times New Roman"/>
          <w:szCs w:val="20"/>
        </w:rPr>
      </w:pPr>
      <w:r>
        <w:rPr>
          <w:rFonts w:eastAsia="Times New Roman"/>
          <w:szCs w:val="2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7pt;height:661.75pt">
            <v:imagedata r:id="rId64" o:title="Forms_Combined_Page_02"/>
          </v:shape>
        </w:pict>
      </w:r>
    </w:p>
    <w:p w:rsidR="00161BC5" w:rsidRPr="00161BC5" w:rsidRDefault="00161BC5" w:rsidP="00161BC5">
      <w:pPr>
        <w:spacing w:after="0" w:line="240" w:lineRule="auto"/>
        <w:jc w:val="left"/>
        <w:rPr>
          <w:rFonts w:eastAsia="Times New Roman"/>
          <w:szCs w:val="17"/>
        </w:rPr>
      </w:pPr>
      <w:r w:rsidRPr="00161BC5">
        <w:rPr>
          <w:rFonts w:eastAsia="Times New Roman"/>
          <w:szCs w:val="20"/>
        </w:rPr>
        <w:br w:type="page"/>
      </w:r>
    </w:p>
    <w:p w:rsidR="00161BC5" w:rsidRPr="00161BC5" w:rsidRDefault="003A4FC3" w:rsidP="00161BC5">
      <w:pPr>
        <w:spacing w:after="0" w:line="240" w:lineRule="auto"/>
        <w:jc w:val="left"/>
        <w:rPr>
          <w:rFonts w:eastAsia="Times New Roman"/>
          <w:szCs w:val="20"/>
        </w:rPr>
      </w:pPr>
      <w:r>
        <w:rPr>
          <w:rFonts w:eastAsia="Times New Roman"/>
          <w:szCs w:val="20"/>
        </w:rPr>
        <w:lastRenderedPageBreak/>
        <w:pict>
          <v:shape id="_x0000_i1026" type="#_x0000_t75" style="width:468.7pt;height:661.75pt">
            <v:imagedata r:id="rId65" o:title="Forms_Combined_Page_03"/>
          </v:shape>
        </w:pict>
      </w:r>
    </w:p>
    <w:p w:rsidR="00161BC5" w:rsidRPr="00161BC5" w:rsidRDefault="003A4FC3" w:rsidP="00161BC5">
      <w:pPr>
        <w:spacing w:after="0" w:line="240" w:lineRule="auto"/>
        <w:jc w:val="left"/>
        <w:rPr>
          <w:rFonts w:eastAsia="Times New Roman"/>
          <w:szCs w:val="20"/>
        </w:rPr>
      </w:pPr>
      <w:r>
        <w:rPr>
          <w:rFonts w:eastAsia="Times New Roman"/>
          <w:szCs w:val="20"/>
        </w:rPr>
        <w:lastRenderedPageBreak/>
        <w:pict>
          <v:shape id="_x0000_i1027" type="#_x0000_t75" style="width:468.7pt;height:661.75pt">
            <v:imagedata r:id="rId66" o:title="Forms_Combined_Page_04"/>
          </v:shape>
        </w:pict>
      </w:r>
    </w:p>
    <w:p w:rsidR="00161BC5" w:rsidRPr="00161BC5" w:rsidRDefault="003A4FC3" w:rsidP="00161BC5">
      <w:pPr>
        <w:spacing w:after="0" w:line="240" w:lineRule="auto"/>
        <w:jc w:val="left"/>
        <w:rPr>
          <w:rFonts w:eastAsia="Times New Roman"/>
          <w:szCs w:val="20"/>
        </w:rPr>
      </w:pPr>
      <w:r>
        <w:rPr>
          <w:rFonts w:eastAsia="Times New Roman"/>
          <w:szCs w:val="20"/>
        </w:rPr>
        <w:lastRenderedPageBreak/>
        <w:pict>
          <v:shape id="_x0000_i1028" type="#_x0000_t75" style="width:468.7pt;height:661.75pt">
            <v:imagedata r:id="rId67" o:title="Forms_Combined_Page_05"/>
          </v:shape>
        </w:pict>
      </w:r>
    </w:p>
    <w:p w:rsidR="00161BC5" w:rsidRPr="00161BC5" w:rsidRDefault="003A4FC3" w:rsidP="00161BC5">
      <w:pPr>
        <w:spacing w:after="0" w:line="240" w:lineRule="auto"/>
        <w:jc w:val="left"/>
        <w:rPr>
          <w:rFonts w:eastAsia="Times New Roman"/>
          <w:szCs w:val="20"/>
        </w:rPr>
      </w:pPr>
      <w:r>
        <w:rPr>
          <w:rFonts w:eastAsia="Times New Roman"/>
          <w:szCs w:val="20"/>
        </w:rPr>
        <w:lastRenderedPageBreak/>
        <w:pict>
          <v:shape id="_x0000_i1029" type="#_x0000_t75" style="width:468.7pt;height:661.75pt">
            <v:imagedata r:id="rId68" o:title="Forms_Combined_Page_06"/>
          </v:shape>
        </w:pict>
      </w:r>
    </w:p>
    <w:p w:rsidR="00161BC5" w:rsidRPr="00161BC5" w:rsidRDefault="003A4FC3" w:rsidP="00161BC5">
      <w:pPr>
        <w:spacing w:after="0" w:line="240" w:lineRule="auto"/>
        <w:jc w:val="left"/>
        <w:rPr>
          <w:rFonts w:eastAsia="Times New Roman"/>
          <w:szCs w:val="20"/>
        </w:rPr>
      </w:pPr>
      <w:r>
        <w:rPr>
          <w:rFonts w:eastAsia="Times New Roman"/>
          <w:szCs w:val="20"/>
        </w:rPr>
        <w:lastRenderedPageBreak/>
        <w:pict>
          <v:shape id="_x0000_i1030" type="#_x0000_t75" style="width:468.7pt;height:661.75pt">
            <v:imagedata r:id="rId69" o:title="Forms_Combined_Page_07"/>
          </v:shape>
        </w:pict>
      </w:r>
    </w:p>
    <w:p w:rsidR="00161BC5" w:rsidRPr="00161BC5" w:rsidRDefault="003A4FC3" w:rsidP="00161BC5">
      <w:pPr>
        <w:spacing w:after="0" w:line="240" w:lineRule="auto"/>
        <w:jc w:val="left"/>
        <w:rPr>
          <w:rFonts w:eastAsia="Times New Roman"/>
          <w:szCs w:val="20"/>
        </w:rPr>
      </w:pPr>
      <w:r>
        <w:rPr>
          <w:rFonts w:eastAsia="Times New Roman"/>
          <w:szCs w:val="20"/>
        </w:rPr>
        <w:lastRenderedPageBreak/>
        <w:pict>
          <v:shape id="_x0000_i1031" type="#_x0000_t75" style="width:468.7pt;height:661.75pt">
            <v:imagedata r:id="rId70" o:title="Forms_Combined_Page_08"/>
          </v:shape>
        </w:pict>
      </w:r>
    </w:p>
    <w:p w:rsidR="00161BC5" w:rsidRPr="00161BC5" w:rsidRDefault="003A4FC3" w:rsidP="00161BC5">
      <w:pPr>
        <w:spacing w:after="0" w:line="240" w:lineRule="auto"/>
        <w:jc w:val="left"/>
        <w:rPr>
          <w:rFonts w:eastAsia="Times New Roman"/>
          <w:szCs w:val="20"/>
        </w:rPr>
      </w:pPr>
      <w:r>
        <w:rPr>
          <w:rFonts w:eastAsia="Times New Roman"/>
          <w:szCs w:val="20"/>
        </w:rPr>
        <w:lastRenderedPageBreak/>
        <w:pict>
          <v:shape id="_x0000_i1032" type="#_x0000_t75" style="width:468.7pt;height:661.75pt">
            <v:imagedata r:id="rId71" o:title="Forms_Combined_Page_09"/>
          </v:shape>
        </w:pict>
      </w:r>
    </w:p>
    <w:p w:rsidR="00161BC5" w:rsidRPr="00161BC5" w:rsidRDefault="00161BC5" w:rsidP="00161BC5">
      <w:pPr>
        <w:spacing w:after="0" w:line="240" w:lineRule="auto"/>
        <w:jc w:val="left"/>
        <w:rPr>
          <w:rFonts w:eastAsia="Times New Roman"/>
          <w:szCs w:val="17"/>
        </w:rPr>
      </w:pPr>
      <w:r w:rsidRPr="00161BC5">
        <w:rPr>
          <w:rFonts w:eastAsia="Times New Roman"/>
          <w:szCs w:val="20"/>
        </w:rPr>
        <w:br w:type="page"/>
      </w:r>
      <w:r w:rsidR="003A4FC3">
        <w:rPr>
          <w:rFonts w:eastAsia="Times New Roman"/>
          <w:szCs w:val="20"/>
        </w:rPr>
        <w:lastRenderedPageBreak/>
        <w:pict>
          <v:shape id="_x0000_i1033" type="#_x0000_t75" style="width:468.7pt;height:661.75pt">
            <v:imagedata r:id="rId72" o:title="Forms_Combined_Page_10"/>
          </v:shape>
        </w:pict>
      </w:r>
      <w:r w:rsidR="003A4FC3">
        <w:rPr>
          <w:rFonts w:eastAsia="Times New Roman"/>
          <w:szCs w:val="20"/>
        </w:rPr>
        <w:lastRenderedPageBreak/>
        <w:pict>
          <v:shape id="_x0000_i1034" type="#_x0000_t75" style="width:468.7pt;height:661.75pt">
            <v:imagedata r:id="rId73" o:title="Forms_Combined_Page_11"/>
          </v:shape>
        </w:pict>
      </w:r>
    </w:p>
    <w:p w:rsidR="00161BC5" w:rsidRPr="00161BC5" w:rsidRDefault="00161BC5" w:rsidP="00161BC5">
      <w:pPr>
        <w:spacing w:after="0" w:line="240" w:lineRule="auto"/>
        <w:jc w:val="left"/>
        <w:rPr>
          <w:rFonts w:eastAsia="Times New Roman"/>
          <w:szCs w:val="17"/>
        </w:rPr>
      </w:pPr>
      <w:r w:rsidRPr="00161BC5">
        <w:rPr>
          <w:rFonts w:eastAsia="Times New Roman"/>
          <w:szCs w:val="20"/>
        </w:rPr>
        <w:br w:type="page"/>
      </w:r>
      <w:r w:rsidR="003A4FC3">
        <w:rPr>
          <w:rFonts w:eastAsia="Times New Roman"/>
          <w:szCs w:val="20"/>
        </w:rPr>
        <w:lastRenderedPageBreak/>
        <w:pict>
          <v:shape id="_x0000_i1035" type="#_x0000_t75" style="width:468.7pt;height:661.75pt">
            <v:imagedata r:id="rId74" o:title="Forms_Combined_Page_12"/>
          </v:shape>
        </w:pict>
      </w:r>
      <w:r w:rsidR="003A4FC3">
        <w:rPr>
          <w:rFonts w:eastAsia="Times New Roman"/>
          <w:szCs w:val="20"/>
        </w:rPr>
        <w:lastRenderedPageBreak/>
        <w:pict>
          <v:shape id="_x0000_i1036" type="#_x0000_t75" style="width:468.7pt;height:661.75pt">
            <v:imagedata r:id="rId75" o:title="Forms_Combined_Page_13"/>
          </v:shape>
        </w:pict>
      </w:r>
    </w:p>
    <w:p w:rsidR="00161BC5" w:rsidRPr="00161BC5" w:rsidRDefault="00161BC5" w:rsidP="00161BC5">
      <w:pPr>
        <w:spacing w:after="0" w:line="240" w:lineRule="auto"/>
        <w:jc w:val="left"/>
        <w:rPr>
          <w:rFonts w:eastAsia="Times New Roman"/>
          <w:szCs w:val="17"/>
        </w:rPr>
      </w:pPr>
      <w:r w:rsidRPr="00161BC5">
        <w:rPr>
          <w:rFonts w:eastAsia="Times New Roman"/>
          <w:szCs w:val="20"/>
        </w:rPr>
        <w:br w:type="page"/>
      </w:r>
      <w:r w:rsidR="003A4FC3">
        <w:rPr>
          <w:rFonts w:eastAsia="Times New Roman"/>
          <w:szCs w:val="20"/>
        </w:rPr>
        <w:lastRenderedPageBreak/>
        <w:pict>
          <v:shape id="_x0000_i1037" type="#_x0000_t75" style="width:468.7pt;height:661.75pt">
            <v:imagedata r:id="rId76" o:title="Forms_Combined_Page_14"/>
          </v:shape>
        </w:pict>
      </w:r>
      <w:r w:rsidR="003A4FC3">
        <w:rPr>
          <w:rFonts w:eastAsia="Times New Roman"/>
          <w:szCs w:val="20"/>
        </w:rPr>
        <w:lastRenderedPageBreak/>
        <w:pict>
          <v:shape id="_x0000_i1038" type="#_x0000_t75" style="width:468.7pt;height:661.75pt">
            <v:imagedata r:id="rId77" o:title="Forms_Combined_Page_15"/>
          </v:shape>
        </w:pict>
      </w:r>
    </w:p>
    <w:p w:rsidR="00161BC5" w:rsidRPr="00161BC5" w:rsidRDefault="00161BC5" w:rsidP="00161BC5">
      <w:pPr>
        <w:spacing w:after="0" w:line="240" w:lineRule="auto"/>
        <w:jc w:val="left"/>
        <w:rPr>
          <w:rFonts w:eastAsia="Times New Roman"/>
          <w:szCs w:val="17"/>
        </w:rPr>
      </w:pPr>
      <w:r w:rsidRPr="00161BC5">
        <w:rPr>
          <w:rFonts w:eastAsia="Times New Roman"/>
          <w:szCs w:val="20"/>
        </w:rPr>
        <w:br w:type="page"/>
      </w:r>
      <w:r w:rsidR="003A4FC3">
        <w:rPr>
          <w:rFonts w:eastAsia="Times New Roman"/>
          <w:szCs w:val="20"/>
        </w:rPr>
        <w:lastRenderedPageBreak/>
        <w:pict>
          <v:shape id="_x0000_i1039" type="#_x0000_t75" style="width:468.7pt;height:661.75pt">
            <v:imagedata r:id="rId78" o:title="Forms_Combined_Page_16"/>
          </v:shape>
        </w:pict>
      </w:r>
      <w:r w:rsidR="003A4FC3">
        <w:rPr>
          <w:rFonts w:eastAsia="Times New Roman"/>
          <w:szCs w:val="20"/>
        </w:rPr>
        <w:lastRenderedPageBreak/>
        <w:pict>
          <v:shape id="_x0000_i1040" type="#_x0000_t75" style="width:468.7pt;height:661.75pt">
            <v:imagedata r:id="rId79" o:title="Forms_Combined_Page_17"/>
          </v:shape>
        </w:pict>
      </w:r>
    </w:p>
    <w:p w:rsidR="00161BC5" w:rsidRPr="00161BC5" w:rsidRDefault="00161BC5" w:rsidP="00161BC5">
      <w:pPr>
        <w:spacing w:after="0" w:line="240" w:lineRule="auto"/>
        <w:jc w:val="left"/>
        <w:rPr>
          <w:rFonts w:eastAsia="Times New Roman"/>
          <w:szCs w:val="17"/>
        </w:rPr>
      </w:pPr>
      <w:r w:rsidRPr="00161BC5">
        <w:rPr>
          <w:rFonts w:eastAsia="Times New Roman"/>
          <w:szCs w:val="20"/>
        </w:rPr>
        <w:br w:type="page"/>
      </w:r>
      <w:r w:rsidR="003A4FC3">
        <w:rPr>
          <w:rFonts w:eastAsia="Times New Roman"/>
          <w:szCs w:val="20"/>
        </w:rPr>
        <w:lastRenderedPageBreak/>
        <w:pict>
          <v:shape id="_x0000_i1041" type="#_x0000_t75" style="width:468.7pt;height:661.75pt">
            <v:imagedata r:id="rId80" o:title="Forms_Combined_Page_18"/>
          </v:shape>
        </w:pict>
      </w:r>
      <w:r w:rsidR="003A4FC3">
        <w:rPr>
          <w:rFonts w:eastAsia="Times New Roman"/>
          <w:szCs w:val="20"/>
        </w:rPr>
        <w:lastRenderedPageBreak/>
        <w:pict>
          <v:shape id="_x0000_i1042" type="#_x0000_t75" style="width:468.7pt;height:661.75pt">
            <v:imagedata r:id="rId81" o:title="Forms_Combined_Page_19"/>
          </v:shape>
        </w:pict>
      </w:r>
    </w:p>
    <w:p w:rsidR="00161BC5" w:rsidRPr="00161BC5" w:rsidRDefault="00161BC5" w:rsidP="00161BC5">
      <w:pPr>
        <w:spacing w:after="0" w:line="240" w:lineRule="auto"/>
        <w:jc w:val="left"/>
        <w:rPr>
          <w:rFonts w:eastAsia="Times New Roman"/>
          <w:szCs w:val="17"/>
        </w:rPr>
      </w:pPr>
      <w:r w:rsidRPr="00161BC5">
        <w:rPr>
          <w:rFonts w:eastAsia="Times New Roman"/>
          <w:szCs w:val="20"/>
        </w:rPr>
        <w:br w:type="page"/>
      </w:r>
      <w:r w:rsidR="003A4FC3">
        <w:rPr>
          <w:rFonts w:eastAsia="Times New Roman"/>
          <w:szCs w:val="20"/>
        </w:rPr>
        <w:lastRenderedPageBreak/>
        <w:pict>
          <v:shape id="_x0000_i1043" type="#_x0000_t75" style="width:467.75pt;height:662.7pt">
            <v:imagedata r:id="rId82" o:title="Forms_Combined_Page_20"/>
          </v:shape>
        </w:pict>
      </w:r>
      <w:r w:rsidR="003A4FC3">
        <w:rPr>
          <w:rFonts w:eastAsia="Times New Roman"/>
          <w:szCs w:val="20"/>
        </w:rPr>
        <w:lastRenderedPageBreak/>
        <w:pict>
          <v:shape id="_x0000_i1044" type="#_x0000_t75" style="width:467.75pt;height:662.7pt">
            <v:imagedata r:id="rId83" o:title="Forms_Combined_Page_21"/>
          </v:shape>
        </w:pict>
      </w:r>
    </w:p>
    <w:p w:rsidR="00161BC5" w:rsidRPr="00161BC5" w:rsidRDefault="00161BC5" w:rsidP="00161BC5">
      <w:pPr>
        <w:spacing w:after="0" w:line="240" w:lineRule="auto"/>
        <w:jc w:val="left"/>
        <w:rPr>
          <w:rFonts w:eastAsia="Times New Roman"/>
          <w:szCs w:val="17"/>
        </w:rPr>
      </w:pPr>
      <w:r w:rsidRPr="00161BC5">
        <w:rPr>
          <w:rFonts w:eastAsia="Times New Roman"/>
          <w:szCs w:val="20"/>
        </w:rPr>
        <w:br w:type="page"/>
      </w:r>
    </w:p>
    <w:p w:rsidR="00161BC5" w:rsidRPr="00161BC5" w:rsidRDefault="003A4FC3" w:rsidP="00161BC5">
      <w:pPr>
        <w:spacing w:after="0" w:line="240" w:lineRule="auto"/>
        <w:jc w:val="left"/>
        <w:rPr>
          <w:rFonts w:eastAsia="Times New Roman"/>
          <w:szCs w:val="20"/>
        </w:rPr>
      </w:pPr>
      <w:r>
        <w:rPr>
          <w:rFonts w:eastAsia="Times New Roman"/>
          <w:szCs w:val="20"/>
        </w:rPr>
        <w:lastRenderedPageBreak/>
        <w:pict>
          <v:shape id="_x0000_i1045" type="#_x0000_t75" style="width:467.75pt;height:662.7pt">
            <v:imagedata r:id="rId84" o:title="Forms_Combined_Page_22"/>
          </v:shape>
        </w:pict>
      </w:r>
    </w:p>
    <w:p w:rsidR="00161BC5" w:rsidRPr="00161BC5" w:rsidRDefault="003A4FC3" w:rsidP="00161BC5">
      <w:pPr>
        <w:spacing w:after="0" w:line="240" w:lineRule="auto"/>
        <w:jc w:val="left"/>
        <w:rPr>
          <w:rFonts w:eastAsia="Times New Roman"/>
          <w:szCs w:val="20"/>
        </w:rPr>
      </w:pPr>
      <w:r>
        <w:rPr>
          <w:rFonts w:eastAsia="Times New Roman"/>
          <w:szCs w:val="20"/>
        </w:rPr>
        <w:lastRenderedPageBreak/>
        <w:pict>
          <v:shape id="_x0000_i1046" type="#_x0000_t75" style="width:467.75pt;height:662.7pt">
            <v:imagedata r:id="rId83" o:title="Forms_Combined_Page_23"/>
          </v:shape>
        </w:pict>
      </w:r>
    </w:p>
    <w:p w:rsidR="00161BC5" w:rsidRPr="00161BC5" w:rsidRDefault="003A4FC3" w:rsidP="00161BC5">
      <w:pPr>
        <w:spacing w:after="0" w:line="240" w:lineRule="auto"/>
        <w:jc w:val="left"/>
        <w:rPr>
          <w:rFonts w:eastAsia="Times New Roman"/>
          <w:szCs w:val="20"/>
        </w:rPr>
      </w:pPr>
      <w:r>
        <w:rPr>
          <w:rFonts w:eastAsia="Times New Roman"/>
          <w:szCs w:val="20"/>
        </w:rPr>
        <w:lastRenderedPageBreak/>
        <w:pict>
          <v:shape id="_x0000_i1047" type="#_x0000_t75" style="width:467.75pt;height:662.7pt">
            <v:imagedata r:id="rId85" o:title="Forms_Combined_Page_24"/>
          </v:shape>
        </w:pict>
      </w:r>
    </w:p>
    <w:p w:rsidR="00161BC5" w:rsidRPr="00161BC5" w:rsidRDefault="003A4FC3" w:rsidP="00161BC5">
      <w:pPr>
        <w:spacing w:after="0" w:line="240" w:lineRule="auto"/>
        <w:jc w:val="left"/>
        <w:rPr>
          <w:rFonts w:eastAsia="Times New Roman"/>
          <w:szCs w:val="20"/>
        </w:rPr>
      </w:pPr>
      <w:r>
        <w:rPr>
          <w:rFonts w:eastAsia="Times New Roman"/>
          <w:szCs w:val="20"/>
        </w:rPr>
        <w:lastRenderedPageBreak/>
        <w:pict>
          <v:shape id="_x0000_i1048" type="#_x0000_t75" style="width:467.75pt;height:662.7pt">
            <v:imagedata r:id="rId86" o:title="Forms_Combined_Page_25"/>
          </v:shape>
        </w:pict>
      </w:r>
    </w:p>
    <w:p w:rsidR="00161BC5" w:rsidRPr="00161BC5" w:rsidRDefault="003A4FC3" w:rsidP="00161BC5">
      <w:pPr>
        <w:spacing w:after="0" w:line="240" w:lineRule="auto"/>
        <w:jc w:val="left"/>
        <w:rPr>
          <w:rFonts w:eastAsia="Times New Roman"/>
          <w:szCs w:val="20"/>
        </w:rPr>
      </w:pPr>
      <w:r>
        <w:rPr>
          <w:rFonts w:eastAsia="Times New Roman"/>
          <w:szCs w:val="20"/>
        </w:rPr>
        <w:lastRenderedPageBreak/>
        <w:pict>
          <v:shape id="_x0000_i1049" type="#_x0000_t75" style="width:467.75pt;height:662.7pt">
            <v:imagedata r:id="rId87" o:title="Forms_Combined_Page_26"/>
          </v:shape>
        </w:pict>
      </w:r>
    </w:p>
    <w:p w:rsidR="00161BC5" w:rsidRPr="00161BC5" w:rsidRDefault="00161BC5" w:rsidP="00161BC5">
      <w:pPr>
        <w:spacing w:after="0" w:line="240" w:lineRule="auto"/>
        <w:jc w:val="left"/>
        <w:rPr>
          <w:rFonts w:eastAsia="Times New Roman"/>
          <w:szCs w:val="20"/>
        </w:rPr>
      </w:pPr>
      <w:r w:rsidRPr="00161BC5">
        <w:rPr>
          <w:rFonts w:eastAsia="Times New Roman"/>
          <w:noProof/>
          <w:szCs w:val="20"/>
          <w:lang w:eastAsia="en-AU"/>
        </w:rPr>
        <w:lastRenderedPageBreak/>
        <w:drawing>
          <wp:inline distT="0" distB="0" distL="0" distR="0">
            <wp:extent cx="5940425" cy="8404225"/>
            <wp:effectExtent l="0" t="0" r="0" b="0"/>
            <wp:docPr id="3" name="Picture 3" descr="Forms_Combined_Page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orms_Combined_Page_2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40425" cy="8404225"/>
                    </a:xfrm>
                    <a:prstGeom prst="rect">
                      <a:avLst/>
                    </a:prstGeom>
                    <a:noFill/>
                    <a:ln>
                      <a:noFill/>
                    </a:ln>
                  </pic:spPr>
                </pic:pic>
              </a:graphicData>
            </a:graphic>
          </wp:inline>
        </w:drawing>
      </w:r>
    </w:p>
    <w:p w:rsidR="00161BC5" w:rsidRPr="00161BC5" w:rsidRDefault="00161BC5" w:rsidP="00161BC5">
      <w:pPr>
        <w:spacing w:after="0" w:line="240" w:lineRule="auto"/>
        <w:jc w:val="left"/>
        <w:rPr>
          <w:rFonts w:eastAsia="Times New Roman"/>
          <w:szCs w:val="20"/>
        </w:rPr>
      </w:pPr>
    </w:p>
    <w:p w:rsidR="00161BC5" w:rsidRPr="00161BC5" w:rsidRDefault="00161BC5" w:rsidP="00161BC5">
      <w:pPr>
        <w:pBdr>
          <w:bottom w:val="single" w:sz="4" w:space="1" w:color="auto"/>
        </w:pBdr>
        <w:spacing w:after="0" w:line="52" w:lineRule="exact"/>
        <w:jc w:val="center"/>
        <w:rPr>
          <w:rFonts w:eastAsia="Times New Roman"/>
          <w:szCs w:val="17"/>
        </w:rPr>
      </w:pPr>
    </w:p>
    <w:p w:rsidR="00161BC5" w:rsidRPr="00161BC5" w:rsidRDefault="00161BC5" w:rsidP="00161BC5">
      <w:pPr>
        <w:pBdr>
          <w:top w:val="single" w:sz="4" w:space="1" w:color="auto"/>
        </w:pBdr>
        <w:spacing w:before="34" w:after="0" w:line="14" w:lineRule="exact"/>
        <w:jc w:val="center"/>
        <w:rPr>
          <w:rFonts w:eastAsia="Times New Roman"/>
          <w:szCs w:val="17"/>
        </w:rPr>
      </w:pPr>
    </w:p>
    <w:p w:rsidR="00161BC5" w:rsidRPr="00161BC5" w:rsidRDefault="00161BC5" w:rsidP="00161BC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p>
    <w:p w:rsidR="009D1E2E" w:rsidRPr="009D1E2E" w:rsidRDefault="009D1E2E" w:rsidP="005D722B">
      <w:pPr>
        <w:pStyle w:val="Heading1"/>
        <w:spacing w:before="0"/>
      </w:pPr>
      <w:r>
        <w:rPr>
          <w:lang w:val="en-US"/>
        </w:rPr>
        <w:br w:type="page"/>
      </w:r>
      <w:bookmarkStart w:id="104" w:name="_Toc33707982"/>
      <w:bookmarkStart w:id="105" w:name="_Toc33708153"/>
      <w:bookmarkStart w:id="106" w:name="_Toc59098945"/>
      <w:r w:rsidRPr="009D1E2E">
        <w:lastRenderedPageBreak/>
        <w:t>State Government Instruments</w:t>
      </w:r>
      <w:bookmarkEnd w:id="104"/>
      <w:bookmarkEnd w:id="105"/>
      <w:bookmarkEnd w:id="106"/>
    </w:p>
    <w:p w:rsidR="00C03A6A" w:rsidRPr="00C03A6A" w:rsidRDefault="005549E6" w:rsidP="005549E6">
      <w:pPr>
        <w:pStyle w:val="Heading2"/>
      </w:pPr>
      <w:bookmarkStart w:id="107" w:name="_Toc59098946"/>
      <w:r w:rsidRPr="00C03A6A">
        <w:t>Associations Incorporation Act 1985</w:t>
      </w:r>
      <w:bookmarkEnd w:id="107"/>
    </w:p>
    <w:p w:rsidR="00C03A6A" w:rsidRPr="00C03A6A" w:rsidRDefault="00C03A6A" w:rsidP="00C03A6A">
      <w:pPr>
        <w:jc w:val="center"/>
        <w:rPr>
          <w:smallCaps/>
          <w:szCs w:val="17"/>
        </w:rPr>
      </w:pPr>
      <w:r w:rsidRPr="00C03A6A">
        <w:rPr>
          <w:smallCaps/>
          <w:szCs w:val="17"/>
        </w:rPr>
        <w:t>Section 43A</w:t>
      </w:r>
    </w:p>
    <w:p w:rsidR="00C03A6A" w:rsidRPr="00C03A6A" w:rsidRDefault="00C03A6A" w:rsidP="00C03A6A">
      <w:pPr>
        <w:jc w:val="center"/>
        <w:rPr>
          <w:i/>
          <w:szCs w:val="17"/>
        </w:rPr>
      </w:pPr>
      <w:r w:rsidRPr="00C03A6A">
        <w:rPr>
          <w:i/>
          <w:szCs w:val="17"/>
        </w:rPr>
        <w:t>Deregistration of Associations</w:t>
      </w:r>
    </w:p>
    <w:p w:rsidR="00C03A6A" w:rsidRPr="00C03A6A" w:rsidRDefault="00C03A6A" w:rsidP="00C03A6A">
      <w:pPr>
        <w:rPr>
          <w:rFonts w:eastAsia="Times New Roman"/>
          <w:szCs w:val="17"/>
        </w:rPr>
      </w:pPr>
      <w:r w:rsidRPr="00C03A6A">
        <w:rPr>
          <w:rFonts w:eastAsia="Times New Roman"/>
          <w:szCs w:val="17"/>
        </w:rPr>
        <w:t xml:space="preserve">NOTICE is hereby given that the Corporate Affairs Commission approves the applications for deregistration received from the associations named below pursuant to Section 43A of the </w:t>
      </w:r>
      <w:r w:rsidRPr="00C03A6A">
        <w:rPr>
          <w:rFonts w:eastAsia="Times New Roman"/>
          <w:i/>
          <w:szCs w:val="17"/>
        </w:rPr>
        <w:t>Associations Incorporation Act 1985</w:t>
      </w:r>
      <w:r w:rsidRPr="00C03A6A">
        <w:rPr>
          <w:rFonts w:eastAsia="Times New Roman"/>
          <w:szCs w:val="17"/>
        </w:rPr>
        <w:t>. Deregistration takes effect on the date of publication of this notice.</w:t>
      </w:r>
    </w:p>
    <w:p w:rsidR="00C03A6A" w:rsidRPr="00C03A6A" w:rsidRDefault="00C03A6A" w:rsidP="00C03A6A">
      <w:pPr>
        <w:spacing w:after="0"/>
        <w:ind w:left="142"/>
        <w:rPr>
          <w:rFonts w:eastAsia="Times New Roman"/>
          <w:szCs w:val="17"/>
        </w:rPr>
      </w:pPr>
      <w:r w:rsidRPr="00C03A6A">
        <w:rPr>
          <w:rFonts w:eastAsia="Times New Roman"/>
          <w:szCs w:val="17"/>
        </w:rPr>
        <w:t>Andes Support Association of South Australia Incorporated</w:t>
      </w:r>
    </w:p>
    <w:p w:rsidR="00C03A6A" w:rsidRPr="00C03A6A" w:rsidRDefault="00C03A6A" w:rsidP="00C03A6A">
      <w:pPr>
        <w:spacing w:after="0"/>
        <w:ind w:left="142"/>
        <w:rPr>
          <w:rFonts w:eastAsia="Times New Roman"/>
          <w:szCs w:val="17"/>
        </w:rPr>
      </w:pPr>
      <w:r w:rsidRPr="00C03A6A">
        <w:rPr>
          <w:rFonts w:eastAsia="Times New Roman"/>
          <w:szCs w:val="17"/>
        </w:rPr>
        <w:t>Elliot Gardens Residents’ Association Incorporated</w:t>
      </w:r>
    </w:p>
    <w:p w:rsidR="00C03A6A" w:rsidRPr="00C03A6A" w:rsidRDefault="00C03A6A" w:rsidP="00C03A6A">
      <w:pPr>
        <w:spacing w:after="0"/>
        <w:ind w:left="142"/>
        <w:rPr>
          <w:rFonts w:eastAsia="Times New Roman"/>
          <w:szCs w:val="17"/>
        </w:rPr>
      </w:pPr>
      <w:r w:rsidRPr="00C03A6A">
        <w:rPr>
          <w:rFonts w:eastAsia="Times New Roman"/>
          <w:szCs w:val="17"/>
        </w:rPr>
        <w:t>Lincoln Triathlon Club Incorporated</w:t>
      </w:r>
    </w:p>
    <w:p w:rsidR="00C03A6A" w:rsidRPr="00C03A6A" w:rsidRDefault="00C03A6A" w:rsidP="00C03A6A">
      <w:pPr>
        <w:spacing w:after="0"/>
        <w:ind w:left="142"/>
        <w:rPr>
          <w:rFonts w:eastAsia="Times New Roman"/>
          <w:szCs w:val="17"/>
        </w:rPr>
      </w:pPr>
      <w:r w:rsidRPr="00C03A6A">
        <w:rPr>
          <w:rFonts w:eastAsia="Times New Roman"/>
          <w:szCs w:val="17"/>
        </w:rPr>
        <w:t>Mount Gambier Aquatic Club Incorporated</w:t>
      </w:r>
    </w:p>
    <w:p w:rsidR="00C03A6A" w:rsidRPr="00C03A6A" w:rsidRDefault="00C03A6A" w:rsidP="00C03A6A">
      <w:pPr>
        <w:spacing w:after="0"/>
        <w:ind w:left="142"/>
        <w:rPr>
          <w:rFonts w:eastAsia="Times New Roman"/>
          <w:szCs w:val="17"/>
        </w:rPr>
      </w:pPr>
      <w:r w:rsidRPr="00C03A6A">
        <w:rPr>
          <w:rFonts w:eastAsia="Times New Roman"/>
          <w:szCs w:val="17"/>
        </w:rPr>
        <w:t>Overseas Childrens Aid Association Incorporated</w:t>
      </w:r>
    </w:p>
    <w:p w:rsidR="00C03A6A" w:rsidRPr="00C03A6A" w:rsidRDefault="00C03A6A" w:rsidP="00C03A6A">
      <w:pPr>
        <w:spacing w:after="0"/>
        <w:ind w:left="142"/>
        <w:rPr>
          <w:rFonts w:eastAsia="Times New Roman"/>
          <w:szCs w:val="17"/>
        </w:rPr>
      </w:pPr>
      <w:r w:rsidRPr="00C03A6A">
        <w:rPr>
          <w:rFonts w:eastAsia="Times New Roman"/>
          <w:szCs w:val="17"/>
        </w:rPr>
        <w:t>Registered Employers Group Incorporated</w:t>
      </w:r>
    </w:p>
    <w:p w:rsidR="00C03A6A" w:rsidRPr="00C03A6A" w:rsidRDefault="00C03A6A" w:rsidP="00C03A6A">
      <w:pPr>
        <w:spacing w:after="0"/>
        <w:ind w:left="142"/>
        <w:rPr>
          <w:rFonts w:eastAsia="Times New Roman"/>
          <w:szCs w:val="17"/>
        </w:rPr>
      </w:pPr>
      <w:r w:rsidRPr="00C03A6A">
        <w:rPr>
          <w:rFonts w:eastAsia="Times New Roman"/>
          <w:szCs w:val="17"/>
        </w:rPr>
        <w:t>Retina Australia (SA) Incorporated</w:t>
      </w:r>
    </w:p>
    <w:p w:rsidR="00C03A6A" w:rsidRPr="00C03A6A" w:rsidRDefault="00C03A6A" w:rsidP="00C03A6A">
      <w:pPr>
        <w:spacing w:after="0"/>
        <w:ind w:left="142"/>
        <w:rPr>
          <w:rFonts w:eastAsia="Times New Roman"/>
          <w:szCs w:val="17"/>
        </w:rPr>
      </w:pPr>
      <w:r w:rsidRPr="00C03A6A">
        <w:rPr>
          <w:rFonts w:eastAsia="Times New Roman"/>
          <w:szCs w:val="17"/>
        </w:rPr>
        <w:t>Rotary District 9520 Rywell Committee Incorporated</w:t>
      </w:r>
    </w:p>
    <w:p w:rsidR="00C03A6A" w:rsidRPr="00C03A6A" w:rsidRDefault="00C03A6A" w:rsidP="00C03A6A">
      <w:pPr>
        <w:spacing w:after="0"/>
        <w:ind w:left="142"/>
        <w:rPr>
          <w:rFonts w:eastAsia="Times New Roman"/>
          <w:szCs w:val="17"/>
        </w:rPr>
      </w:pPr>
      <w:r w:rsidRPr="00C03A6A">
        <w:rPr>
          <w:rFonts w:eastAsia="Times New Roman"/>
          <w:szCs w:val="17"/>
        </w:rPr>
        <w:t>South Australia Management Council—The Australian Stock Horse Society Incorporated</w:t>
      </w:r>
    </w:p>
    <w:p w:rsidR="00C03A6A" w:rsidRPr="00C03A6A" w:rsidRDefault="00C03A6A" w:rsidP="00C03A6A">
      <w:pPr>
        <w:spacing w:after="0"/>
        <w:ind w:left="142"/>
        <w:rPr>
          <w:rFonts w:eastAsia="Times New Roman"/>
          <w:szCs w:val="17"/>
        </w:rPr>
      </w:pPr>
      <w:r w:rsidRPr="00C03A6A">
        <w:rPr>
          <w:rFonts w:eastAsia="Times New Roman"/>
          <w:szCs w:val="17"/>
        </w:rPr>
        <w:t>Supporting Uganda’s Re-Growth Efforts Incorporated</w:t>
      </w:r>
    </w:p>
    <w:p w:rsidR="00C03A6A" w:rsidRPr="00C03A6A" w:rsidRDefault="00C03A6A" w:rsidP="00C03A6A">
      <w:pPr>
        <w:spacing w:after="0"/>
        <w:ind w:left="142"/>
        <w:rPr>
          <w:rFonts w:eastAsia="Times New Roman"/>
          <w:szCs w:val="17"/>
        </w:rPr>
      </w:pPr>
      <w:r w:rsidRPr="00C03A6A">
        <w:rPr>
          <w:rFonts w:eastAsia="Times New Roman"/>
          <w:szCs w:val="17"/>
        </w:rPr>
        <w:t>Team Adelaide Incorporated</w:t>
      </w:r>
    </w:p>
    <w:p w:rsidR="00C03A6A" w:rsidRPr="00C03A6A" w:rsidRDefault="00C03A6A" w:rsidP="00C03A6A">
      <w:pPr>
        <w:spacing w:after="0"/>
        <w:ind w:left="142"/>
        <w:rPr>
          <w:rFonts w:eastAsia="Times New Roman"/>
          <w:szCs w:val="17"/>
        </w:rPr>
      </w:pPr>
      <w:r w:rsidRPr="00C03A6A">
        <w:rPr>
          <w:rFonts w:eastAsia="Times New Roman"/>
          <w:szCs w:val="17"/>
        </w:rPr>
        <w:t>The Hope Inn Sports &amp; Social Club Incorporated</w:t>
      </w:r>
    </w:p>
    <w:p w:rsidR="00C03A6A" w:rsidRPr="00C03A6A" w:rsidRDefault="00C03A6A" w:rsidP="00C03A6A">
      <w:pPr>
        <w:spacing w:after="0"/>
        <w:ind w:left="142"/>
        <w:rPr>
          <w:rFonts w:eastAsia="Times New Roman"/>
          <w:szCs w:val="17"/>
        </w:rPr>
      </w:pPr>
      <w:r w:rsidRPr="00C03A6A">
        <w:rPr>
          <w:rFonts w:eastAsia="Times New Roman"/>
          <w:szCs w:val="17"/>
        </w:rPr>
        <w:t>Transition Right Incorporated</w:t>
      </w:r>
    </w:p>
    <w:p w:rsidR="00C03A6A" w:rsidRPr="00C03A6A" w:rsidRDefault="00C03A6A" w:rsidP="00C03A6A">
      <w:pPr>
        <w:spacing w:after="0"/>
        <w:ind w:left="142"/>
        <w:rPr>
          <w:rFonts w:eastAsia="Times New Roman"/>
          <w:szCs w:val="17"/>
        </w:rPr>
      </w:pPr>
      <w:r w:rsidRPr="00C03A6A">
        <w:rPr>
          <w:rFonts w:eastAsia="Times New Roman"/>
          <w:szCs w:val="17"/>
        </w:rPr>
        <w:t>Victim Support Service (VSS) Legal Assistance Incorporated</w:t>
      </w:r>
    </w:p>
    <w:p w:rsidR="00C03A6A" w:rsidRPr="00C03A6A" w:rsidRDefault="00C03A6A" w:rsidP="00C03A6A">
      <w:pPr>
        <w:ind w:left="142"/>
        <w:rPr>
          <w:rFonts w:eastAsia="Times New Roman"/>
          <w:szCs w:val="17"/>
        </w:rPr>
      </w:pPr>
      <w:r w:rsidRPr="00C03A6A">
        <w:rPr>
          <w:rFonts w:eastAsia="Times New Roman"/>
          <w:szCs w:val="17"/>
        </w:rPr>
        <w:t>Waikerie &amp; Districts Junior Netball Association Incorporated</w:t>
      </w:r>
    </w:p>
    <w:p w:rsidR="00C03A6A" w:rsidRPr="00C03A6A" w:rsidRDefault="00C03A6A" w:rsidP="00C03A6A">
      <w:pPr>
        <w:spacing w:after="0"/>
        <w:rPr>
          <w:rFonts w:eastAsia="Times New Roman"/>
          <w:szCs w:val="17"/>
        </w:rPr>
      </w:pPr>
      <w:r w:rsidRPr="00C03A6A">
        <w:rPr>
          <w:rFonts w:eastAsia="Times New Roman"/>
          <w:szCs w:val="17"/>
        </w:rPr>
        <w:t>Dated: 17 December 2020</w:t>
      </w:r>
    </w:p>
    <w:p w:rsidR="00C03A6A" w:rsidRPr="00C03A6A" w:rsidRDefault="00C03A6A" w:rsidP="00C03A6A">
      <w:pPr>
        <w:spacing w:after="0"/>
        <w:jc w:val="right"/>
        <w:rPr>
          <w:rFonts w:eastAsia="Times New Roman"/>
          <w:smallCaps/>
          <w:szCs w:val="20"/>
        </w:rPr>
      </w:pPr>
      <w:r w:rsidRPr="00C03A6A">
        <w:rPr>
          <w:rFonts w:eastAsia="Times New Roman"/>
          <w:smallCaps/>
          <w:szCs w:val="20"/>
        </w:rPr>
        <w:t>Bradley Simpson</w:t>
      </w:r>
    </w:p>
    <w:p w:rsidR="00C03A6A" w:rsidRPr="00C03A6A" w:rsidRDefault="00C03A6A" w:rsidP="00C03A6A">
      <w:pPr>
        <w:spacing w:after="0"/>
        <w:jc w:val="right"/>
        <w:rPr>
          <w:rFonts w:eastAsia="Times New Roman"/>
          <w:szCs w:val="17"/>
        </w:rPr>
      </w:pPr>
      <w:r w:rsidRPr="00C03A6A">
        <w:rPr>
          <w:rFonts w:eastAsia="Times New Roman"/>
          <w:szCs w:val="17"/>
        </w:rPr>
        <w:t>Manager Gambling, Associations and Charities</w:t>
      </w:r>
    </w:p>
    <w:p w:rsidR="009D1E2E" w:rsidRDefault="00C03A6A" w:rsidP="00C03A6A">
      <w:pPr>
        <w:spacing w:after="0"/>
        <w:jc w:val="right"/>
        <w:rPr>
          <w:rFonts w:eastAsia="Times New Roman"/>
          <w:szCs w:val="17"/>
        </w:rPr>
      </w:pPr>
      <w:r w:rsidRPr="00C03A6A">
        <w:rPr>
          <w:rFonts w:eastAsia="Times New Roman"/>
          <w:szCs w:val="17"/>
        </w:rPr>
        <w:t>a delegate of the Corporate Affairs Commission</w:t>
      </w:r>
    </w:p>
    <w:p w:rsidR="00C03A6A" w:rsidRDefault="00C03A6A" w:rsidP="00C03A6A">
      <w:pPr>
        <w:pBdr>
          <w:bottom w:val="single" w:sz="4" w:space="1" w:color="auto"/>
        </w:pBdr>
        <w:spacing w:after="0" w:line="52" w:lineRule="exact"/>
        <w:jc w:val="center"/>
        <w:rPr>
          <w:lang w:val="en-US"/>
        </w:rPr>
      </w:pPr>
    </w:p>
    <w:p w:rsidR="00C03A6A" w:rsidRDefault="00C03A6A" w:rsidP="00C03A6A">
      <w:pPr>
        <w:pBdr>
          <w:top w:val="single" w:sz="4" w:space="1" w:color="auto"/>
        </w:pBdr>
        <w:spacing w:before="34" w:after="0" w:line="14" w:lineRule="exact"/>
        <w:jc w:val="center"/>
        <w:rPr>
          <w:lang w:val="en-US"/>
        </w:rPr>
      </w:pPr>
    </w:p>
    <w:p w:rsidR="00C03A6A" w:rsidRDefault="00C03A6A" w:rsidP="00C03A6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D828EA" w:rsidRDefault="00D828EA">
      <w:pPr>
        <w:spacing w:after="0" w:line="240" w:lineRule="auto"/>
        <w:jc w:val="left"/>
        <w:rPr>
          <w:caps/>
          <w:szCs w:val="17"/>
        </w:rPr>
      </w:pPr>
      <w:r>
        <w:rPr>
          <w:caps/>
          <w:szCs w:val="17"/>
        </w:rPr>
        <w:br w:type="page"/>
      </w:r>
    </w:p>
    <w:p w:rsidR="00C03A6A" w:rsidRPr="00C03A6A" w:rsidRDefault="00C03A6A" w:rsidP="005549E6">
      <w:pPr>
        <w:pStyle w:val="Heading2"/>
      </w:pPr>
      <w:bookmarkStart w:id="108" w:name="_Toc59098947"/>
      <w:r w:rsidRPr="00C03A6A">
        <w:lastRenderedPageBreak/>
        <w:t>Authorised Betting Operations Act 2000</w:t>
      </w:r>
      <w:bookmarkEnd w:id="108"/>
    </w:p>
    <w:p w:rsidR="00C03A6A" w:rsidRPr="00C03A6A" w:rsidRDefault="00C03A6A" w:rsidP="00C03A6A">
      <w:pPr>
        <w:keepLines/>
        <w:autoSpaceDE w:val="0"/>
        <w:autoSpaceDN w:val="0"/>
        <w:adjustRightInd w:val="0"/>
        <w:spacing w:before="240" w:after="0" w:line="240" w:lineRule="auto"/>
        <w:jc w:val="left"/>
        <w:rPr>
          <w:rFonts w:eastAsia="Times New Roman"/>
          <w:sz w:val="28"/>
          <w:szCs w:val="28"/>
          <w:lang w:eastAsia="en-AU"/>
        </w:rPr>
      </w:pPr>
      <w:r w:rsidRPr="00C03A6A">
        <w:rPr>
          <w:rFonts w:eastAsia="Times New Roman"/>
          <w:sz w:val="28"/>
          <w:szCs w:val="28"/>
          <w:lang w:eastAsia="en-AU"/>
        </w:rPr>
        <w:t>South Australia</w:t>
      </w:r>
    </w:p>
    <w:p w:rsidR="00C03A6A" w:rsidRPr="00C03A6A" w:rsidRDefault="00C03A6A" w:rsidP="00C03A6A">
      <w:pPr>
        <w:keepLines/>
        <w:autoSpaceDE w:val="0"/>
        <w:autoSpaceDN w:val="0"/>
        <w:adjustRightInd w:val="0"/>
        <w:spacing w:before="120" w:after="200" w:line="240" w:lineRule="auto"/>
        <w:jc w:val="left"/>
        <w:rPr>
          <w:rFonts w:eastAsia="Times New Roman"/>
          <w:b/>
          <w:bCs/>
          <w:sz w:val="36"/>
          <w:szCs w:val="36"/>
          <w:lang w:eastAsia="en-AU"/>
        </w:rPr>
      </w:pPr>
      <w:r w:rsidRPr="00C03A6A">
        <w:rPr>
          <w:rFonts w:eastAsia="Times New Roman"/>
          <w:b/>
          <w:sz w:val="32"/>
          <w:szCs w:val="32"/>
          <w:lang w:eastAsia="en-AU"/>
        </w:rPr>
        <w:t>Approved Betting Contingencies Consolidation Notice 2020</w:t>
      </w:r>
    </w:p>
    <w:p w:rsidR="00C03A6A" w:rsidRPr="00C03A6A" w:rsidRDefault="00C03A6A" w:rsidP="00C03A6A">
      <w:pPr>
        <w:keepLines/>
        <w:autoSpaceDE w:val="0"/>
        <w:autoSpaceDN w:val="0"/>
        <w:adjustRightInd w:val="0"/>
        <w:spacing w:before="80" w:after="240" w:line="240" w:lineRule="auto"/>
        <w:jc w:val="left"/>
        <w:rPr>
          <w:rFonts w:eastAsia="Times New Roman"/>
          <w:sz w:val="24"/>
          <w:szCs w:val="24"/>
          <w:lang w:eastAsia="en-AU"/>
        </w:rPr>
      </w:pPr>
      <w:r w:rsidRPr="00C03A6A">
        <w:rPr>
          <w:rFonts w:eastAsia="Times New Roman"/>
          <w:sz w:val="24"/>
          <w:szCs w:val="24"/>
          <w:lang w:eastAsia="en-AU"/>
        </w:rPr>
        <w:t xml:space="preserve">under the </w:t>
      </w:r>
      <w:r w:rsidRPr="00C03A6A">
        <w:rPr>
          <w:rFonts w:eastAsia="Times New Roman"/>
          <w:i/>
          <w:sz w:val="24"/>
          <w:szCs w:val="24"/>
          <w:lang w:eastAsia="en-AU"/>
        </w:rPr>
        <w:t>Authorised Betting Operations Act 2000</w:t>
      </w:r>
    </w:p>
    <w:p w:rsidR="00C03A6A" w:rsidRPr="00C03A6A" w:rsidRDefault="00C03A6A" w:rsidP="00C03A6A">
      <w:pPr>
        <w:keepNext/>
        <w:keepLines/>
        <w:autoSpaceDE w:val="0"/>
        <w:autoSpaceDN w:val="0"/>
        <w:adjustRightInd w:val="0"/>
        <w:spacing w:before="160" w:after="0" w:line="240" w:lineRule="auto"/>
        <w:jc w:val="left"/>
        <w:rPr>
          <w:rFonts w:eastAsia="Times New Roman"/>
          <w:b/>
          <w:bCs/>
          <w:sz w:val="26"/>
          <w:szCs w:val="26"/>
          <w:lang w:eastAsia="en-AU"/>
        </w:rPr>
      </w:pPr>
      <w:r w:rsidRPr="00C03A6A">
        <w:rPr>
          <w:rFonts w:eastAsia="Times New Roman"/>
          <w:b/>
          <w:bCs/>
          <w:sz w:val="26"/>
          <w:szCs w:val="26"/>
          <w:lang w:eastAsia="en-AU"/>
        </w:rPr>
        <w:t>1—Short title</w:t>
      </w:r>
    </w:p>
    <w:p w:rsidR="00C03A6A" w:rsidRPr="00C03A6A" w:rsidRDefault="00C03A6A" w:rsidP="00C03A6A">
      <w:pPr>
        <w:keepNext/>
        <w:keepLines/>
        <w:autoSpaceDE w:val="0"/>
        <w:autoSpaceDN w:val="0"/>
        <w:adjustRightInd w:val="0"/>
        <w:spacing w:before="120" w:after="0" w:line="240" w:lineRule="auto"/>
        <w:jc w:val="left"/>
        <w:rPr>
          <w:rFonts w:eastAsia="Times New Roman"/>
          <w:sz w:val="23"/>
          <w:szCs w:val="23"/>
          <w:lang w:eastAsia="en-AU"/>
        </w:rPr>
      </w:pPr>
      <w:r w:rsidRPr="00C03A6A">
        <w:rPr>
          <w:rFonts w:eastAsia="Times New Roman"/>
          <w:sz w:val="23"/>
          <w:szCs w:val="23"/>
          <w:lang w:eastAsia="en-AU"/>
        </w:rPr>
        <w:t>This notice may be cited as the Approved Betting Contingencies Consolidation Notice 2020</w:t>
      </w:r>
    </w:p>
    <w:p w:rsidR="00C03A6A" w:rsidRPr="00C03A6A" w:rsidRDefault="00C03A6A" w:rsidP="00C03A6A">
      <w:pPr>
        <w:keepNext/>
        <w:keepLines/>
        <w:autoSpaceDE w:val="0"/>
        <w:autoSpaceDN w:val="0"/>
        <w:adjustRightInd w:val="0"/>
        <w:spacing w:before="120" w:after="0" w:line="240" w:lineRule="auto"/>
        <w:jc w:val="left"/>
        <w:rPr>
          <w:rFonts w:eastAsia="Times New Roman"/>
          <w:b/>
          <w:bCs/>
          <w:sz w:val="20"/>
          <w:szCs w:val="20"/>
          <w:lang w:eastAsia="en-AU"/>
        </w:rPr>
      </w:pPr>
      <w:r w:rsidRPr="00C03A6A">
        <w:rPr>
          <w:rFonts w:eastAsia="Times New Roman"/>
          <w:b/>
          <w:bCs/>
          <w:sz w:val="20"/>
          <w:szCs w:val="20"/>
          <w:lang w:eastAsia="en-AU"/>
        </w:rPr>
        <w:t>Note—</w:t>
      </w:r>
    </w:p>
    <w:p w:rsidR="00C03A6A" w:rsidRPr="00C03A6A" w:rsidRDefault="00C03A6A" w:rsidP="00C03A6A">
      <w:pPr>
        <w:keepLines/>
        <w:autoSpaceDE w:val="0"/>
        <w:autoSpaceDN w:val="0"/>
        <w:adjustRightInd w:val="0"/>
        <w:spacing w:before="120" w:after="0" w:line="240" w:lineRule="auto"/>
        <w:jc w:val="left"/>
        <w:rPr>
          <w:rFonts w:eastAsia="Times New Roman"/>
          <w:sz w:val="20"/>
          <w:szCs w:val="20"/>
          <w:lang w:eastAsia="en-AU"/>
        </w:rPr>
      </w:pPr>
      <w:r w:rsidRPr="00C03A6A">
        <w:rPr>
          <w:rFonts w:eastAsia="Times New Roman"/>
          <w:sz w:val="20"/>
          <w:szCs w:val="20"/>
          <w:lang w:eastAsia="en-AU"/>
        </w:rPr>
        <w:t xml:space="preserve">This notice is made under the </w:t>
      </w:r>
      <w:r w:rsidRPr="00C03A6A">
        <w:rPr>
          <w:rFonts w:eastAsia="Times New Roman"/>
          <w:i/>
          <w:sz w:val="20"/>
          <w:szCs w:val="20"/>
          <w:lang w:eastAsia="en-AU"/>
        </w:rPr>
        <w:t>Authorised Betting Operations Act 2000</w:t>
      </w:r>
    </w:p>
    <w:p w:rsidR="00C03A6A" w:rsidRPr="00C03A6A" w:rsidRDefault="00C03A6A" w:rsidP="00C03A6A">
      <w:pPr>
        <w:keepNext/>
        <w:keepLines/>
        <w:autoSpaceDE w:val="0"/>
        <w:autoSpaceDN w:val="0"/>
        <w:adjustRightInd w:val="0"/>
        <w:spacing w:before="160" w:after="0" w:line="240" w:lineRule="auto"/>
        <w:jc w:val="left"/>
        <w:rPr>
          <w:rFonts w:eastAsia="Times New Roman"/>
          <w:b/>
          <w:bCs/>
          <w:sz w:val="26"/>
          <w:szCs w:val="26"/>
          <w:lang w:eastAsia="en-AU"/>
        </w:rPr>
      </w:pPr>
      <w:r w:rsidRPr="00C03A6A">
        <w:rPr>
          <w:rFonts w:eastAsia="Times New Roman"/>
          <w:b/>
          <w:bCs/>
          <w:sz w:val="26"/>
          <w:szCs w:val="26"/>
          <w:lang w:eastAsia="en-AU"/>
        </w:rPr>
        <w:t>2—Commencement</w:t>
      </w:r>
    </w:p>
    <w:p w:rsidR="00C03A6A" w:rsidRPr="00C03A6A" w:rsidRDefault="00C03A6A" w:rsidP="00C03A6A">
      <w:pPr>
        <w:keepNext/>
        <w:keepLines/>
        <w:autoSpaceDE w:val="0"/>
        <w:autoSpaceDN w:val="0"/>
        <w:adjustRightInd w:val="0"/>
        <w:spacing w:before="120" w:after="120" w:line="240" w:lineRule="auto"/>
        <w:jc w:val="left"/>
        <w:rPr>
          <w:rFonts w:eastAsia="Times New Roman"/>
          <w:sz w:val="23"/>
          <w:szCs w:val="23"/>
          <w:lang w:eastAsia="en-AU"/>
        </w:rPr>
      </w:pPr>
      <w:r w:rsidRPr="00C03A6A">
        <w:rPr>
          <w:rFonts w:eastAsia="Times New Roman"/>
          <w:sz w:val="23"/>
          <w:szCs w:val="23"/>
          <w:lang w:eastAsia="en-AU"/>
        </w:rPr>
        <w:t xml:space="preserve">This notice comes into operation on the date that this notice is published in the </w:t>
      </w:r>
      <w:r w:rsidRPr="00C03A6A">
        <w:rPr>
          <w:rFonts w:eastAsia="Times New Roman"/>
          <w:i/>
          <w:sz w:val="23"/>
          <w:szCs w:val="23"/>
          <w:lang w:eastAsia="en-AU"/>
        </w:rPr>
        <w:t>South Australian Government Gazette.</w:t>
      </w:r>
    </w:p>
    <w:p w:rsidR="00C03A6A" w:rsidRPr="00C03A6A" w:rsidRDefault="00C03A6A" w:rsidP="00C03A6A">
      <w:pPr>
        <w:tabs>
          <w:tab w:val="left" w:pos="540"/>
        </w:tabs>
        <w:spacing w:after="120" w:line="240" w:lineRule="auto"/>
        <w:jc w:val="left"/>
        <w:rPr>
          <w:rFonts w:eastAsia="Times New Roman"/>
          <w:b/>
          <w:sz w:val="24"/>
          <w:szCs w:val="24"/>
          <w:lang w:eastAsia="en-AU"/>
        </w:rPr>
      </w:pPr>
      <w:r w:rsidRPr="00C03A6A">
        <w:rPr>
          <w:rFonts w:eastAsia="Times New Roman"/>
          <w:b/>
          <w:bCs/>
          <w:sz w:val="26"/>
          <w:szCs w:val="26"/>
          <w:lang w:eastAsia="en-AU"/>
        </w:rPr>
        <w:t>3—A</w:t>
      </w:r>
      <w:r w:rsidRPr="00C03A6A">
        <w:rPr>
          <w:rFonts w:eastAsia="Times New Roman"/>
          <w:b/>
          <w:sz w:val="24"/>
          <w:szCs w:val="24"/>
          <w:lang w:eastAsia="en-AU"/>
        </w:rPr>
        <w:t>uthorising provisions, revocation, etc.</w:t>
      </w:r>
    </w:p>
    <w:p w:rsidR="00C03A6A" w:rsidRPr="00C03A6A" w:rsidRDefault="00C03A6A" w:rsidP="00C03A6A">
      <w:pPr>
        <w:spacing w:after="120" w:line="240" w:lineRule="auto"/>
        <w:ind w:left="851" w:hanging="425"/>
        <w:jc w:val="left"/>
        <w:rPr>
          <w:rFonts w:eastAsia="Times New Roman"/>
          <w:sz w:val="23"/>
          <w:szCs w:val="23"/>
          <w:lang w:eastAsia="en-AU"/>
        </w:rPr>
      </w:pPr>
      <w:r w:rsidRPr="00C03A6A">
        <w:rPr>
          <w:rFonts w:eastAsia="Times New Roman"/>
          <w:sz w:val="23"/>
          <w:szCs w:val="23"/>
          <w:lang w:eastAsia="en-AU"/>
        </w:rPr>
        <w:t>(1)</w:t>
      </w:r>
      <w:r w:rsidRPr="00C03A6A">
        <w:rPr>
          <w:rFonts w:eastAsia="Times New Roman"/>
          <w:sz w:val="23"/>
          <w:szCs w:val="23"/>
          <w:lang w:eastAsia="en-AU"/>
        </w:rPr>
        <w:tab/>
        <w:t xml:space="preserve">This notice is authorised by section 4 of the </w:t>
      </w:r>
      <w:r w:rsidRPr="00C03A6A">
        <w:rPr>
          <w:rFonts w:eastAsia="Times New Roman"/>
          <w:i/>
          <w:sz w:val="23"/>
          <w:szCs w:val="23"/>
          <w:lang w:eastAsia="en-AU"/>
        </w:rPr>
        <w:t>Authorised Betting Operations Act 2000</w:t>
      </w:r>
      <w:r w:rsidRPr="00C03A6A">
        <w:rPr>
          <w:rFonts w:eastAsia="Times New Roman"/>
          <w:sz w:val="23"/>
          <w:szCs w:val="23"/>
          <w:lang w:eastAsia="en-AU"/>
        </w:rPr>
        <w:t>.</w:t>
      </w:r>
    </w:p>
    <w:p w:rsidR="00C03A6A" w:rsidRPr="00C03A6A" w:rsidRDefault="00C03A6A" w:rsidP="00C03A6A">
      <w:pPr>
        <w:spacing w:after="120" w:line="240" w:lineRule="auto"/>
        <w:ind w:left="851" w:hanging="425"/>
        <w:jc w:val="left"/>
        <w:rPr>
          <w:rFonts w:eastAsia="Times New Roman"/>
          <w:sz w:val="23"/>
          <w:szCs w:val="23"/>
          <w:lang w:eastAsia="en-AU"/>
        </w:rPr>
      </w:pPr>
      <w:r w:rsidRPr="00C03A6A">
        <w:rPr>
          <w:rFonts w:eastAsia="Times New Roman"/>
          <w:sz w:val="23"/>
          <w:szCs w:val="23"/>
          <w:lang w:eastAsia="en-AU"/>
        </w:rPr>
        <w:t>(2)</w:t>
      </w:r>
      <w:r w:rsidRPr="00C03A6A">
        <w:rPr>
          <w:rFonts w:eastAsia="Times New Roman"/>
          <w:sz w:val="23"/>
          <w:szCs w:val="23"/>
          <w:lang w:eastAsia="en-AU"/>
        </w:rPr>
        <w:tab/>
        <w:t>This notice revokes, and consolidates, the contingencies approved by the former Independent Gambling Authority by—</w:t>
      </w:r>
    </w:p>
    <w:p w:rsidR="00C03A6A" w:rsidRPr="00C03A6A" w:rsidRDefault="00C03A6A" w:rsidP="00C03A6A">
      <w:pPr>
        <w:spacing w:after="120" w:line="240" w:lineRule="auto"/>
        <w:ind w:left="1276" w:hanging="425"/>
        <w:jc w:val="left"/>
        <w:rPr>
          <w:rFonts w:eastAsia="Times New Roman"/>
          <w:sz w:val="23"/>
          <w:szCs w:val="23"/>
          <w:lang w:eastAsia="en-AU"/>
        </w:rPr>
      </w:pPr>
      <w:r w:rsidRPr="00C03A6A">
        <w:rPr>
          <w:rFonts w:eastAsia="Times New Roman"/>
          <w:sz w:val="23"/>
          <w:szCs w:val="23"/>
          <w:lang w:eastAsia="en-AU"/>
        </w:rPr>
        <w:t>(a)</w:t>
      </w:r>
      <w:r w:rsidRPr="00C03A6A">
        <w:rPr>
          <w:rFonts w:eastAsia="Times New Roman"/>
          <w:sz w:val="23"/>
          <w:szCs w:val="23"/>
          <w:lang w:eastAsia="en-AU"/>
        </w:rPr>
        <w:tab/>
        <w:t xml:space="preserve">the notice dated 16 June 2016—Approved Betting Contingencies Notice 2016, published in the </w:t>
      </w:r>
      <w:r w:rsidRPr="00C03A6A">
        <w:rPr>
          <w:rFonts w:eastAsia="Times New Roman"/>
          <w:i/>
          <w:sz w:val="23"/>
          <w:szCs w:val="23"/>
          <w:lang w:eastAsia="en-AU"/>
        </w:rPr>
        <w:t>South Australian Government Gazette</w:t>
      </w:r>
      <w:r w:rsidRPr="00C03A6A">
        <w:rPr>
          <w:rFonts w:eastAsia="Times New Roman"/>
          <w:sz w:val="23"/>
          <w:szCs w:val="23"/>
          <w:lang w:eastAsia="en-AU"/>
        </w:rPr>
        <w:t xml:space="preserve"> (No. 39) on 30 June 2016 at pages 2659-2680;</w:t>
      </w:r>
    </w:p>
    <w:p w:rsidR="00C03A6A" w:rsidRPr="00C03A6A" w:rsidRDefault="00C03A6A" w:rsidP="00C03A6A">
      <w:pPr>
        <w:spacing w:after="120" w:line="240" w:lineRule="auto"/>
        <w:ind w:left="1276" w:hanging="425"/>
        <w:jc w:val="left"/>
        <w:rPr>
          <w:rFonts w:eastAsia="Times New Roman"/>
          <w:sz w:val="23"/>
          <w:szCs w:val="23"/>
          <w:lang w:eastAsia="en-AU"/>
        </w:rPr>
      </w:pPr>
      <w:r w:rsidRPr="00C03A6A">
        <w:rPr>
          <w:rFonts w:eastAsia="Times New Roman"/>
          <w:sz w:val="23"/>
          <w:szCs w:val="23"/>
          <w:lang w:eastAsia="en-AU"/>
        </w:rPr>
        <w:t>(b)</w:t>
      </w:r>
      <w:r w:rsidRPr="00C03A6A">
        <w:rPr>
          <w:rFonts w:eastAsia="Times New Roman"/>
          <w:sz w:val="23"/>
          <w:szCs w:val="23"/>
          <w:lang w:eastAsia="en-AU"/>
        </w:rPr>
        <w:tab/>
        <w:t xml:space="preserve">the notice dated 15 September 2016—Approved Betting Contingencies (Fantasy Sports) Variation Notice 2016, published in the </w:t>
      </w:r>
      <w:r w:rsidRPr="00C03A6A">
        <w:rPr>
          <w:rFonts w:eastAsia="Times New Roman"/>
          <w:i/>
          <w:sz w:val="23"/>
          <w:szCs w:val="23"/>
          <w:lang w:eastAsia="en-AU"/>
        </w:rPr>
        <w:t>South Australian Government Gazette</w:t>
      </w:r>
      <w:r w:rsidRPr="00C03A6A">
        <w:rPr>
          <w:rFonts w:eastAsia="Times New Roman"/>
          <w:sz w:val="23"/>
          <w:szCs w:val="23"/>
          <w:lang w:eastAsia="en-AU"/>
        </w:rPr>
        <w:t xml:space="preserve"> (No. 56) on 22 September 2016 at page 3774;</w:t>
      </w:r>
    </w:p>
    <w:p w:rsidR="00C03A6A" w:rsidRPr="00C03A6A" w:rsidRDefault="00C03A6A" w:rsidP="00C03A6A">
      <w:pPr>
        <w:spacing w:after="120" w:line="240" w:lineRule="auto"/>
        <w:ind w:left="1276" w:hanging="425"/>
        <w:jc w:val="left"/>
        <w:rPr>
          <w:rFonts w:eastAsia="Times New Roman"/>
          <w:sz w:val="23"/>
          <w:szCs w:val="23"/>
          <w:lang w:eastAsia="en-AU"/>
        </w:rPr>
      </w:pPr>
      <w:r w:rsidRPr="00C03A6A">
        <w:rPr>
          <w:rFonts w:eastAsia="Times New Roman"/>
          <w:sz w:val="23"/>
          <w:szCs w:val="23"/>
          <w:lang w:eastAsia="en-AU"/>
        </w:rPr>
        <w:t>(c)</w:t>
      </w:r>
      <w:r w:rsidRPr="00C03A6A">
        <w:rPr>
          <w:rFonts w:eastAsia="Times New Roman"/>
          <w:sz w:val="23"/>
          <w:szCs w:val="23"/>
          <w:lang w:eastAsia="en-AU"/>
        </w:rPr>
        <w:tab/>
        <w:t xml:space="preserve">the notice dated 15 September 2016—Approved Betting Contingencies (Olympic Golf and Rugby) Variation Notice 2016, published in the </w:t>
      </w:r>
      <w:r w:rsidRPr="00C03A6A">
        <w:rPr>
          <w:rFonts w:eastAsia="Times New Roman"/>
          <w:i/>
          <w:sz w:val="23"/>
          <w:szCs w:val="23"/>
          <w:lang w:eastAsia="en-AU"/>
        </w:rPr>
        <w:t>South Australian Government Gazette</w:t>
      </w:r>
      <w:r w:rsidRPr="00C03A6A">
        <w:rPr>
          <w:rFonts w:eastAsia="Times New Roman"/>
          <w:sz w:val="23"/>
          <w:szCs w:val="23"/>
          <w:lang w:eastAsia="en-AU"/>
        </w:rPr>
        <w:t xml:space="preserve"> (No. 45) on 11 August 2016 at page 3160;</w:t>
      </w:r>
    </w:p>
    <w:p w:rsidR="00C03A6A" w:rsidRPr="00C03A6A" w:rsidRDefault="00C03A6A" w:rsidP="00C03A6A">
      <w:pPr>
        <w:spacing w:after="120" w:line="240" w:lineRule="auto"/>
        <w:ind w:left="1276" w:hanging="425"/>
        <w:jc w:val="left"/>
        <w:rPr>
          <w:rFonts w:eastAsia="Times New Roman"/>
          <w:sz w:val="23"/>
          <w:szCs w:val="23"/>
          <w:lang w:eastAsia="en-AU"/>
        </w:rPr>
      </w:pPr>
      <w:r w:rsidRPr="00C03A6A">
        <w:rPr>
          <w:rFonts w:eastAsia="Times New Roman"/>
          <w:sz w:val="23"/>
          <w:szCs w:val="23"/>
          <w:lang w:eastAsia="en-AU"/>
        </w:rPr>
        <w:t>(d)</w:t>
      </w:r>
      <w:r w:rsidRPr="00C03A6A">
        <w:rPr>
          <w:rFonts w:eastAsia="Times New Roman"/>
          <w:sz w:val="23"/>
          <w:szCs w:val="23"/>
          <w:lang w:eastAsia="en-AU"/>
        </w:rPr>
        <w:tab/>
        <w:t>the notice dated 28 June 2018—Approved Betting Contingencies (Snooker) Variation Notice 2018, published in the South Australian Government Gazette (No.44) on 28 June 2018 at page 2593;</w:t>
      </w:r>
    </w:p>
    <w:p w:rsidR="00C03A6A" w:rsidRPr="00C03A6A" w:rsidRDefault="00C03A6A" w:rsidP="00C03A6A">
      <w:pPr>
        <w:spacing w:after="120" w:line="240" w:lineRule="auto"/>
        <w:ind w:left="1276" w:hanging="425"/>
        <w:jc w:val="left"/>
        <w:rPr>
          <w:rFonts w:eastAsia="Times New Roman"/>
          <w:sz w:val="23"/>
          <w:szCs w:val="23"/>
          <w:lang w:eastAsia="en-AU"/>
        </w:rPr>
      </w:pPr>
      <w:r w:rsidRPr="00C03A6A">
        <w:rPr>
          <w:rFonts w:eastAsia="Times New Roman"/>
          <w:sz w:val="23"/>
          <w:szCs w:val="23"/>
          <w:lang w:eastAsia="en-AU"/>
        </w:rPr>
        <w:t>(e)</w:t>
      </w:r>
      <w:r w:rsidRPr="00C03A6A">
        <w:rPr>
          <w:rFonts w:eastAsia="Times New Roman"/>
          <w:sz w:val="23"/>
          <w:szCs w:val="23"/>
          <w:lang w:eastAsia="en-AU"/>
        </w:rPr>
        <w:tab/>
        <w:t xml:space="preserve">the notice dated 28 June 2018—Approved Betting Contingencies (Gaelic Football) Variation Notice 2018, published in the </w:t>
      </w:r>
      <w:r w:rsidRPr="00C03A6A">
        <w:rPr>
          <w:rFonts w:eastAsia="Times New Roman"/>
          <w:i/>
          <w:sz w:val="23"/>
          <w:szCs w:val="23"/>
          <w:lang w:eastAsia="en-AU"/>
        </w:rPr>
        <w:t>South Australian Government Gazette</w:t>
      </w:r>
      <w:r w:rsidRPr="00C03A6A">
        <w:rPr>
          <w:rFonts w:eastAsia="Times New Roman"/>
          <w:sz w:val="23"/>
          <w:szCs w:val="23"/>
          <w:lang w:eastAsia="en-AU"/>
        </w:rPr>
        <w:t xml:space="preserve"> (No.44) on 28 June 2018 at page 2593;</w:t>
      </w:r>
    </w:p>
    <w:p w:rsidR="00C03A6A" w:rsidRPr="00C03A6A" w:rsidRDefault="00C03A6A" w:rsidP="00C03A6A">
      <w:pPr>
        <w:spacing w:after="120" w:line="240" w:lineRule="auto"/>
        <w:ind w:left="1276" w:hanging="425"/>
        <w:jc w:val="left"/>
        <w:rPr>
          <w:rFonts w:eastAsia="Times New Roman"/>
          <w:sz w:val="23"/>
          <w:szCs w:val="23"/>
          <w:lang w:eastAsia="en-AU"/>
        </w:rPr>
      </w:pPr>
      <w:r w:rsidRPr="00C03A6A">
        <w:rPr>
          <w:rFonts w:eastAsia="Times New Roman"/>
          <w:sz w:val="23"/>
          <w:szCs w:val="23"/>
          <w:lang w:eastAsia="en-AU"/>
        </w:rPr>
        <w:t>(f)</w:t>
      </w:r>
      <w:r w:rsidRPr="00C03A6A">
        <w:rPr>
          <w:rFonts w:eastAsia="Times New Roman"/>
          <w:sz w:val="23"/>
          <w:szCs w:val="23"/>
          <w:lang w:eastAsia="en-AU"/>
        </w:rPr>
        <w:tab/>
        <w:t xml:space="preserve">the notice dated 28 June 2018—Approved Betting Contingencies (Handball) Variation Notice 2018, published in the </w:t>
      </w:r>
      <w:r w:rsidRPr="00C03A6A">
        <w:rPr>
          <w:rFonts w:eastAsia="Times New Roman"/>
          <w:i/>
          <w:sz w:val="23"/>
          <w:szCs w:val="23"/>
          <w:lang w:eastAsia="en-AU"/>
        </w:rPr>
        <w:t xml:space="preserve">South Australian Government Gazette </w:t>
      </w:r>
      <w:r w:rsidRPr="00C03A6A">
        <w:rPr>
          <w:rFonts w:eastAsia="Times New Roman"/>
          <w:sz w:val="23"/>
          <w:szCs w:val="23"/>
          <w:lang w:eastAsia="en-AU"/>
        </w:rPr>
        <w:t>(No.44) on 28 June 2018 at page 2594;</w:t>
      </w:r>
    </w:p>
    <w:p w:rsidR="00C03A6A" w:rsidRPr="00C03A6A" w:rsidRDefault="00C03A6A" w:rsidP="00C03A6A">
      <w:pPr>
        <w:spacing w:after="120" w:line="240" w:lineRule="auto"/>
        <w:ind w:left="1276" w:hanging="425"/>
        <w:jc w:val="left"/>
        <w:rPr>
          <w:rFonts w:eastAsia="Times New Roman"/>
          <w:sz w:val="23"/>
          <w:szCs w:val="23"/>
          <w:lang w:eastAsia="en-AU"/>
        </w:rPr>
      </w:pPr>
      <w:r w:rsidRPr="00C03A6A">
        <w:rPr>
          <w:rFonts w:eastAsia="Times New Roman"/>
          <w:sz w:val="23"/>
          <w:szCs w:val="23"/>
          <w:lang w:eastAsia="en-AU"/>
        </w:rPr>
        <w:t>(g)</w:t>
      </w:r>
      <w:r w:rsidRPr="00C03A6A">
        <w:rPr>
          <w:rFonts w:eastAsia="Times New Roman"/>
          <w:sz w:val="23"/>
          <w:szCs w:val="23"/>
          <w:lang w:eastAsia="en-AU"/>
        </w:rPr>
        <w:tab/>
        <w:t xml:space="preserve">the notice dated 28 June 2018—Approved Betting Contingencies (Volleyball) Variation Notice 2018, published in the </w:t>
      </w:r>
      <w:r w:rsidRPr="00C03A6A">
        <w:rPr>
          <w:rFonts w:eastAsia="Times New Roman"/>
          <w:i/>
          <w:sz w:val="23"/>
          <w:szCs w:val="23"/>
          <w:lang w:eastAsia="en-AU"/>
        </w:rPr>
        <w:t>South Australian Government Gazette</w:t>
      </w:r>
      <w:r w:rsidRPr="00C03A6A">
        <w:rPr>
          <w:rFonts w:eastAsia="Times New Roman"/>
          <w:sz w:val="23"/>
          <w:szCs w:val="23"/>
          <w:lang w:eastAsia="en-AU"/>
        </w:rPr>
        <w:t xml:space="preserve"> (No.44) on 28 June 2018 at page 2594;</w:t>
      </w:r>
    </w:p>
    <w:p w:rsidR="00C03A6A" w:rsidRPr="00C03A6A" w:rsidRDefault="00C03A6A" w:rsidP="00C03A6A">
      <w:pPr>
        <w:spacing w:after="120" w:line="240" w:lineRule="auto"/>
        <w:ind w:left="1276" w:hanging="425"/>
        <w:jc w:val="left"/>
        <w:rPr>
          <w:rFonts w:eastAsia="Times New Roman"/>
          <w:sz w:val="23"/>
          <w:szCs w:val="23"/>
          <w:lang w:eastAsia="en-AU"/>
        </w:rPr>
      </w:pPr>
      <w:r w:rsidRPr="00C03A6A">
        <w:rPr>
          <w:rFonts w:eastAsia="Times New Roman"/>
          <w:sz w:val="23"/>
          <w:szCs w:val="23"/>
          <w:lang w:eastAsia="en-AU"/>
        </w:rPr>
        <w:t>(h)</w:t>
      </w:r>
      <w:r w:rsidRPr="00C03A6A">
        <w:rPr>
          <w:rFonts w:eastAsia="Times New Roman"/>
          <w:sz w:val="23"/>
          <w:szCs w:val="23"/>
          <w:lang w:eastAsia="en-AU"/>
        </w:rPr>
        <w:tab/>
        <w:t xml:space="preserve">the notice dated 28 June 2018—Approved Betting Contingencies (Gridiron (Non US)) Variation Notice 2018, published in the </w:t>
      </w:r>
      <w:r w:rsidRPr="00C03A6A">
        <w:rPr>
          <w:rFonts w:eastAsia="Times New Roman"/>
          <w:i/>
          <w:sz w:val="23"/>
          <w:szCs w:val="23"/>
          <w:lang w:eastAsia="en-AU"/>
        </w:rPr>
        <w:t>South Australian Government Gazette</w:t>
      </w:r>
      <w:r w:rsidRPr="00C03A6A">
        <w:rPr>
          <w:rFonts w:eastAsia="Times New Roman"/>
          <w:sz w:val="23"/>
          <w:szCs w:val="23"/>
          <w:lang w:eastAsia="en-AU"/>
        </w:rPr>
        <w:t xml:space="preserve"> (No.44) on 28 June 2018 at page 2595—</w:t>
      </w:r>
    </w:p>
    <w:p w:rsidR="00C03A6A" w:rsidRPr="00C03A6A" w:rsidRDefault="00C03A6A" w:rsidP="00C03A6A">
      <w:pPr>
        <w:spacing w:after="120" w:line="240" w:lineRule="auto"/>
        <w:ind w:left="1276" w:hanging="425"/>
        <w:jc w:val="left"/>
        <w:rPr>
          <w:rFonts w:eastAsia="Times New Roman"/>
          <w:sz w:val="23"/>
          <w:szCs w:val="23"/>
          <w:lang w:eastAsia="en-AU"/>
        </w:rPr>
      </w:pPr>
      <w:r w:rsidRPr="00C03A6A">
        <w:rPr>
          <w:rFonts w:eastAsia="Times New Roman"/>
          <w:sz w:val="23"/>
          <w:szCs w:val="23"/>
          <w:lang w:eastAsia="en-AU"/>
        </w:rPr>
        <w:t>and by all notices amending them.</w:t>
      </w:r>
      <w:r w:rsidRPr="00C03A6A">
        <w:rPr>
          <w:rFonts w:eastAsia="Times New Roman"/>
          <w:sz w:val="23"/>
          <w:szCs w:val="23"/>
          <w:lang w:eastAsia="en-AU"/>
        </w:rPr>
        <w:br w:type="page"/>
      </w:r>
    </w:p>
    <w:p w:rsidR="00C03A6A" w:rsidRPr="00C03A6A" w:rsidRDefault="00C03A6A" w:rsidP="00C03A6A">
      <w:pPr>
        <w:tabs>
          <w:tab w:val="left" w:pos="540"/>
        </w:tabs>
        <w:spacing w:after="120" w:line="240" w:lineRule="auto"/>
        <w:jc w:val="left"/>
        <w:rPr>
          <w:rFonts w:eastAsia="Times New Roman"/>
          <w:b/>
          <w:sz w:val="24"/>
          <w:szCs w:val="24"/>
          <w:lang w:eastAsia="en-AU"/>
        </w:rPr>
      </w:pPr>
      <w:r w:rsidRPr="00C03A6A">
        <w:rPr>
          <w:rFonts w:eastAsia="Times New Roman"/>
          <w:b/>
          <w:bCs/>
          <w:sz w:val="26"/>
          <w:szCs w:val="26"/>
          <w:lang w:eastAsia="en-AU"/>
        </w:rPr>
        <w:lastRenderedPageBreak/>
        <w:t>4—Approval of contingencies</w:t>
      </w:r>
    </w:p>
    <w:p w:rsidR="00C03A6A" w:rsidRPr="00C03A6A" w:rsidRDefault="00C03A6A" w:rsidP="00C03A6A">
      <w:pPr>
        <w:spacing w:after="120" w:line="240" w:lineRule="auto"/>
        <w:ind w:left="851" w:hanging="425"/>
        <w:jc w:val="left"/>
        <w:rPr>
          <w:rFonts w:eastAsia="Times New Roman"/>
          <w:sz w:val="23"/>
          <w:szCs w:val="23"/>
          <w:lang w:eastAsia="en-AU"/>
        </w:rPr>
      </w:pPr>
      <w:r w:rsidRPr="00C03A6A">
        <w:rPr>
          <w:rFonts w:eastAsia="Times New Roman"/>
          <w:sz w:val="23"/>
          <w:szCs w:val="23"/>
          <w:lang w:eastAsia="en-AU"/>
        </w:rPr>
        <w:t>(1)</w:t>
      </w:r>
      <w:r w:rsidRPr="00C03A6A">
        <w:rPr>
          <w:rFonts w:eastAsia="Times New Roman"/>
          <w:sz w:val="23"/>
          <w:szCs w:val="23"/>
          <w:lang w:eastAsia="en-AU"/>
        </w:rPr>
        <w:tab/>
      </w:r>
      <w:r w:rsidRPr="00C03A6A">
        <w:rPr>
          <w:rFonts w:eastAsia="Times New Roman"/>
          <w:sz w:val="23"/>
          <w:szCs w:val="23"/>
          <w:lang w:eastAsia="en-AU" w:bidi="en-US"/>
        </w:rPr>
        <w:t xml:space="preserve">Under section 4 of the </w:t>
      </w:r>
      <w:r w:rsidRPr="00C03A6A">
        <w:rPr>
          <w:rFonts w:eastAsia="Times New Roman"/>
          <w:i/>
          <w:sz w:val="23"/>
          <w:szCs w:val="23"/>
          <w:lang w:eastAsia="en-AU" w:bidi="en-US"/>
        </w:rPr>
        <w:t>Authorised Betting Operations Act 2000</w:t>
      </w:r>
      <w:r w:rsidRPr="00C03A6A">
        <w:rPr>
          <w:rFonts w:eastAsia="Times New Roman"/>
          <w:sz w:val="23"/>
          <w:szCs w:val="23"/>
          <w:lang w:eastAsia="en-AU" w:bidi="en-US"/>
        </w:rPr>
        <w:t>, the Liquor and Gambling Commissioner may approve, for all or specified betting operations, contingencies related to races within and outside Australia (other than races held by licensed racing clubs) or contingencies related to sporting or other events within and outside Australia and other contingencies.</w:t>
      </w:r>
    </w:p>
    <w:p w:rsidR="00C03A6A" w:rsidRPr="00C03A6A" w:rsidRDefault="00C03A6A" w:rsidP="00C03A6A">
      <w:pPr>
        <w:spacing w:after="120" w:line="240" w:lineRule="auto"/>
        <w:ind w:left="851" w:hanging="425"/>
        <w:jc w:val="left"/>
        <w:rPr>
          <w:rFonts w:eastAsia="Times New Roman"/>
          <w:sz w:val="23"/>
          <w:szCs w:val="23"/>
          <w:lang w:eastAsia="en-AU"/>
        </w:rPr>
      </w:pPr>
      <w:r w:rsidRPr="00C03A6A">
        <w:rPr>
          <w:rFonts w:eastAsia="Times New Roman"/>
          <w:sz w:val="23"/>
          <w:szCs w:val="23"/>
          <w:lang w:eastAsia="en-AU"/>
        </w:rPr>
        <w:t>(2)</w:t>
      </w:r>
      <w:r w:rsidRPr="00C03A6A">
        <w:rPr>
          <w:rFonts w:eastAsia="Times New Roman"/>
          <w:sz w:val="23"/>
          <w:szCs w:val="23"/>
          <w:lang w:eastAsia="en-AU"/>
        </w:rPr>
        <w:tab/>
        <w:t>The contingencies described in Schedule 1, by reference to an Event or events and one or more propositions, are approved.</w:t>
      </w:r>
    </w:p>
    <w:p w:rsidR="00C03A6A" w:rsidRPr="00C03A6A" w:rsidRDefault="00C03A6A" w:rsidP="00C03A6A">
      <w:pPr>
        <w:spacing w:after="120" w:line="240" w:lineRule="auto"/>
        <w:ind w:left="851" w:hanging="425"/>
        <w:jc w:val="left"/>
        <w:rPr>
          <w:rFonts w:eastAsia="Times New Roman"/>
          <w:sz w:val="23"/>
          <w:szCs w:val="23"/>
          <w:lang w:eastAsia="en-AU"/>
        </w:rPr>
      </w:pPr>
      <w:r w:rsidRPr="00C03A6A">
        <w:rPr>
          <w:rFonts w:eastAsia="Times New Roman"/>
          <w:sz w:val="23"/>
          <w:szCs w:val="23"/>
          <w:lang w:eastAsia="en-AU"/>
        </w:rPr>
        <w:t>(3)</w:t>
      </w:r>
      <w:r w:rsidRPr="00C03A6A">
        <w:rPr>
          <w:rFonts w:eastAsia="Times New Roman"/>
          <w:sz w:val="23"/>
          <w:szCs w:val="23"/>
          <w:lang w:eastAsia="en-AU"/>
        </w:rPr>
        <w:tab/>
        <w:t>The approvals granted by sub-clause (1) are limited by—</w:t>
      </w:r>
    </w:p>
    <w:p w:rsidR="00C03A6A" w:rsidRPr="00C03A6A" w:rsidRDefault="00C03A6A" w:rsidP="00C03A6A">
      <w:pPr>
        <w:spacing w:after="120" w:line="240" w:lineRule="auto"/>
        <w:ind w:left="1276" w:hanging="425"/>
        <w:jc w:val="left"/>
        <w:rPr>
          <w:rFonts w:eastAsia="Times New Roman"/>
          <w:sz w:val="23"/>
          <w:szCs w:val="23"/>
          <w:lang w:eastAsia="en-AU"/>
        </w:rPr>
      </w:pPr>
      <w:r w:rsidRPr="00C03A6A">
        <w:rPr>
          <w:rFonts w:eastAsia="Times New Roman"/>
          <w:sz w:val="23"/>
          <w:szCs w:val="23"/>
          <w:lang w:eastAsia="en-AU"/>
        </w:rPr>
        <w:t>(a)</w:t>
      </w:r>
      <w:r w:rsidRPr="00C03A6A">
        <w:rPr>
          <w:rFonts w:eastAsia="Times New Roman"/>
          <w:sz w:val="23"/>
          <w:szCs w:val="23"/>
          <w:lang w:eastAsia="en-AU"/>
        </w:rPr>
        <w:tab/>
        <w:t>the extent to which a gambling provider’s licence (in the case of an on-course totalisator betting licence, a bookmaker’s licence or the major betting operations licence) or prescribed interstate licence (in the case of an authorised interstate betting operator) permits the gambling provider to accept bets; and</w:t>
      </w:r>
    </w:p>
    <w:p w:rsidR="00C03A6A" w:rsidRPr="00C03A6A" w:rsidRDefault="00C03A6A" w:rsidP="00C03A6A">
      <w:pPr>
        <w:spacing w:after="120" w:line="240" w:lineRule="auto"/>
        <w:ind w:left="1276" w:hanging="425"/>
        <w:jc w:val="left"/>
        <w:rPr>
          <w:rFonts w:eastAsia="Times New Roman"/>
          <w:sz w:val="23"/>
          <w:szCs w:val="23"/>
          <w:lang w:eastAsia="en-AU"/>
        </w:rPr>
      </w:pPr>
      <w:r w:rsidRPr="00C03A6A">
        <w:rPr>
          <w:rFonts w:eastAsia="Times New Roman"/>
          <w:sz w:val="23"/>
          <w:szCs w:val="23"/>
          <w:lang w:eastAsia="en-AU"/>
        </w:rPr>
        <w:t>(b)</w:t>
      </w:r>
      <w:r w:rsidRPr="00C03A6A">
        <w:rPr>
          <w:rFonts w:eastAsia="Times New Roman"/>
          <w:sz w:val="23"/>
          <w:szCs w:val="23"/>
          <w:lang w:eastAsia="en-AU"/>
        </w:rPr>
        <w:tab/>
      </w:r>
      <w:r w:rsidRPr="00C03A6A">
        <w:rPr>
          <w:rFonts w:eastAsia="Times New Roman"/>
          <w:spacing w:val="-2"/>
          <w:sz w:val="23"/>
          <w:szCs w:val="23"/>
          <w:lang w:eastAsia="en-AU"/>
        </w:rPr>
        <w:t>the extent to which a proposition is capable is being offered as a bet type in relation to an event having regard to the nature, characteristics, scoring system and rules for the event.</w:t>
      </w:r>
    </w:p>
    <w:p w:rsidR="00C03A6A" w:rsidRPr="00C03A6A" w:rsidRDefault="00C03A6A" w:rsidP="00C03A6A">
      <w:pPr>
        <w:tabs>
          <w:tab w:val="left" w:pos="540"/>
        </w:tabs>
        <w:spacing w:after="120" w:line="240" w:lineRule="auto"/>
        <w:jc w:val="left"/>
        <w:rPr>
          <w:rFonts w:eastAsia="Times New Roman"/>
          <w:b/>
          <w:sz w:val="24"/>
          <w:szCs w:val="24"/>
          <w:lang w:eastAsia="en-AU"/>
        </w:rPr>
      </w:pPr>
      <w:r w:rsidRPr="00C03A6A">
        <w:rPr>
          <w:rFonts w:eastAsia="Times New Roman"/>
          <w:b/>
          <w:bCs/>
          <w:sz w:val="26"/>
          <w:szCs w:val="26"/>
          <w:lang w:eastAsia="en-AU"/>
        </w:rPr>
        <w:t>5—Interpretation and definitions</w:t>
      </w:r>
    </w:p>
    <w:p w:rsidR="00C03A6A" w:rsidRPr="00C03A6A" w:rsidRDefault="00C03A6A" w:rsidP="00C03A6A">
      <w:pPr>
        <w:spacing w:after="120" w:line="240" w:lineRule="auto"/>
        <w:ind w:left="851" w:hanging="425"/>
        <w:jc w:val="left"/>
        <w:rPr>
          <w:rFonts w:eastAsia="Times New Roman"/>
          <w:sz w:val="23"/>
          <w:szCs w:val="23"/>
          <w:lang w:eastAsia="en-AU"/>
        </w:rPr>
      </w:pPr>
      <w:r w:rsidRPr="00C03A6A">
        <w:rPr>
          <w:rFonts w:eastAsia="Times New Roman"/>
          <w:sz w:val="23"/>
          <w:szCs w:val="23"/>
          <w:lang w:eastAsia="en-AU"/>
        </w:rPr>
        <w:t>(1)</w:t>
      </w:r>
      <w:r w:rsidRPr="00C03A6A">
        <w:rPr>
          <w:rFonts w:eastAsia="Times New Roman"/>
          <w:sz w:val="23"/>
          <w:szCs w:val="23"/>
          <w:lang w:eastAsia="en-AU"/>
        </w:rPr>
        <w:tab/>
        <w:t>The definitions set out in the dictionary in Schedule 2 apply, except to the extent to which they are inconsistent with the context or subject matter.</w:t>
      </w:r>
    </w:p>
    <w:p w:rsidR="00C03A6A" w:rsidRPr="00C03A6A" w:rsidRDefault="00C03A6A" w:rsidP="00C03A6A">
      <w:pPr>
        <w:spacing w:after="120" w:line="240" w:lineRule="auto"/>
        <w:ind w:left="851" w:hanging="425"/>
        <w:jc w:val="left"/>
        <w:rPr>
          <w:rFonts w:eastAsia="Times New Roman"/>
          <w:sz w:val="23"/>
          <w:szCs w:val="23"/>
          <w:lang w:eastAsia="en-AU"/>
        </w:rPr>
      </w:pPr>
      <w:r w:rsidRPr="00C03A6A">
        <w:rPr>
          <w:rFonts w:eastAsia="Times New Roman"/>
          <w:sz w:val="23"/>
          <w:szCs w:val="23"/>
          <w:lang w:eastAsia="en-AU"/>
        </w:rPr>
        <w:t>(2)</w:t>
      </w:r>
      <w:r w:rsidRPr="00C03A6A">
        <w:rPr>
          <w:rFonts w:eastAsia="Times New Roman"/>
          <w:sz w:val="23"/>
          <w:szCs w:val="23"/>
          <w:lang w:eastAsia="en-AU"/>
        </w:rPr>
        <w:tab/>
        <w:t>The specifications of events in the list of events set out in Schedule 3 apply, except to the extent to which they are inconsistent with the context or subject matter.</w:t>
      </w:r>
    </w:p>
    <w:p w:rsidR="00C03A6A" w:rsidRPr="00C03A6A" w:rsidRDefault="00C03A6A" w:rsidP="00C03A6A">
      <w:pPr>
        <w:tabs>
          <w:tab w:val="left" w:pos="540"/>
          <w:tab w:val="left" w:pos="900"/>
          <w:tab w:val="left" w:pos="1080"/>
        </w:tabs>
        <w:spacing w:before="120" w:after="120" w:line="240" w:lineRule="auto"/>
        <w:jc w:val="left"/>
        <w:rPr>
          <w:rFonts w:eastAsia="Times New Roman"/>
          <w:b/>
          <w:sz w:val="32"/>
          <w:szCs w:val="32"/>
          <w:lang w:eastAsia="en-AU"/>
        </w:rPr>
      </w:pPr>
      <w:r w:rsidRPr="00C03A6A">
        <w:rPr>
          <w:rFonts w:eastAsia="Times New Roman"/>
          <w:b/>
          <w:sz w:val="32"/>
          <w:szCs w:val="32"/>
          <w:lang w:eastAsia="en-AU"/>
        </w:rPr>
        <w:t>Schedule 1—Approved contingencies</w:t>
      </w:r>
    </w:p>
    <w:p w:rsidR="00C03A6A" w:rsidRPr="00C03A6A" w:rsidRDefault="00C03A6A" w:rsidP="00C03A6A">
      <w:pPr>
        <w:spacing w:before="120" w:after="120" w:line="240" w:lineRule="auto"/>
        <w:ind w:left="426" w:hanging="426"/>
        <w:jc w:val="left"/>
        <w:rPr>
          <w:rFonts w:eastAsia="Times New Roman"/>
          <w:b/>
          <w:sz w:val="24"/>
          <w:szCs w:val="24"/>
          <w:lang w:eastAsia="en-AU"/>
        </w:rPr>
      </w:pPr>
      <w:r w:rsidRPr="00C03A6A">
        <w:rPr>
          <w:rFonts w:eastAsia="Times New Roman"/>
          <w:b/>
          <w:sz w:val="24"/>
          <w:szCs w:val="24"/>
          <w:lang w:eastAsia="en-AU"/>
        </w:rPr>
        <w:t>1.</w:t>
      </w:r>
      <w:r w:rsidRPr="00C03A6A">
        <w:rPr>
          <w:rFonts w:eastAsia="Times New Roman"/>
          <w:b/>
          <w:sz w:val="24"/>
          <w:szCs w:val="24"/>
          <w:lang w:eastAsia="en-AU"/>
        </w:rPr>
        <w:tab/>
        <w:t>Racing</w:t>
      </w:r>
    </w:p>
    <w:p w:rsidR="00C03A6A" w:rsidRPr="00C03A6A" w:rsidRDefault="00C03A6A" w:rsidP="00C03A6A">
      <w:pPr>
        <w:spacing w:after="0" w:line="240" w:lineRule="auto"/>
        <w:ind w:left="426"/>
        <w:jc w:val="left"/>
        <w:rPr>
          <w:rFonts w:eastAsia="Times New Roman"/>
          <w:sz w:val="20"/>
          <w:szCs w:val="20"/>
          <w:lang w:eastAsia="en-AU" w:bidi="en-US"/>
        </w:rPr>
      </w:pPr>
      <w:r w:rsidRPr="00C03A6A">
        <w:rPr>
          <w:rFonts w:eastAsia="Times New Roman"/>
          <w:sz w:val="20"/>
          <w:szCs w:val="20"/>
          <w:lang w:eastAsia="en-AU" w:bidi="en-US"/>
        </w:rPr>
        <w:t>Win, Place, Quinella, Forecast, Trio, Trifecta, First4, Double, Treble, Fourtrella, Fortune 8, Any Two,</w:t>
      </w:r>
      <w:r w:rsidRPr="00C03A6A">
        <w:rPr>
          <w:rFonts w:eastAsia="Times New Roman"/>
          <w:sz w:val="20"/>
          <w:szCs w:val="20"/>
          <w:lang w:eastAsia="en-AU" w:bidi="en-US"/>
        </w:rPr>
        <w:br/>
        <w:t>First 3—Aggregate Entrants’ Numbers, Jockeys’ Challenge, Trainers’ Challenge</w:t>
      </w:r>
    </w:p>
    <w:p w:rsidR="00C03A6A" w:rsidRPr="00C03A6A" w:rsidRDefault="00C03A6A" w:rsidP="00C03A6A">
      <w:pPr>
        <w:spacing w:before="120" w:after="120" w:line="240" w:lineRule="auto"/>
        <w:ind w:left="426" w:hanging="426"/>
        <w:jc w:val="left"/>
        <w:rPr>
          <w:rFonts w:eastAsia="Times New Roman"/>
          <w:b/>
          <w:sz w:val="24"/>
          <w:szCs w:val="24"/>
          <w:lang w:eastAsia="en-AU"/>
        </w:rPr>
      </w:pPr>
      <w:r w:rsidRPr="00C03A6A">
        <w:rPr>
          <w:rFonts w:eastAsia="Times New Roman"/>
          <w:b/>
          <w:sz w:val="24"/>
          <w:szCs w:val="24"/>
          <w:lang w:eastAsia="en-AU"/>
        </w:rPr>
        <w:t>2.</w:t>
      </w:r>
      <w:r w:rsidRPr="00C03A6A">
        <w:rPr>
          <w:rFonts w:eastAsia="Times New Roman"/>
          <w:b/>
          <w:sz w:val="24"/>
          <w:szCs w:val="24"/>
          <w:lang w:eastAsia="en-AU"/>
        </w:rPr>
        <w:tab/>
        <w:t>All listed events</w:t>
      </w:r>
    </w:p>
    <w:p w:rsidR="00C03A6A" w:rsidRPr="00C03A6A" w:rsidRDefault="00C03A6A" w:rsidP="00C03A6A">
      <w:pPr>
        <w:spacing w:after="0" w:line="240" w:lineRule="auto"/>
        <w:ind w:left="426"/>
        <w:jc w:val="left"/>
        <w:rPr>
          <w:rFonts w:eastAsia="Times New Roman"/>
          <w:b/>
          <w:spacing w:val="-2"/>
          <w:sz w:val="24"/>
          <w:szCs w:val="24"/>
          <w:lang w:eastAsia="en-AU"/>
        </w:rPr>
      </w:pPr>
      <w:r w:rsidRPr="00C03A6A">
        <w:rPr>
          <w:rFonts w:eastAsia="Times New Roman"/>
          <w:spacing w:val="-4"/>
          <w:sz w:val="20"/>
          <w:szCs w:val="20"/>
          <w:lang w:eastAsia="en-AU" w:bidi="en-US"/>
        </w:rPr>
        <w:t>Advance to next round, Closest Game, Correct Time, Dally M Medal, Double, Entrant Out-Place, Entrant Out-Win</w:t>
      </w:r>
      <w:r w:rsidRPr="00C03A6A">
        <w:rPr>
          <w:rFonts w:eastAsia="Times New Roman"/>
          <w:spacing w:val="-2"/>
          <w:sz w:val="20"/>
          <w:szCs w:val="20"/>
          <w:lang w:eastAsia="en-AU" w:bidi="en-US"/>
        </w:rPr>
        <w:t xml:space="preserve">, Exact Margin, Fantasy Sports Betting; Fastest Lap, Final 8, Finishing Position, First Loss, First Scoring Play, </w:t>
      </w:r>
      <w:r w:rsidRPr="00C03A6A">
        <w:rPr>
          <w:rFonts w:eastAsia="Times New Roman"/>
          <w:spacing w:val="-2"/>
          <w:sz w:val="20"/>
          <w:szCs w:val="20"/>
          <w:lang w:eastAsia="en-AU" w:bidi="en-US"/>
        </w:rPr>
        <w:br/>
        <w:t>First Win, Forecast, Half Time Full Time Double, Highest Score, Highest Season Finish, High-Low Scoring Double, Last Aussie, Last Team Standing, Leading Goalscorer, Lowest Score, Margin Win, Method of result, Minor Premiership, Multiple Winners, Number scored, Overall performance, Period All Up, Pick 4, Pick 6,</w:t>
      </w:r>
      <w:r w:rsidRPr="00C03A6A">
        <w:rPr>
          <w:rFonts w:eastAsia="Times New Roman"/>
          <w:spacing w:val="-2"/>
          <w:sz w:val="20"/>
          <w:szCs w:val="20"/>
          <w:lang w:eastAsia="en-AU" w:bidi="en-US"/>
        </w:rPr>
        <w:br/>
        <w:t>Pick the Margins, Pick the Result, Pick the Score, Pick the Winners, Place Player of the Match, Quinella, Relegation, Team Performance, To Miss Top 8, Top 10, Top 4, Top 5,Top Aussie Finish, Top Overseas Finish, Top scorer, Total Match Points, Treble, Tri-bet, Trifecta, Trio, Win, Winning Score, Wooden Spoon</w:t>
      </w:r>
    </w:p>
    <w:p w:rsidR="00C03A6A" w:rsidRPr="00C03A6A" w:rsidRDefault="00C03A6A" w:rsidP="00C03A6A">
      <w:pPr>
        <w:spacing w:before="120" w:after="120" w:line="240" w:lineRule="auto"/>
        <w:ind w:left="426" w:hanging="426"/>
        <w:jc w:val="left"/>
        <w:rPr>
          <w:rFonts w:eastAsia="Times New Roman"/>
          <w:b/>
          <w:sz w:val="24"/>
          <w:szCs w:val="24"/>
          <w:lang w:eastAsia="en-AU"/>
        </w:rPr>
      </w:pPr>
      <w:r w:rsidRPr="00C03A6A">
        <w:rPr>
          <w:rFonts w:eastAsia="Times New Roman"/>
          <w:b/>
          <w:sz w:val="24"/>
          <w:szCs w:val="24"/>
          <w:lang w:eastAsia="en-AU"/>
        </w:rPr>
        <w:t>3.</w:t>
      </w:r>
      <w:r w:rsidRPr="00C03A6A">
        <w:rPr>
          <w:rFonts w:eastAsia="Times New Roman"/>
          <w:b/>
          <w:sz w:val="24"/>
          <w:szCs w:val="24"/>
          <w:lang w:eastAsia="en-AU"/>
        </w:rPr>
        <w:tab/>
        <w:t>American Football</w:t>
      </w:r>
    </w:p>
    <w:p w:rsidR="00C03A6A" w:rsidRPr="00C03A6A" w:rsidRDefault="00C03A6A" w:rsidP="00C03A6A">
      <w:pPr>
        <w:spacing w:after="0" w:line="240" w:lineRule="auto"/>
        <w:ind w:left="426"/>
        <w:jc w:val="left"/>
        <w:rPr>
          <w:rFonts w:eastAsia="Times New Roman"/>
          <w:sz w:val="20"/>
          <w:szCs w:val="20"/>
          <w:lang w:eastAsia="en-AU" w:bidi="en-US"/>
        </w:rPr>
      </w:pPr>
      <w:r w:rsidRPr="00C03A6A">
        <w:rPr>
          <w:rFonts w:eastAsia="Times New Roman"/>
          <w:sz w:val="20"/>
          <w:szCs w:val="20"/>
          <w:lang w:eastAsia="en-AU" w:bidi="en-US"/>
        </w:rPr>
        <w:t>Yards By Individual</w:t>
      </w:r>
    </w:p>
    <w:p w:rsidR="00C03A6A" w:rsidRPr="00C03A6A" w:rsidRDefault="00C03A6A" w:rsidP="00C03A6A">
      <w:pPr>
        <w:spacing w:before="120" w:after="120" w:line="240" w:lineRule="auto"/>
        <w:ind w:left="426" w:hanging="426"/>
        <w:jc w:val="left"/>
        <w:rPr>
          <w:rFonts w:eastAsia="Times New Roman"/>
          <w:b/>
          <w:sz w:val="24"/>
          <w:szCs w:val="24"/>
          <w:lang w:eastAsia="en-AU"/>
        </w:rPr>
      </w:pPr>
      <w:r w:rsidRPr="00C03A6A">
        <w:rPr>
          <w:rFonts w:eastAsia="Times New Roman"/>
          <w:b/>
          <w:sz w:val="24"/>
          <w:szCs w:val="24"/>
          <w:lang w:eastAsia="en-AU"/>
        </w:rPr>
        <w:t>4.</w:t>
      </w:r>
      <w:r w:rsidRPr="00C03A6A">
        <w:rPr>
          <w:rFonts w:eastAsia="Times New Roman"/>
          <w:b/>
          <w:sz w:val="24"/>
          <w:szCs w:val="24"/>
          <w:lang w:eastAsia="en-AU"/>
        </w:rPr>
        <w:tab/>
        <w:t>Australian Rules Football Games</w:t>
      </w:r>
    </w:p>
    <w:p w:rsidR="00C03A6A" w:rsidRPr="00C03A6A" w:rsidRDefault="00C03A6A" w:rsidP="00C03A6A">
      <w:pPr>
        <w:spacing w:after="0" w:line="240" w:lineRule="auto"/>
        <w:ind w:left="426"/>
        <w:jc w:val="left"/>
        <w:rPr>
          <w:rFonts w:eastAsia="Times New Roman"/>
          <w:sz w:val="20"/>
          <w:szCs w:val="20"/>
          <w:lang w:eastAsia="en-AU"/>
        </w:rPr>
      </w:pPr>
      <w:r w:rsidRPr="00C03A6A">
        <w:rPr>
          <w:rFonts w:eastAsia="Times New Roman"/>
          <w:sz w:val="20"/>
          <w:szCs w:val="20"/>
          <w:lang w:eastAsia="en-AU"/>
        </w:rPr>
        <w:t xml:space="preserve">ANZAC Medal, Brownlow Medal, Brownlow Medal Number of Winning Votes, Coleman Medal, </w:t>
      </w:r>
      <w:r w:rsidRPr="00C03A6A">
        <w:rPr>
          <w:rFonts w:eastAsia="Times New Roman"/>
          <w:sz w:val="20"/>
          <w:szCs w:val="20"/>
          <w:lang w:eastAsia="en-AU"/>
        </w:rPr>
        <w:br/>
        <w:t>Jack Oatey Medal, Michael Tuck Medal, Most disposals, Norm Smith Medal, Quarter Goals, Time of First Goal</w:t>
      </w:r>
    </w:p>
    <w:p w:rsidR="00C03A6A" w:rsidRPr="00C03A6A" w:rsidRDefault="00C03A6A" w:rsidP="00C03A6A">
      <w:pPr>
        <w:spacing w:before="120" w:after="120" w:line="240" w:lineRule="auto"/>
        <w:ind w:left="426" w:hanging="426"/>
        <w:jc w:val="left"/>
        <w:rPr>
          <w:rFonts w:eastAsia="Times New Roman"/>
          <w:b/>
          <w:sz w:val="24"/>
          <w:szCs w:val="24"/>
          <w:lang w:eastAsia="en-AU"/>
        </w:rPr>
      </w:pPr>
      <w:r w:rsidRPr="00C03A6A">
        <w:rPr>
          <w:rFonts w:eastAsia="Times New Roman"/>
          <w:b/>
          <w:sz w:val="24"/>
          <w:szCs w:val="24"/>
          <w:lang w:eastAsia="en-AU"/>
        </w:rPr>
        <w:t>5.</w:t>
      </w:r>
      <w:r w:rsidRPr="00C03A6A">
        <w:rPr>
          <w:rFonts w:eastAsia="Times New Roman"/>
          <w:b/>
          <w:sz w:val="24"/>
          <w:szCs w:val="24"/>
          <w:lang w:eastAsia="en-AU"/>
        </w:rPr>
        <w:tab/>
        <w:t>Baseball</w:t>
      </w:r>
    </w:p>
    <w:p w:rsidR="00C03A6A" w:rsidRPr="00C03A6A" w:rsidRDefault="00C03A6A" w:rsidP="00C03A6A">
      <w:pPr>
        <w:spacing w:after="0" w:line="240" w:lineRule="auto"/>
        <w:ind w:left="426"/>
        <w:jc w:val="left"/>
        <w:rPr>
          <w:rFonts w:eastAsia="Times New Roman"/>
          <w:sz w:val="20"/>
          <w:szCs w:val="20"/>
          <w:lang w:eastAsia="en-AU" w:bidi="en-US"/>
        </w:rPr>
      </w:pPr>
      <w:r w:rsidRPr="00C03A6A">
        <w:rPr>
          <w:rFonts w:eastAsia="Times New Roman"/>
          <w:sz w:val="20"/>
          <w:szCs w:val="20"/>
          <w:lang w:eastAsia="en-AU" w:bidi="en-US"/>
        </w:rPr>
        <w:t>First Home Run Hit</w:t>
      </w:r>
    </w:p>
    <w:p w:rsidR="00C03A6A" w:rsidRPr="00C03A6A" w:rsidRDefault="00C03A6A" w:rsidP="00C03A6A">
      <w:pPr>
        <w:spacing w:before="120" w:after="120" w:line="240" w:lineRule="auto"/>
        <w:ind w:left="426" w:hanging="426"/>
        <w:jc w:val="left"/>
        <w:rPr>
          <w:rFonts w:eastAsia="Times New Roman"/>
          <w:b/>
          <w:sz w:val="24"/>
          <w:szCs w:val="24"/>
          <w:lang w:eastAsia="en-AU"/>
        </w:rPr>
      </w:pPr>
      <w:r w:rsidRPr="00C03A6A">
        <w:rPr>
          <w:rFonts w:eastAsia="Times New Roman"/>
          <w:b/>
          <w:sz w:val="24"/>
          <w:szCs w:val="24"/>
          <w:lang w:eastAsia="en-AU"/>
        </w:rPr>
        <w:t>6.</w:t>
      </w:r>
      <w:r w:rsidRPr="00C03A6A">
        <w:rPr>
          <w:rFonts w:eastAsia="Times New Roman"/>
          <w:b/>
          <w:sz w:val="24"/>
          <w:szCs w:val="24"/>
          <w:lang w:eastAsia="en-AU"/>
        </w:rPr>
        <w:tab/>
        <w:t>Boxing</w:t>
      </w:r>
    </w:p>
    <w:p w:rsidR="00C03A6A" w:rsidRPr="00C03A6A" w:rsidRDefault="00C03A6A" w:rsidP="00C03A6A">
      <w:pPr>
        <w:spacing w:after="0" w:line="240" w:lineRule="auto"/>
        <w:ind w:left="426"/>
        <w:jc w:val="left"/>
        <w:rPr>
          <w:rFonts w:eastAsia="Times New Roman"/>
          <w:sz w:val="20"/>
          <w:szCs w:val="20"/>
          <w:lang w:eastAsia="en-AU"/>
        </w:rPr>
      </w:pPr>
      <w:r w:rsidRPr="00C03A6A">
        <w:rPr>
          <w:rFonts w:eastAsia="Times New Roman"/>
          <w:sz w:val="20"/>
          <w:szCs w:val="24"/>
          <w:lang w:eastAsia="en-AU"/>
        </w:rPr>
        <w:t>Exact result, Pick the Round</w:t>
      </w:r>
      <w:r w:rsidRPr="00C03A6A">
        <w:rPr>
          <w:rFonts w:eastAsia="Times New Roman"/>
          <w:b/>
          <w:sz w:val="24"/>
          <w:szCs w:val="24"/>
          <w:lang w:eastAsia="en-AU"/>
        </w:rPr>
        <w:br w:type="page"/>
      </w:r>
    </w:p>
    <w:p w:rsidR="00C03A6A" w:rsidRPr="00C03A6A" w:rsidRDefault="00C03A6A" w:rsidP="00C03A6A">
      <w:pPr>
        <w:spacing w:before="120" w:after="120" w:line="240" w:lineRule="auto"/>
        <w:ind w:left="426" w:hanging="426"/>
        <w:jc w:val="left"/>
        <w:rPr>
          <w:rFonts w:eastAsia="Times New Roman"/>
          <w:b/>
          <w:sz w:val="24"/>
          <w:szCs w:val="24"/>
          <w:lang w:eastAsia="en-AU"/>
        </w:rPr>
      </w:pPr>
      <w:r w:rsidRPr="00C03A6A">
        <w:rPr>
          <w:rFonts w:eastAsia="Times New Roman"/>
          <w:b/>
          <w:sz w:val="24"/>
          <w:szCs w:val="24"/>
          <w:lang w:eastAsia="en-AU"/>
        </w:rPr>
        <w:lastRenderedPageBreak/>
        <w:t>7.</w:t>
      </w:r>
      <w:r w:rsidRPr="00C03A6A">
        <w:rPr>
          <w:rFonts w:eastAsia="Times New Roman"/>
          <w:b/>
          <w:sz w:val="24"/>
          <w:szCs w:val="24"/>
          <w:lang w:eastAsia="en-AU"/>
        </w:rPr>
        <w:tab/>
        <w:t>Cricket Events</w:t>
      </w:r>
    </w:p>
    <w:p w:rsidR="00C03A6A" w:rsidRPr="00C03A6A" w:rsidRDefault="00C03A6A" w:rsidP="00C03A6A">
      <w:pPr>
        <w:spacing w:after="0" w:line="240" w:lineRule="auto"/>
        <w:ind w:left="426"/>
        <w:jc w:val="left"/>
        <w:rPr>
          <w:rFonts w:eastAsia="Times New Roman"/>
          <w:sz w:val="20"/>
          <w:szCs w:val="24"/>
          <w:lang w:eastAsia="en-AU"/>
        </w:rPr>
      </w:pPr>
      <w:r w:rsidRPr="00C03A6A">
        <w:rPr>
          <w:rFonts w:eastAsia="Times New Roman"/>
          <w:sz w:val="20"/>
          <w:szCs w:val="24"/>
          <w:lang w:eastAsia="en-AU"/>
        </w:rPr>
        <w:t>Century, Higher opening partnership, Hi-Bat, Hi-Bowl, Most Runs, Most Wickets, Number of run outs, Number of Sixes, When Test Ends</w:t>
      </w:r>
    </w:p>
    <w:p w:rsidR="00C03A6A" w:rsidRPr="00C03A6A" w:rsidRDefault="00C03A6A" w:rsidP="00C03A6A">
      <w:pPr>
        <w:spacing w:before="120" w:after="120" w:line="240" w:lineRule="auto"/>
        <w:ind w:left="426" w:hanging="426"/>
        <w:jc w:val="left"/>
        <w:rPr>
          <w:rFonts w:eastAsia="Times New Roman"/>
          <w:b/>
          <w:sz w:val="24"/>
          <w:szCs w:val="24"/>
          <w:lang w:eastAsia="en-AU"/>
        </w:rPr>
      </w:pPr>
      <w:r w:rsidRPr="00C03A6A">
        <w:rPr>
          <w:rFonts w:eastAsia="Times New Roman"/>
          <w:b/>
          <w:sz w:val="24"/>
          <w:szCs w:val="24"/>
          <w:lang w:eastAsia="en-AU"/>
        </w:rPr>
        <w:t>8.</w:t>
      </w:r>
      <w:r w:rsidRPr="00C03A6A">
        <w:rPr>
          <w:rFonts w:eastAsia="Times New Roman"/>
          <w:b/>
          <w:sz w:val="24"/>
          <w:szCs w:val="24"/>
          <w:lang w:eastAsia="en-AU"/>
        </w:rPr>
        <w:tab/>
        <w:t>Golf Events</w:t>
      </w:r>
    </w:p>
    <w:p w:rsidR="00C03A6A" w:rsidRPr="00C03A6A" w:rsidRDefault="00C03A6A" w:rsidP="00C03A6A">
      <w:pPr>
        <w:spacing w:after="0" w:line="240" w:lineRule="auto"/>
        <w:ind w:left="426"/>
        <w:jc w:val="left"/>
        <w:rPr>
          <w:rFonts w:eastAsia="Times New Roman"/>
          <w:b/>
          <w:sz w:val="24"/>
          <w:szCs w:val="24"/>
          <w:lang w:eastAsia="en-AU"/>
        </w:rPr>
      </w:pPr>
      <w:r w:rsidRPr="00C03A6A">
        <w:rPr>
          <w:rFonts w:eastAsia="Times New Roman"/>
          <w:sz w:val="20"/>
          <w:szCs w:val="24"/>
          <w:lang w:eastAsia="en-AU"/>
        </w:rPr>
        <w:t>Daily Shootout, First Round Leader, Group Betting, International Challenge, Make the Cut, Number of Players Under Par</w:t>
      </w:r>
    </w:p>
    <w:p w:rsidR="00C03A6A" w:rsidRPr="00C03A6A" w:rsidRDefault="00C03A6A" w:rsidP="00C03A6A">
      <w:pPr>
        <w:spacing w:before="120" w:after="120" w:line="240" w:lineRule="auto"/>
        <w:ind w:left="426" w:hanging="426"/>
        <w:jc w:val="left"/>
        <w:rPr>
          <w:rFonts w:eastAsia="Times New Roman"/>
          <w:b/>
          <w:sz w:val="24"/>
          <w:szCs w:val="24"/>
          <w:lang w:eastAsia="en-AU"/>
        </w:rPr>
      </w:pPr>
      <w:r w:rsidRPr="00C03A6A">
        <w:rPr>
          <w:rFonts w:eastAsia="Times New Roman"/>
          <w:b/>
          <w:sz w:val="24"/>
          <w:szCs w:val="24"/>
          <w:lang w:eastAsia="en-AU"/>
        </w:rPr>
        <w:t>9.</w:t>
      </w:r>
      <w:r w:rsidRPr="00C03A6A">
        <w:rPr>
          <w:rFonts w:eastAsia="Times New Roman"/>
          <w:b/>
          <w:sz w:val="24"/>
          <w:szCs w:val="24"/>
          <w:lang w:eastAsia="en-AU"/>
        </w:rPr>
        <w:tab/>
        <w:t>International Tournaments</w:t>
      </w:r>
    </w:p>
    <w:p w:rsidR="00C03A6A" w:rsidRPr="00C03A6A" w:rsidRDefault="00C03A6A" w:rsidP="00C03A6A">
      <w:pPr>
        <w:spacing w:after="0" w:line="240" w:lineRule="auto"/>
        <w:ind w:left="426"/>
        <w:jc w:val="left"/>
        <w:rPr>
          <w:rFonts w:eastAsia="Times New Roman"/>
          <w:b/>
          <w:sz w:val="24"/>
          <w:szCs w:val="24"/>
          <w:lang w:eastAsia="en-AU"/>
        </w:rPr>
      </w:pPr>
      <w:r w:rsidRPr="00C03A6A">
        <w:rPr>
          <w:rFonts w:eastAsia="Times New Roman"/>
          <w:sz w:val="20"/>
          <w:szCs w:val="24"/>
          <w:lang w:eastAsia="en-AU"/>
        </w:rPr>
        <w:t>Gold Medal Tally, Total Medal Tally</w:t>
      </w:r>
    </w:p>
    <w:p w:rsidR="00C03A6A" w:rsidRPr="00C03A6A" w:rsidRDefault="00C03A6A" w:rsidP="00C03A6A">
      <w:pPr>
        <w:spacing w:before="120" w:after="120" w:line="240" w:lineRule="auto"/>
        <w:ind w:left="426" w:hanging="426"/>
        <w:jc w:val="left"/>
        <w:rPr>
          <w:rFonts w:eastAsia="Times New Roman"/>
          <w:b/>
          <w:sz w:val="24"/>
          <w:szCs w:val="24"/>
          <w:lang w:eastAsia="en-AU"/>
        </w:rPr>
      </w:pPr>
      <w:r w:rsidRPr="00C03A6A">
        <w:rPr>
          <w:rFonts w:eastAsia="Times New Roman"/>
          <w:b/>
          <w:sz w:val="24"/>
          <w:szCs w:val="24"/>
          <w:lang w:eastAsia="en-AU"/>
        </w:rPr>
        <w:t>10.</w:t>
      </w:r>
      <w:r w:rsidRPr="00C03A6A">
        <w:rPr>
          <w:rFonts w:eastAsia="Times New Roman"/>
          <w:b/>
          <w:sz w:val="24"/>
          <w:szCs w:val="24"/>
          <w:lang w:eastAsia="en-AU"/>
        </w:rPr>
        <w:tab/>
        <w:t>Soccer</w:t>
      </w:r>
    </w:p>
    <w:p w:rsidR="00C03A6A" w:rsidRPr="00C03A6A" w:rsidRDefault="00C03A6A" w:rsidP="00C03A6A">
      <w:pPr>
        <w:spacing w:after="0" w:line="240" w:lineRule="auto"/>
        <w:ind w:left="426"/>
        <w:jc w:val="left"/>
        <w:rPr>
          <w:rFonts w:eastAsia="Times New Roman"/>
          <w:sz w:val="22"/>
          <w:lang w:eastAsia="en-AU"/>
        </w:rPr>
      </w:pPr>
      <w:r w:rsidRPr="00C03A6A">
        <w:rPr>
          <w:rFonts w:eastAsia="Times New Roman"/>
          <w:sz w:val="20"/>
          <w:szCs w:val="24"/>
          <w:lang w:eastAsia="en-AU"/>
        </w:rPr>
        <w:t>Time of First Goal</w:t>
      </w:r>
    </w:p>
    <w:p w:rsidR="00C03A6A" w:rsidRPr="00C03A6A" w:rsidRDefault="00C03A6A" w:rsidP="00C03A6A">
      <w:pPr>
        <w:spacing w:before="120" w:after="120" w:line="240" w:lineRule="auto"/>
        <w:ind w:left="426" w:hanging="426"/>
        <w:jc w:val="left"/>
        <w:rPr>
          <w:rFonts w:eastAsia="Times New Roman"/>
          <w:b/>
          <w:sz w:val="24"/>
          <w:szCs w:val="24"/>
          <w:lang w:eastAsia="en-AU"/>
        </w:rPr>
      </w:pPr>
      <w:r w:rsidRPr="00C03A6A">
        <w:rPr>
          <w:rFonts w:eastAsia="Times New Roman"/>
          <w:b/>
          <w:sz w:val="24"/>
          <w:szCs w:val="24"/>
          <w:lang w:eastAsia="en-AU"/>
        </w:rPr>
        <w:t>11.</w:t>
      </w:r>
      <w:r w:rsidRPr="00C03A6A">
        <w:rPr>
          <w:rFonts w:eastAsia="Times New Roman"/>
          <w:b/>
          <w:sz w:val="24"/>
          <w:szCs w:val="24"/>
          <w:lang w:eastAsia="en-AU"/>
        </w:rPr>
        <w:tab/>
        <w:t>Softball</w:t>
      </w:r>
    </w:p>
    <w:p w:rsidR="00C03A6A" w:rsidRPr="00C03A6A" w:rsidRDefault="00C03A6A" w:rsidP="00C03A6A">
      <w:pPr>
        <w:spacing w:after="0" w:line="240" w:lineRule="auto"/>
        <w:ind w:left="426"/>
        <w:jc w:val="left"/>
        <w:rPr>
          <w:rFonts w:eastAsia="Times New Roman"/>
          <w:sz w:val="20"/>
          <w:szCs w:val="24"/>
          <w:lang w:eastAsia="en-AU"/>
        </w:rPr>
      </w:pPr>
      <w:r w:rsidRPr="00C03A6A">
        <w:rPr>
          <w:rFonts w:eastAsia="Times New Roman"/>
          <w:sz w:val="20"/>
          <w:szCs w:val="24"/>
          <w:lang w:eastAsia="en-AU"/>
        </w:rPr>
        <w:t>First Home Run Hit</w:t>
      </w:r>
    </w:p>
    <w:p w:rsidR="00C03A6A" w:rsidRPr="00C03A6A" w:rsidRDefault="00C03A6A" w:rsidP="00C03A6A">
      <w:pPr>
        <w:spacing w:before="120" w:after="120" w:line="240" w:lineRule="auto"/>
        <w:ind w:left="426" w:hanging="426"/>
        <w:jc w:val="left"/>
        <w:rPr>
          <w:rFonts w:eastAsia="Times New Roman"/>
          <w:b/>
          <w:sz w:val="24"/>
          <w:szCs w:val="24"/>
          <w:lang w:eastAsia="en-AU"/>
        </w:rPr>
      </w:pPr>
      <w:r w:rsidRPr="00C03A6A">
        <w:rPr>
          <w:rFonts w:eastAsia="Times New Roman"/>
          <w:b/>
          <w:sz w:val="24"/>
          <w:szCs w:val="24"/>
          <w:lang w:eastAsia="en-AU"/>
        </w:rPr>
        <w:t>12.</w:t>
      </w:r>
      <w:r w:rsidRPr="00C03A6A">
        <w:rPr>
          <w:rFonts w:eastAsia="Times New Roman"/>
          <w:b/>
          <w:sz w:val="24"/>
          <w:szCs w:val="24"/>
          <w:lang w:eastAsia="en-AU"/>
        </w:rPr>
        <w:tab/>
        <w:t>Tennis Events</w:t>
      </w:r>
    </w:p>
    <w:p w:rsidR="00C03A6A" w:rsidRPr="00C03A6A" w:rsidRDefault="00C03A6A" w:rsidP="00C03A6A">
      <w:pPr>
        <w:spacing w:after="0" w:line="240" w:lineRule="auto"/>
        <w:ind w:left="426"/>
        <w:jc w:val="left"/>
        <w:rPr>
          <w:rFonts w:eastAsia="Times New Roman"/>
          <w:sz w:val="22"/>
          <w:lang w:eastAsia="en-AU"/>
        </w:rPr>
      </w:pPr>
      <w:r w:rsidRPr="00C03A6A">
        <w:rPr>
          <w:rFonts w:eastAsia="Times New Roman"/>
          <w:sz w:val="20"/>
          <w:szCs w:val="24"/>
          <w:lang w:eastAsia="en-AU" w:bidi="en-US"/>
        </w:rPr>
        <w:t>Exact set score, Number of Aces, Sets Betting</w:t>
      </w:r>
    </w:p>
    <w:p w:rsidR="00C03A6A" w:rsidRPr="00C03A6A" w:rsidRDefault="00C03A6A" w:rsidP="00C03A6A">
      <w:pPr>
        <w:spacing w:before="120" w:after="120" w:line="240" w:lineRule="auto"/>
        <w:ind w:left="426" w:hanging="426"/>
        <w:jc w:val="left"/>
        <w:rPr>
          <w:rFonts w:eastAsia="Times New Roman"/>
          <w:b/>
          <w:sz w:val="24"/>
          <w:szCs w:val="24"/>
          <w:lang w:eastAsia="en-AU"/>
        </w:rPr>
      </w:pPr>
      <w:r w:rsidRPr="00C03A6A">
        <w:rPr>
          <w:rFonts w:eastAsia="Times New Roman"/>
          <w:b/>
          <w:sz w:val="24"/>
          <w:szCs w:val="24"/>
          <w:lang w:eastAsia="en-AU"/>
        </w:rPr>
        <w:t>13.</w:t>
      </w:r>
      <w:r w:rsidRPr="00C03A6A">
        <w:rPr>
          <w:rFonts w:eastAsia="Times New Roman"/>
          <w:b/>
          <w:sz w:val="24"/>
          <w:szCs w:val="24"/>
          <w:lang w:eastAsia="en-AU"/>
        </w:rPr>
        <w:tab/>
        <w:t>Academy Awards</w:t>
      </w:r>
    </w:p>
    <w:p w:rsidR="00C03A6A" w:rsidRPr="00C03A6A" w:rsidRDefault="00C03A6A" w:rsidP="00C03A6A">
      <w:pPr>
        <w:spacing w:after="0" w:line="240" w:lineRule="auto"/>
        <w:ind w:left="426"/>
        <w:jc w:val="left"/>
        <w:rPr>
          <w:rFonts w:eastAsia="Times New Roman"/>
          <w:sz w:val="20"/>
          <w:szCs w:val="24"/>
          <w:lang w:eastAsia="en-AU"/>
        </w:rPr>
      </w:pPr>
      <w:r w:rsidRPr="00C03A6A">
        <w:rPr>
          <w:rFonts w:eastAsia="Times New Roman"/>
          <w:sz w:val="20"/>
          <w:szCs w:val="24"/>
          <w:lang w:eastAsia="en-AU"/>
        </w:rPr>
        <w:t>Win</w:t>
      </w:r>
    </w:p>
    <w:p w:rsidR="00C03A6A" w:rsidRPr="00C03A6A" w:rsidRDefault="00C03A6A" w:rsidP="00C03A6A">
      <w:pPr>
        <w:spacing w:before="120" w:after="120" w:line="240" w:lineRule="auto"/>
        <w:ind w:left="426" w:hanging="426"/>
        <w:jc w:val="left"/>
        <w:rPr>
          <w:rFonts w:eastAsia="Times New Roman"/>
          <w:b/>
          <w:sz w:val="24"/>
          <w:szCs w:val="24"/>
          <w:lang w:eastAsia="en-AU"/>
        </w:rPr>
      </w:pPr>
      <w:r w:rsidRPr="00C03A6A">
        <w:rPr>
          <w:rFonts w:eastAsia="Times New Roman"/>
          <w:b/>
          <w:sz w:val="24"/>
          <w:szCs w:val="24"/>
          <w:lang w:eastAsia="en-AU"/>
        </w:rPr>
        <w:t>14.</w:t>
      </w:r>
      <w:r w:rsidRPr="00C03A6A">
        <w:rPr>
          <w:rFonts w:eastAsia="Times New Roman"/>
          <w:b/>
          <w:sz w:val="24"/>
          <w:szCs w:val="24"/>
          <w:lang w:eastAsia="en-AU"/>
        </w:rPr>
        <w:tab/>
        <w:t>Elections</w:t>
      </w:r>
    </w:p>
    <w:p w:rsidR="00C03A6A" w:rsidRPr="00C03A6A" w:rsidRDefault="00C03A6A" w:rsidP="00C03A6A">
      <w:pPr>
        <w:spacing w:after="0" w:line="240" w:lineRule="auto"/>
        <w:ind w:left="426"/>
        <w:jc w:val="left"/>
        <w:rPr>
          <w:rFonts w:eastAsia="Times New Roman"/>
          <w:sz w:val="20"/>
          <w:szCs w:val="24"/>
          <w:lang w:eastAsia="en-AU"/>
        </w:rPr>
      </w:pPr>
      <w:r w:rsidRPr="00C03A6A">
        <w:rPr>
          <w:rFonts w:eastAsia="Times New Roman"/>
          <w:sz w:val="20"/>
          <w:szCs w:val="24"/>
          <w:lang w:eastAsia="en-AU"/>
        </w:rPr>
        <w:t>Election Bets</w:t>
      </w:r>
    </w:p>
    <w:p w:rsidR="00C03A6A" w:rsidRPr="00C03A6A" w:rsidRDefault="00C03A6A" w:rsidP="00C03A6A">
      <w:pPr>
        <w:spacing w:before="120" w:after="120" w:line="240" w:lineRule="auto"/>
        <w:ind w:left="426" w:hanging="426"/>
        <w:jc w:val="left"/>
        <w:rPr>
          <w:rFonts w:eastAsia="Times New Roman"/>
          <w:b/>
          <w:sz w:val="24"/>
          <w:szCs w:val="24"/>
          <w:lang w:eastAsia="en-AU"/>
        </w:rPr>
      </w:pPr>
      <w:r w:rsidRPr="00C03A6A">
        <w:rPr>
          <w:rFonts w:eastAsia="Times New Roman"/>
          <w:b/>
          <w:sz w:val="24"/>
          <w:szCs w:val="24"/>
          <w:lang w:eastAsia="en-AU"/>
        </w:rPr>
        <w:t>15.</w:t>
      </w:r>
      <w:r w:rsidRPr="00C03A6A">
        <w:rPr>
          <w:rFonts w:eastAsia="Times New Roman"/>
          <w:b/>
          <w:sz w:val="24"/>
          <w:szCs w:val="24"/>
          <w:lang w:eastAsia="en-AU"/>
        </w:rPr>
        <w:tab/>
        <w:t>Eurovision</w:t>
      </w:r>
    </w:p>
    <w:p w:rsidR="00C03A6A" w:rsidRPr="00C03A6A" w:rsidRDefault="00C03A6A" w:rsidP="00C03A6A">
      <w:pPr>
        <w:spacing w:after="0" w:line="240" w:lineRule="auto"/>
        <w:ind w:left="426"/>
        <w:jc w:val="left"/>
        <w:rPr>
          <w:rFonts w:eastAsia="Times New Roman"/>
          <w:sz w:val="20"/>
          <w:szCs w:val="24"/>
          <w:lang w:eastAsia="en-AU" w:bidi="en-US"/>
        </w:rPr>
      </w:pPr>
      <w:r w:rsidRPr="00C03A6A">
        <w:rPr>
          <w:rFonts w:eastAsia="Times New Roman"/>
          <w:sz w:val="20"/>
          <w:szCs w:val="24"/>
          <w:lang w:eastAsia="en-AU" w:bidi="en-US"/>
        </w:rPr>
        <w:t>Win, finishing position, head to head, make a final, margin win, pick the margins, pick the result,</w:t>
      </w:r>
      <w:r w:rsidRPr="00C03A6A">
        <w:rPr>
          <w:rFonts w:eastAsia="Times New Roman"/>
          <w:sz w:val="20"/>
          <w:szCs w:val="24"/>
          <w:lang w:eastAsia="en-AU" w:bidi="en-US"/>
        </w:rPr>
        <w:br/>
        <w:t>pick the score, pick the winner type, qualify, top 2–10, winning score, wooden spoon</w:t>
      </w:r>
    </w:p>
    <w:p w:rsidR="00C03A6A" w:rsidRPr="00C03A6A" w:rsidRDefault="00C03A6A" w:rsidP="00C03A6A">
      <w:pPr>
        <w:spacing w:before="120" w:after="120" w:line="240" w:lineRule="auto"/>
        <w:ind w:left="426" w:hanging="426"/>
        <w:jc w:val="left"/>
        <w:rPr>
          <w:rFonts w:eastAsia="Times New Roman"/>
          <w:b/>
          <w:sz w:val="24"/>
          <w:szCs w:val="24"/>
          <w:lang w:eastAsia="en-AU"/>
        </w:rPr>
      </w:pPr>
      <w:r w:rsidRPr="00C03A6A">
        <w:rPr>
          <w:rFonts w:eastAsia="Times New Roman"/>
          <w:b/>
          <w:sz w:val="24"/>
          <w:szCs w:val="24"/>
          <w:lang w:eastAsia="en-AU"/>
        </w:rPr>
        <w:t>16.</w:t>
      </w:r>
      <w:r w:rsidRPr="00C03A6A">
        <w:rPr>
          <w:rFonts w:eastAsia="Times New Roman"/>
          <w:b/>
          <w:sz w:val="24"/>
          <w:szCs w:val="24"/>
          <w:lang w:eastAsia="en-AU"/>
        </w:rPr>
        <w:tab/>
        <w:t>Snooker</w:t>
      </w:r>
    </w:p>
    <w:p w:rsidR="00C03A6A" w:rsidRPr="00C03A6A" w:rsidRDefault="00C03A6A" w:rsidP="00C03A6A">
      <w:pPr>
        <w:spacing w:after="0" w:line="240" w:lineRule="auto"/>
        <w:ind w:left="426"/>
        <w:jc w:val="left"/>
        <w:rPr>
          <w:rFonts w:eastAsia="Times New Roman"/>
          <w:sz w:val="20"/>
          <w:szCs w:val="24"/>
          <w:lang w:eastAsia="en-AU" w:bidi="en-US"/>
        </w:rPr>
      </w:pPr>
      <w:r w:rsidRPr="00C03A6A">
        <w:rPr>
          <w:rFonts w:eastAsia="Times New Roman"/>
          <w:sz w:val="20"/>
          <w:szCs w:val="24"/>
          <w:lang w:eastAsia="en-AU" w:bidi="en-US"/>
        </w:rPr>
        <w:t xml:space="preserve">Head to head, Period All Up. Overall Performance, Number scored, Total Match Points, Highest Score, Lowest Score, </w:t>
      </w:r>
      <w:r w:rsidRPr="00C03A6A">
        <w:rPr>
          <w:rFonts w:eastAsia="Times New Roman"/>
          <w:sz w:val="20"/>
          <w:szCs w:val="24"/>
          <w:lang w:eastAsia="en-AU"/>
        </w:rPr>
        <w:t>Entrant</w:t>
      </w:r>
      <w:r w:rsidRPr="00C03A6A">
        <w:rPr>
          <w:rFonts w:eastAsia="Times New Roman"/>
          <w:sz w:val="20"/>
          <w:szCs w:val="24"/>
          <w:lang w:eastAsia="en-AU" w:bidi="en-US"/>
        </w:rPr>
        <w:t xml:space="preserve"> Out-Win, Entrant Out-Place, Place</w:t>
      </w:r>
    </w:p>
    <w:p w:rsidR="00C03A6A" w:rsidRPr="00C03A6A" w:rsidRDefault="00C03A6A" w:rsidP="00C03A6A">
      <w:pPr>
        <w:spacing w:before="120" w:after="120" w:line="240" w:lineRule="auto"/>
        <w:ind w:left="426" w:hanging="426"/>
        <w:jc w:val="left"/>
        <w:rPr>
          <w:rFonts w:eastAsia="Times New Roman"/>
          <w:b/>
          <w:sz w:val="24"/>
          <w:szCs w:val="24"/>
          <w:lang w:eastAsia="en-AU"/>
        </w:rPr>
      </w:pPr>
      <w:r w:rsidRPr="00C03A6A">
        <w:rPr>
          <w:rFonts w:eastAsia="Times New Roman"/>
          <w:b/>
          <w:sz w:val="24"/>
          <w:szCs w:val="24"/>
          <w:lang w:eastAsia="en-AU"/>
        </w:rPr>
        <w:t>17.</w:t>
      </w:r>
      <w:r w:rsidRPr="00C03A6A">
        <w:rPr>
          <w:rFonts w:eastAsia="Times New Roman"/>
          <w:b/>
          <w:sz w:val="24"/>
          <w:szCs w:val="24"/>
          <w:lang w:eastAsia="en-AU"/>
        </w:rPr>
        <w:tab/>
        <w:t>Gaelic Football</w:t>
      </w:r>
    </w:p>
    <w:p w:rsidR="00C03A6A" w:rsidRPr="00C03A6A" w:rsidRDefault="00C03A6A" w:rsidP="00C03A6A">
      <w:pPr>
        <w:spacing w:after="0" w:line="240" w:lineRule="auto"/>
        <w:ind w:left="426"/>
        <w:jc w:val="left"/>
        <w:rPr>
          <w:rFonts w:eastAsia="Times New Roman"/>
          <w:sz w:val="20"/>
          <w:szCs w:val="24"/>
          <w:lang w:val="en-US" w:eastAsia="en-AU" w:bidi="en-US"/>
        </w:rPr>
      </w:pPr>
      <w:r w:rsidRPr="00C03A6A">
        <w:rPr>
          <w:rFonts w:eastAsia="Times New Roman"/>
          <w:sz w:val="20"/>
          <w:szCs w:val="24"/>
          <w:lang w:val="en-US" w:eastAsia="en-AU" w:bidi="en-US"/>
        </w:rPr>
        <w:t>Head to head, Margin Win, Period All Up, Total Match Points, First Score, Last Scorer, Overall Performance, Number Scored, Highest Score, Lowest Score, Qualify, Team Performance, Make final, Place,</w:t>
      </w:r>
      <w:r w:rsidRPr="00C03A6A">
        <w:rPr>
          <w:rFonts w:eastAsia="Times New Roman"/>
          <w:sz w:val="20"/>
          <w:szCs w:val="24"/>
          <w:lang w:val="en-US" w:eastAsia="en-AU" w:bidi="en-US"/>
        </w:rPr>
        <w:br/>
        <w:t>Entrant Out-Win, Entrant Out-Place, Pick the Winners</w:t>
      </w:r>
    </w:p>
    <w:p w:rsidR="00C03A6A" w:rsidRPr="00C03A6A" w:rsidRDefault="00C03A6A" w:rsidP="00C03A6A">
      <w:pPr>
        <w:spacing w:before="120" w:after="120" w:line="240" w:lineRule="auto"/>
        <w:ind w:left="426" w:hanging="426"/>
        <w:jc w:val="left"/>
        <w:rPr>
          <w:rFonts w:eastAsia="Times New Roman"/>
          <w:b/>
          <w:sz w:val="24"/>
          <w:szCs w:val="24"/>
          <w:lang w:eastAsia="en-AU"/>
        </w:rPr>
      </w:pPr>
      <w:r w:rsidRPr="00C03A6A">
        <w:rPr>
          <w:rFonts w:eastAsia="Times New Roman"/>
          <w:b/>
          <w:sz w:val="24"/>
          <w:szCs w:val="24"/>
          <w:lang w:eastAsia="en-AU"/>
        </w:rPr>
        <w:t>18.</w:t>
      </w:r>
      <w:r w:rsidRPr="00C03A6A">
        <w:rPr>
          <w:rFonts w:eastAsia="Times New Roman"/>
          <w:b/>
          <w:sz w:val="24"/>
          <w:szCs w:val="24"/>
          <w:lang w:eastAsia="en-AU"/>
        </w:rPr>
        <w:tab/>
        <w:t>Handball</w:t>
      </w:r>
    </w:p>
    <w:p w:rsidR="00C03A6A" w:rsidRPr="00C03A6A" w:rsidRDefault="00C03A6A" w:rsidP="00C03A6A">
      <w:pPr>
        <w:spacing w:after="0" w:line="240" w:lineRule="auto"/>
        <w:ind w:left="426"/>
        <w:jc w:val="left"/>
        <w:rPr>
          <w:rFonts w:eastAsia="Times New Roman"/>
          <w:sz w:val="20"/>
          <w:szCs w:val="24"/>
          <w:lang w:val="en-US" w:eastAsia="en-AU" w:bidi="en-US"/>
        </w:rPr>
      </w:pPr>
      <w:r w:rsidRPr="00C03A6A">
        <w:rPr>
          <w:rFonts w:eastAsia="Times New Roman"/>
          <w:sz w:val="20"/>
          <w:szCs w:val="24"/>
          <w:lang w:val="en-US" w:eastAsia="en-AU" w:bidi="en-US"/>
        </w:rPr>
        <w:t>Head to head, Period All Up. Overall Performance, Number scored, Total Match Points, Highest Score, Lowest Score, Qualify, Team Performance, Make final, Entrant Out-Win, Entrant Out-Place, Place, Margin Win,</w:t>
      </w:r>
      <w:r w:rsidRPr="00C03A6A">
        <w:rPr>
          <w:rFonts w:eastAsia="Times New Roman"/>
          <w:sz w:val="20"/>
          <w:szCs w:val="24"/>
          <w:lang w:val="en-US" w:eastAsia="en-AU" w:bidi="en-US"/>
        </w:rPr>
        <w:br/>
        <w:t>Pick the Winners</w:t>
      </w:r>
    </w:p>
    <w:p w:rsidR="00C03A6A" w:rsidRPr="00C03A6A" w:rsidRDefault="00C03A6A" w:rsidP="00C03A6A">
      <w:pPr>
        <w:spacing w:before="120" w:after="120" w:line="240" w:lineRule="auto"/>
        <w:ind w:left="426" w:hanging="426"/>
        <w:jc w:val="left"/>
        <w:rPr>
          <w:rFonts w:eastAsia="Times New Roman"/>
          <w:b/>
          <w:sz w:val="24"/>
          <w:szCs w:val="24"/>
          <w:lang w:eastAsia="en-AU"/>
        </w:rPr>
      </w:pPr>
      <w:r w:rsidRPr="00C03A6A">
        <w:rPr>
          <w:rFonts w:eastAsia="Times New Roman"/>
          <w:b/>
          <w:sz w:val="24"/>
          <w:szCs w:val="24"/>
          <w:lang w:eastAsia="en-AU"/>
        </w:rPr>
        <w:t>19.</w:t>
      </w:r>
      <w:r w:rsidRPr="00C03A6A">
        <w:rPr>
          <w:rFonts w:eastAsia="Times New Roman"/>
          <w:b/>
          <w:sz w:val="24"/>
          <w:szCs w:val="24"/>
          <w:lang w:eastAsia="en-AU"/>
        </w:rPr>
        <w:tab/>
        <w:t>Volleyball</w:t>
      </w:r>
    </w:p>
    <w:p w:rsidR="00C03A6A" w:rsidRPr="00C03A6A" w:rsidRDefault="00C03A6A" w:rsidP="00C03A6A">
      <w:pPr>
        <w:spacing w:after="0" w:line="240" w:lineRule="auto"/>
        <w:ind w:left="426"/>
        <w:jc w:val="left"/>
        <w:rPr>
          <w:rFonts w:eastAsia="Times New Roman"/>
          <w:sz w:val="20"/>
          <w:szCs w:val="24"/>
          <w:lang w:eastAsia="en-AU" w:bidi="en-US"/>
        </w:rPr>
      </w:pPr>
      <w:r w:rsidRPr="00C03A6A">
        <w:rPr>
          <w:rFonts w:eastAsia="Times New Roman"/>
          <w:sz w:val="20"/>
          <w:szCs w:val="24"/>
          <w:lang w:val="en-US" w:eastAsia="en-AU" w:bidi="en-US"/>
        </w:rPr>
        <w:t>Head to head, Margin Win, Period All Up, Total Match Points, Number Scored, Pick the Score, First Score, Last Scorer, Overall Performance, Highest Score, Lowest Score, Finishing Position, Team Performance, Qualify, Make final, Wooden Spoon, Entrant Out-Win, Entrant Out-Place, Last Team Standing, Win, Quinella, Forecast, Pick the Winners, First Win</w:t>
      </w:r>
    </w:p>
    <w:p w:rsidR="00C03A6A" w:rsidRPr="00C03A6A" w:rsidRDefault="00C03A6A" w:rsidP="00C03A6A">
      <w:pPr>
        <w:spacing w:before="120" w:after="120" w:line="240" w:lineRule="auto"/>
        <w:ind w:left="426" w:hanging="426"/>
        <w:jc w:val="left"/>
        <w:rPr>
          <w:rFonts w:eastAsia="Times New Roman"/>
          <w:b/>
          <w:sz w:val="24"/>
          <w:szCs w:val="24"/>
          <w:lang w:eastAsia="en-AU"/>
        </w:rPr>
      </w:pPr>
      <w:r w:rsidRPr="00C03A6A">
        <w:rPr>
          <w:rFonts w:eastAsia="Times New Roman"/>
          <w:b/>
          <w:sz w:val="24"/>
          <w:szCs w:val="24"/>
          <w:lang w:eastAsia="en-AU"/>
        </w:rPr>
        <w:t>20.</w:t>
      </w:r>
      <w:r w:rsidRPr="00C03A6A">
        <w:rPr>
          <w:rFonts w:eastAsia="Times New Roman"/>
          <w:b/>
          <w:sz w:val="24"/>
          <w:szCs w:val="24"/>
          <w:lang w:eastAsia="en-AU"/>
        </w:rPr>
        <w:tab/>
        <w:t>Gridiron (Non US)</w:t>
      </w:r>
    </w:p>
    <w:p w:rsidR="00C03A6A" w:rsidRPr="00C03A6A" w:rsidRDefault="00C03A6A" w:rsidP="00C03A6A">
      <w:pPr>
        <w:spacing w:after="0" w:line="240" w:lineRule="auto"/>
        <w:ind w:left="426"/>
        <w:jc w:val="left"/>
        <w:rPr>
          <w:rFonts w:eastAsia="Times New Roman"/>
          <w:spacing w:val="-2"/>
          <w:sz w:val="20"/>
          <w:szCs w:val="24"/>
          <w:lang w:val="en-US" w:eastAsia="en-AU" w:bidi="en-US"/>
        </w:rPr>
      </w:pPr>
      <w:r w:rsidRPr="00C03A6A">
        <w:rPr>
          <w:rFonts w:eastAsia="Times New Roman"/>
          <w:spacing w:val="-2"/>
          <w:sz w:val="20"/>
          <w:szCs w:val="24"/>
          <w:lang w:val="en-US" w:eastAsia="en-AU" w:bidi="en-US"/>
        </w:rPr>
        <w:t>Head to head, Margin Win, Period All Up, Total Match Points, Number Scored, Pick the Score, First Score,</w:t>
      </w:r>
      <w:r w:rsidRPr="00C03A6A">
        <w:rPr>
          <w:rFonts w:eastAsia="Times New Roman"/>
          <w:spacing w:val="-2"/>
          <w:sz w:val="20"/>
          <w:szCs w:val="24"/>
          <w:lang w:val="en-US" w:eastAsia="en-AU" w:bidi="en-US"/>
        </w:rPr>
        <w:br/>
        <w:t>Last Scorer, Overall Performance, Highest Score, Lowest Score, Finishing Position, Period All Up,</w:t>
      </w:r>
      <w:r w:rsidRPr="00C03A6A">
        <w:rPr>
          <w:rFonts w:eastAsia="Times New Roman"/>
          <w:spacing w:val="-2"/>
          <w:sz w:val="20"/>
          <w:szCs w:val="24"/>
          <w:lang w:val="en-US" w:eastAsia="en-AU" w:bidi="en-US"/>
        </w:rPr>
        <w:br/>
        <w:t>Team Performance, Last Team Standing, Win, Quinella, Forecast, Qualify, Make final, Pick the Winners,</w:t>
      </w:r>
      <w:r w:rsidRPr="00C03A6A">
        <w:rPr>
          <w:rFonts w:eastAsia="Times New Roman"/>
          <w:spacing w:val="-2"/>
          <w:sz w:val="20"/>
          <w:szCs w:val="24"/>
          <w:lang w:val="en-US" w:eastAsia="en-AU" w:bidi="en-US"/>
        </w:rPr>
        <w:br/>
        <w:t>Entrant Out-Win, Entrant Out-Place</w:t>
      </w:r>
    </w:p>
    <w:p w:rsidR="00C03A6A" w:rsidRPr="00C03A6A" w:rsidRDefault="00C03A6A" w:rsidP="00C03A6A">
      <w:pPr>
        <w:spacing w:after="0" w:line="240" w:lineRule="auto"/>
        <w:jc w:val="left"/>
        <w:rPr>
          <w:rFonts w:eastAsia="Times New Roman"/>
          <w:b/>
          <w:sz w:val="32"/>
          <w:szCs w:val="32"/>
          <w:lang w:eastAsia="en-AU"/>
        </w:rPr>
      </w:pPr>
      <w:r w:rsidRPr="00C03A6A">
        <w:rPr>
          <w:rFonts w:eastAsia="Times New Roman"/>
          <w:b/>
          <w:sz w:val="32"/>
          <w:szCs w:val="32"/>
          <w:lang w:eastAsia="en-AU"/>
        </w:rPr>
        <w:br w:type="page"/>
      </w:r>
    </w:p>
    <w:p w:rsidR="00C03A6A" w:rsidRPr="00C03A6A" w:rsidRDefault="00C03A6A" w:rsidP="00C03A6A">
      <w:pPr>
        <w:tabs>
          <w:tab w:val="left" w:pos="540"/>
          <w:tab w:val="left" w:pos="900"/>
          <w:tab w:val="left" w:pos="1080"/>
        </w:tabs>
        <w:spacing w:after="0" w:line="240" w:lineRule="auto"/>
        <w:jc w:val="left"/>
        <w:rPr>
          <w:rFonts w:eastAsia="Times New Roman"/>
          <w:b/>
          <w:sz w:val="32"/>
          <w:szCs w:val="32"/>
          <w:lang w:eastAsia="en-AU"/>
        </w:rPr>
      </w:pPr>
      <w:r w:rsidRPr="00C03A6A">
        <w:rPr>
          <w:rFonts w:eastAsia="Times New Roman"/>
          <w:b/>
          <w:sz w:val="32"/>
          <w:szCs w:val="32"/>
          <w:lang w:eastAsia="en-AU"/>
        </w:rPr>
        <w:lastRenderedPageBreak/>
        <w:t>Schedule 2—Dictionary</w:t>
      </w:r>
    </w:p>
    <w:p w:rsidR="00C03A6A" w:rsidRPr="00C03A6A" w:rsidRDefault="00C03A6A" w:rsidP="00C03A6A">
      <w:pPr>
        <w:widowControl w:val="0"/>
        <w:autoSpaceDE w:val="0"/>
        <w:autoSpaceDN w:val="0"/>
        <w:spacing w:before="175" w:after="0" w:line="240" w:lineRule="auto"/>
        <w:ind w:left="142" w:right="263"/>
        <w:jc w:val="left"/>
        <w:rPr>
          <w:rFonts w:eastAsia="Arial"/>
          <w:sz w:val="20"/>
          <w:szCs w:val="20"/>
          <w:lang w:val="en-US" w:bidi="en-US"/>
        </w:rPr>
      </w:pPr>
      <w:r w:rsidRPr="00C03A6A">
        <w:rPr>
          <w:rFonts w:eastAsia="Arial"/>
          <w:b/>
          <w:sz w:val="20"/>
          <w:szCs w:val="20"/>
          <w:lang w:val="en-US" w:bidi="en-US"/>
        </w:rPr>
        <w:t>Academy Awards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annual awards presented by the Academy of Motion Picture Arts and Sciences.</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Advance to next round</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in relation to an Event, a specified Entrant will advance to the next round (or discrete part or stage) of the Event.</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Any Two</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combination of two specified Entrants will place (irrespective of order of finishing) in any two of the first three places in a specified Event.</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Anzac Medal</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specified player or Entrant will win the Anzac Medal for best on ground in the Anzac Day Australian Rules Football Game as selected by a panel of journalists in the nominated game.</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Australian Rules Football Games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any Australian Rules Football game (other than training, promotional, exhibition matches or international rules football games) forming part of a competition conducted by any of the following bodies:</w:t>
      </w:r>
    </w:p>
    <w:p w:rsidR="00C03A6A" w:rsidRPr="00C03A6A" w:rsidRDefault="00C03A6A" w:rsidP="00C03A6A">
      <w:pPr>
        <w:widowControl w:val="0"/>
        <w:autoSpaceDE w:val="0"/>
        <w:autoSpaceDN w:val="0"/>
        <w:spacing w:before="175" w:after="0" w:line="240" w:lineRule="auto"/>
        <w:ind w:left="851" w:right="263" w:hanging="426"/>
        <w:jc w:val="left"/>
        <w:rPr>
          <w:rFonts w:eastAsia="Arial"/>
          <w:sz w:val="20"/>
          <w:szCs w:val="20"/>
          <w:lang w:val="en-US" w:bidi="en-US"/>
        </w:rPr>
      </w:pPr>
      <w:r w:rsidRPr="00C03A6A">
        <w:rPr>
          <w:rFonts w:eastAsia="Arial"/>
          <w:sz w:val="20"/>
          <w:szCs w:val="20"/>
          <w:lang w:val="en-US" w:bidi="en-US"/>
        </w:rPr>
        <w:t>(a)</w:t>
      </w:r>
      <w:r w:rsidRPr="00C03A6A">
        <w:rPr>
          <w:rFonts w:eastAsia="Arial"/>
          <w:sz w:val="20"/>
          <w:szCs w:val="20"/>
          <w:lang w:val="en-US" w:bidi="en-US"/>
        </w:rPr>
        <w:tab/>
        <w:t>the Australian Football League or its successor; or</w:t>
      </w:r>
    </w:p>
    <w:p w:rsidR="00C03A6A" w:rsidRPr="00C03A6A" w:rsidRDefault="00C03A6A" w:rsidP="00C03A6A">
      <w:pPr>
        <w:widowControl w:val="0"/>
        <w:autoSpaceDE w:val="0"/>
        <w:autoSpaceDN w:val="0"/>
        <w:spacing w:before="175" w:after="0" w:line="240" w:lineRule="auto"/>
        <w:ind w:left="851" w:right="263" w:hanging="426"/>
        <w:jc w:val="left"/>
        <w:rPr>
          <w:rFonts w:eastAsia="Arial"/>
          <w:sz w:val="20"/>
          <w:szCs w:val="20"/>
          <w:lang w:val="en-US" w:bidi="en-US"/>
        </w:rPr>
      </w:pPr>
      <w:r w:rsidRPr="00C03A6A">
        <w:rPr>
          <w:rFonts w:eastAsia="Arial"/>
          <w:sz w:val="20"/>
          <w:szCs w:val="20"/>
          <w:lang w:val="en-US" w:bidi="en-US"/>
        </w:rPr>
        <w:t>(b)</w:t>
      </w:r>
      <w:r w:rsidRPr="00C03A6A">
        <w:rPr>
          <w:rFonts w:eastAsia="Arial"/>
          <w:sz w:val="20"/>
          <w:szCs w:val="20"/>
          <w:lang w:val="en-US" w:bidi="en-US"/>
        </w:rPr>
        <w:tab/>
        <w:t>the South Australian National Football League or its successor; or</w:t>
      </w:r>
    </w:p>
    <w:p w:rsidR="00C03A6A" w:rsidRPr="00C03A6A" w:rsidRDefault="00C03A6A" w:rsidP="00C03A6A">
      <w:pPr>
        <w:widowControl w:val="0"/>
        <w:autoSpaceDE w:val="0"/>
        <w:autoSpaceDN w:val="0"/>
        <w:spacing w:before="175" w:after="0" w:line="240" w:lineRule="auto"/>
        <w:ind w:left="851" w:right="263" w:hanging="426"/>
        <w:jc w:val="left"/>
        <w:rPr>
          <w:rFonts w:eastAsia="Arial"/>
          <w:sz w:val="20"/>
          <w:szCs w:val="20"/>
          <w:lang w:val="en-US" w:bidi="en-US"/>
        </w:rPr>
      </w:pPr>
      <w:r w:rsidRPr="00C03A6A">
        <w:rPr>
          <w:rFonts w:eastAsia="Arial"/>
          <w:sz w:val="20"/>
          <w:szCs w:val="20"/>
          <w:lang w:val="en-US" w:bidi="en-US"/>
        </w:rPr>
        <w:t>(c)</w:t>
      </w:r>
      <w:r w:rsidRPr="00C03A6A">
        <w:rPr>
          <w:rFonts w:eastAsia="Arial"/>
          <w:sz w:val="20"/>
          <w:szCs w:val="20"/>
          <w:lang w:val="en-US" w:bidi="en-US"/>
        </w:rPr>
        <w:tab/>
        <w:t>the principal governing body for Australian Rules Football in each State or Territory of Australia (other than South Australia) or its successor.</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Brownlow Medal</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specified player will win the Australian Football League’s Brownlow Medal or place in the top four in the Brownlow medal count or that a specified team will accumulate the most votes in relation to its players in the Brownlow Medal count.</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Brownlow Medal Number of Winning Votes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specified player selected from a group of players nominated by the licensee, or that a specified team from a group of teams nominated by the licensee will receive a specified number of votes, or specified range of votes, or the greatest number of votes in the Australian Football League’s Brownlow Medal.</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Century</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specified cricket team’s cumulative score will reach 100 runs in a specified innings or at a specified time or within a specified period.</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Churchill Medal</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specified player or Entrant will win the Churchill Medal for best on ground in the National Rugby League Grand Final.</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Closest Game</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specified Event will have the closest result relative to one or more other related Events.</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Coleman Medal</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specified player will win the Coleman Medal for the player who kicks the most goals in the Australian Football League in the home and away season.</w:t>
      </w:r>
    </w:p>
    <w:p w:rsidR="00C03A6A" w:rsidRPr="00C03A6A" w:rsidRDefault="00C03A6A" w:rsidP="00C03A6A">
      <w:pPr>
        <w:spacing w:after="0" w:line="240" w:lineRule="auto"/>
        <w:jc w:val="left"/>
        <w:rPr>
          <w:rFonts w:eastAsia="Arial"/>
          <w:b/>
          <w:sz w:val="20"/>
          <w:szCs w:val="20"/>
          <w:lang w:val="en-US" w:bidi="en-US"/>
        </w:rPr>
      </w:pPr>
      <w:r w:rsidRPr="00C03A6A">
        <w:rPr>
          <w:rFonts w:eastAsia="Arial"/>
          <w:b/>
          <w:sz w:val="20"/>
          <w:szCs w:val="20"/>
          <w:lang w:val="en-US" w:bidi="en-US"/>
        </w:rPr>
        <w:br w:type="page"/>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lastRenderedPageBreak/>
        <w:t>Commonwealth Games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games conducted under the auspices of the Commonwealth Games Federation.</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Correct Time</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specified Entrant will place first in or win a specified Event in a specified time or in a time falling within a specified range.</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Cricket Events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cricket matches/series described in the list of events in Schedule 3.</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Dally M Medal</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specified player in the National Rugby League competition will win the League’s Dally M Medal for best and fairest on the ground.</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Double</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w:t>
      </w:r>
    </w:p>
    <w:p w:rsidR="00C03A6A" w:rsidRPr="00C03A6A" w:rsidRDefault="00C03A6A" w:rsidP="00C03A6A">
      <w:pPr>
        <w:widowControl w:val="0"/>
        <w:autoSpaceDE w:val="0"/>
        <w:autoSpaceDN w:val="0"/>
        <w:spacing w:before="175" w:after="0" w:line="240" w:lineRule="auto"/>
        <w:ind w:left="851" w:right="263" w:hanging="426"/>
        <w:jc w:val="left"/>
        <w:rPr>
          <w:rFonts w:eastAsia="Arial"/>
          <w:sz w:val="20"/>
          <w:szCs w:val="20"/>
          <w:lang w:val="en-US" w:bidi="en-US"/>
        </w:rPr>
      </w:pPr>
      <w:r w:rsidRPr="00C03A6A">
        <w:rPr>
          <w:rFonts w:eastAsia="Arial"/>
          <w:sz w:val="20"/>
          <w:szCs w:val="20"/>
          <w:lang w:val="en-US" w:bidi="en-US"/>
        </w:rPr>
        <w:t>(a)</w:t>
      </w:r>
      <w:r w:rsidRPr="00C03A6A">
        <w:rPr>
          <w:rFonts w:eastAsia="Arial"/>
          <w:sz w:val="20"/>
          <w:szCs w:val="20"/>
          <w:lang w:val="en-US" w:bidi="en-US"/>
        </w:rPr>
        <w:tab/>
        <w:t>except in respect of the Jockeys’ Challenge or Trainers’ Challenge contingencies, the proposition that a combination of the specified Entrants in two different specified Events will each place first in or win, or win be a specified amount, range or margin (including where a specified Entrant may be given a notional point start or handicap), the respective Entrant’s Event;</w:t>
      </w:r>
    </w:p>
    <w:p w:rsidR="00C03A6A" w:rsidRPr="00C03A6A" w:rsidRDefault="00C03A6A" w:rsidP="00C03A6A">
      <w:pPr>
        <w:widowControl w:val="0"/>
        <w:autoSpaceDE w:val="0"/>
        <w:autoSpaceDN w:val="0"/>
        <w:spacing w:before="175" w:after="0" w:line="240" w:lineRule="auto"/>
        <w:ind w:left="851" w:right="263" w:hanging="426"/>
        <w:jc w:val="left"/>
        <w:rPr>
          <w:rFonts w:eastAsia="Arial"/>
          <w:sz w:val="20"/>
          <w:szCs w:val="20"/>
          <w:lang w:val="en-US" w:bidi="en-US"/>
        </w:rPr>
      </w:pPr>
      <w:r w:rsidRPr="00C03A6A">
        <w:rPr>
          <w:rFonts w:eastAsia="Arial"/>
          <w:sz w:val="20"/>
          <w:szCs w:val="20"/>
          <w:lang w:val="en-US" w:bidi="en-US"/>
        </w:rPr>
        <w:t>(b)</w:t>
      </w:r>
      <w:r w:rsidRPr="00C03A6A">
        <w:rPr>
          <w:rFonts w:eastAsia="Arial"/>
          <w:sz w:val="20"/>
          <w:szCs w:val="20"/>
          <w:lang w:val="en-US" w:bidi="en-US"/>
        </w:rPr>
        <w:tab/>
        <w:t>in respect of the Jockey’s Challenge and Trainers’ Challenge contingencies, the proposition that there will be a particular Jockey’s Challenge or Trainers’ Challenge outcome in respect of one race meeting and particular Jockey’s Challenge or Trainers’ Challenge outcome in respect of another race meeting.</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Election bet</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w:t>
      </w:r>
    </w:p>
    <w:p w:rsidR="00C03A6A" w:rsidRPr="00C03A6A" w:rsidRDefault="00C03A6A" w:rsidP="00C03A6A">
      <w:pPr>
        <w:widowControl w:val="0"/>
        <w:autoSpaceDE w:val="0"/>
        <w:autoSpaceDN w:val="0"/>
        <w:spacing w:before="175" w:after="0" w:line="240" w:lineRule="auto"/>
        <w:ind w:left="851" w:right="263" w:hanging="426"/>
        <w:jc w:val="left"/>
        <w:rPr>
          <w:rFonts w:eastAsia="Arial"/>
          <w:sz w:val="20"/>
          <w:szCs w:val="20"/>
          <w:lang w:val="en-US" w:bidi="en-US"/>
        </w:rPr>
      </w:pPr>
      <w:r w:rsidRPr="00C03A6A">
        <w:rPr>
          <w:rFonts w:eastAsia="Arial"/>
          <w:sz w:val="20"/>
          <w:szCs w:val="20"/>
          <w:lang w:val="en-US" w:bidi="en-US"/>
        </w:rPr>
        <w:t>(a)</w:t>
      </w:r>
      <w:r w:rsidRPr="00C03A6A">
        <w:rPr>
          <w:rFonts w:eastAsia="Arial"/>
          <w:sz w:val="20"/>
          <w:szCs w:val="20"/>
          <w:lang w:val="en-US" w:bidi="en-US"/>
        </w:rPr>
        <w:tab/>
        <w:t>a nominated individual will be elected to a nominated executive or legislative office; or</w:t>
      </w:r>
    </w:p>
    <w:p w:rsidR="00C03A6A" w:rsidRPr="00C03A6A" w:rsidRDefault="00C03A6A" w:rsidP="00C03A6A">
      <w:pPr>
        <w:widowControl w:val="0"/>
        <w:autoSpaceDE w:val="0"/>
        <w:autoSpaceDN w:val="0"/>
        <w:spacing w:before="175" w:after="0" w:line="240" w:lineRule="auto"/>
        <w:ind w:left="851" w:right="263" w:hanging="426"/>
        <w:jc w:val="left"/>
        <w:rPr>
          <w:rFonts w:eastAsia="Arial"/>
          <w:sz w:val="20"/>
          <w:szCs w:val="20"/>
          <w:lang w:val="en-US" w:bidi="en-US"/>
        </w:rPr>
      </w:pPr>
      <w:r w:rsidRPr="00C03A6A">
        <w:rPr>
          <w:rFonts w:eastAsia="Arial"/>
          <w:sz w:val="20"/>
          <w:szCs w:val="20"/>
          <w:lang w:val="en-US" w:bidi="en-US"/>
        </w:rPr>
        <w:t>(b)</w:t>
      </w:r>
      <w:r w:rsidRPr="00C03A6A">
        <w:rPr>
          <w:rFonts w:eastAsia="Arial"/>
          <w:sz w:val="20"/>
          <w:szCs w:val="20"/>
          <w:lang w:val="en-US" w:bidi="en-US"/>
        </w:rPr>
        <w:tab/>
        <w:t>a nominated party or party grouping will form government; or</w:t>
      </w:r>
    </w:p>
    <w:p w:rsidR="00C03A6A" w:rsidRPr="00C03A6A" w:rsidRDefault="00C03A6A" w:rsidP="00C03A6A">
      <w:pPr>
        <w:widowControl w:val="0"/>
        <w:autoSpaceDE w:val="0"/>
        <w:autoSpaceDN w:val="0"/>
        <w:spacing w:before="175" w:after="0" w:line="240" w:lineRule="auto"/>
        <w:ind w:left="851" w:right="263" w:hanging="426"/>
        <w:jc w:val="left"/>
        <w:rPr>
          <w:rFonts w:eastAsia="Arial"/>
          <w:sz w:val="20"/>
          <w:szCs w:val="20"/>
          <w:lang w:val="en-US" w:bidi="en-US"/>
        </w:rPr>
      </w:pPr>
      <w:r w:rsidRPr="00C03A6A">
        <w:rPr>
          <w:rFonts w:eastAsia="Arial"/>
          <w:sz w:val="20"/>
          <w:szCs w:val="20"/>
          <w:lang w:val="en-US" w:bidi="en-US"/>
        </w:rPr>
        <w:t>(c)</w:t>
      </w:r>
      <w:r w:rsidRPr="00C03A6A">
        <w:rPr>
          <w:rFonts w:eastAsia="Arial"/>
          <w:sz w:val="20"/>
          <w:szCs w:val="20"/>
          <w:lang w:val="en-US" w:bidi="en-US"/>
        </w:rPr>
        <w:tab/>
        <w:t>a nominated party or party grouping will attain a number of legislative seats or a legislative majority of a particular number or within a particular range; or</w:t>
      </w:r>
    </w:p>
    <w:p w:rsidR="00C03A6A" w:rsidRPr="00C03A6A" w:rsidRDefault="00C03A6A" w:rsidP="00C03A6A">
      <w:pPr>
        <w:widowControl w:val="0"/>
        <w:autoSpaceDE w:val="0"/>
        <w:autoSpaceDN w:val="0"/>
        <w:spacing w:before="175" w:after="0" w:line="240" w:lineRule="auto"/>
        <w:ind w:left="851" w:right="263" w:hanging="426"/>
        <w:jc w:val="left"/>
        <w:rPr>
          <w:rFonts w:eastAsia="Arial"/>
          <w:sz w:val="20"/>
          <w:szCs w:val="20"/>
          <w:lang w:val="en-US" w:bidi="en-US"/>
        </w:rPr>
      </w:pPr>
      <w:r w:rsidRPr="00C03A6A">
        <w:rPr>
          <w:rFonts w:eastAsia="Arial"/>
          <w:sz w:val="20"/>
          <w:szCs w:val="20"/>
          <w:lang w:val="en-US" w:bidi="en-US"/>
        </w:rPr>
        <w:t>(d)</w:t>
      </w:r>
      <w:r w:rsidRPr="00C03A6A">
        <w:rPr>
          <w:rFonts w:eastAsia="Arial"/>
          <w:sz w:val="20"/>
          <w:szCs w:val="20"/>
          <w:lang w:val="en-US" w:bidi="en-US"/>
        </w:rPr>
        <w:tab/>
        <w:t>a nominated measure will be approved.</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Entrant</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an individual entrant, competitor, player, team or thing (as the context requires) participating or entered in an Event.</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Entrant Number</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number (displayed in numerals) carried or worn by an Entrant in an Event which is a race.</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Entrant Out-Place</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specified Entrant will place either first, second or third (or, if applicable, fourth) in a specified Event on the basis that one or more other Entrants will be regarded as not having run, competed or otherwise participated in the Event.</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Entrant Out-Win</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specified Entrant will place first in or win in a specified Event on the basis that one or more other Entrants will be regarded as not having run, competed or otherwise participated in the Event.</w:t>
      </w:r>
    </w:p>
    <w:p w:rsidR="00C03A6A" w:rsidRPr="00C03A6A" w:rsidRDefault="00C03A6A" w:rsidP="00C03A6A">
      <w:pPr>
        <w:spacing w:after="0" w:line="240" w:lineRule="auto"/>
        <w:jc w:val="left"/>
        <w:rPr>
          <w:rFonts w:eastAsia="Arial"/>
          <w:b/>
          <w:sz w:val="20"/>
          <w:szCs w:val="20"/>
          <w:lang w:val="en-US" w:bidi="en-US"/>
        </w:rPr>
      </w:pPr>
      <w:r w:rsidRPr="00C03A6A">
        <w:rPr>
          <w:rFonts w:eastAsia="Arial"/>
          <w:b/>
          <w:sz w:val="20"/>
          <w:szCs w:val="20"/>
          <w:lang w:val="en-US" w:bidi="en-US"/>
        </w:rPr>
        <w:br w:type="page"/>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lastRenderedPageBreak/>
        <w:t>Eurovision</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annual song contest conducted by the European Broadcasting Union.</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Event</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a race, game, competition, series or tournament (or round or discrete part thereof) or other event (as the context requires).</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Exact Margin</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specified player or Entrant is leading by a specified margin at a specified period of time, as nominated prior to the commencement of the event.</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Exact result</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an Entrant in a boxing Event will win by a knock out or by a points decision, or that the result will be a draw.</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Exact Set Score</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specified player or Entrant will win a set in a game of tennis and the exact set score.</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Fantasy Points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points attributed to an Entrant (or group of Entrants) in an Event by reference to a scoring scheme based on statistics relevant to the Event published in advance of the commencement of the Event.</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Fantasy Sports betting</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w:t>
      </w:r>
    </w:p>
    <w:p w:rsidR="00C03A6A" w:rsidRPr="00C03A6A" w:rsidRDefault="00C03A6A" w:rsidP="00C03A6A">
      <w:pPr>
        <w:widowControl w:val="0"/>
        <w:autoSpaceDE w:val="0"/>
        <w:autoSpaceDN w:val="0"/>
        <w:spacing w:before="175" w:after="0" w:line="240" w:lineRule="auto"/>
        <w:ind w:left="851" w:right="263" w:hanging="426"/>
        <w:jc w:val="left"/>
        <w:rPr>
          <w:rFonts w:eastAsia="Arial"/>
          <w:sz w:val="20"/>
          <w:szCs w:val="20"/>
          <w:lang w:val="en-US" w:bidi="en-US"/>
        </w:rPr>
      </w:pPr>
      <w:r w:rsidRPr="00C03A6A">
        <w:rPr>
          <w:rFonts w:eastAsia="Arial"/>
          <w:sz w:val="20"/>
          <w:szCs w:val="20"/>
          <w:lang w:val="en-US" w:bidi="en-US"/>
        </w:rPr>
        <w:t>(a)</w:t>
      </w:r>
      <w:r w:rsidRPr="00C03A6A">
        <w:rPr>
          <w:rFonts w:eastAsia="Arial"/>
          <w:sz w:val="20"/>
          <w:szCs w:val="20"/>
          <w:lang w:val="en-US" w:bidi="en-US"/>
        </w:rPr>
        <w:tab/>
        <w:t>the proposition that a specified Entrant will have attributed—</w:t>
      </w:r>
    </w:p>
    <w:p w:rsidR="00C03A6A" w:rsidRPr="00C03A6A" w:rsidRDefault="00C03A6A" w:rsidP="00C03A6A">
      <w:pPr>
        <w:widowControl w:val="0"/>
        <w:autoSpaceDE w:val="0"/>
        <w:autoSpaceDN w:val="0"/>
        <w:spacing w:before="175" w:after="0" w:line="240" w:lineRule="auto"/>
        <w:ind w:left="1276" w:right="263" w:hanging="425"/>
        <w:jc w:val="left"/>
        <w:rPr>
          <w:rFonts w:eastAsia="Arial"/>
          <w:sz w:val="20"/>
          <w:szCs w:val="20"/>
          <w:lang w:val="en-US" w:bidi="en-US"/>
        </w:rPr>
      </w:pPr>
      <w:r w:rsidRPr="00C03A6A">
        <w:rPr>
          <w:rFonts w:eastAsia="Arial"/>
          <w:sz w:val="20"/>
          <w:szCs w:val="20"/>
          <w:lang w:val="en-US" w:bidi="en-US"/>
        </w:rPr>
        <w:t>(i)</w:t>
      </w:r>
      <w:r w:rsidRPr="00C03A6A">
        <w:rPr>
          <w:rFonts w:eastAsia="Arial"/>
          <w:sz w:val="20"/>
          <w:szCs w:val="20"/>
          <w:lang w:val="en-US" w:bidi="en-US"/>
        </w:rPr>
        <w:tab/>
        <w:t>a certain number of Fantasy Points; or</w:t>
      </w:r>
    </w:p>
    <w:p w:rsidR="00C03A6A" w:rsidRPr="00C03A6A" w:rsidRDefault="00C03A6A" w:rsidP="00C03A6A">
      <w:pPr>
        <w:widowControl w:val="0"/>
        <w:autoSpaceDE w:val="0"/>
        <w:autoSpaceDN w:val="0"/>
        <w:spacing w:before="175" w:after="0" w:line="240" w:lineRule="auto"/>
        <w:ind w:left="1276" w:right="263" w:hanging="425"/>
        <w:jc w:val="left"/>
        <w:rPr>
          <w:rFonts w:eastAsia="Arial"/>
          <w:sz w:val="20"/>
          <w:szCs w:val="20"/>
          <w:lang w:val="en-US" w:bidi="en-US"/>
        </w:rPr>
      </w:pPr>
      <w:r w:rsidRPr="00C03A6A">
        <w:rPr>
          <w:rFonts w:eastAsia="Arial"/>
          <w:sz w:val="20"/>
          <w:szCs w:val="20"/>
          <w:lang w:val="en-US" w:bidi="en-US"/>
        </w:rPr>
        <w:t>(ii)</w:t>
      </w:r>
      <w:r w:rsidRPr="00C03A6A">
        <w:rPr>
          <w:rFonts w:eastAsia="Arial"/>
          <w:sz w:val="20"/>
          <w:szCs w:val="20"/>
          <w:lang w:val="en-US" w:bidi="en-US"/>
        </w:rPr>
        <w:tab/>
        <w:t>more Fantasy Points than another Entrant or group of Entrants;</w:t>
      </w:r>
    </w:p>
    <w:p w:rsidR="00C03A6A" w:rsidRPr="00C03A6A" w:rsidRDefault="00C03A6A" w:rsidP="00C03A6A">
      <w:pPr>
        <w:widowControl w:val="0"/>
        <w:autoSpaceDE w:val="0"/>
        <w:autoSpaceDN w:val="0"/>
        <w:spacing w:before="175" w:after="0" w:line="240" w:lineRule="auto"/>
        <w:ind w:left="851" w:right="263" w:hanging="426"/>
        <w:jc w:val="left"/>
        <w:rPr>
          <w:rFonts w:eastAsia="Arial"/>
          <w:sz w:val="20"/>
          <w:szCs w:val="20"/>
          <w:lang w:val="en-US" w:bidi="en-US"/>
        </w:rPr>
      </w:pPr>
      <w:r w:rsidRPr="00C03A6A">
        <w:rPr>
          <w:rFonts w:eastAsia="Arial"/>
          <w:sz w:val="20"/>
          <w:szCs w:val="20"/>
          <w:lang w:val="en-US" w:bidi="en-US"/>
        </w:rPr>
        <w:t>(b)</w:t>
      </w:r>
      <w:r w:rsidRPr="00C03A6A">
        <w:rPr>
          <w:rFonts w:eastAsia="Arial"/>
          <w:sz w:val="20"/>
          <w:szCs w:val="20"/>
          <w:lang w:val="en-US" w:bidi="en-US"/>
        </w:rPr>
        <w:tab/>
        <w:t>the proposition that a specified Entrant or group of Entrants (Entrant specified by the first bettor) will have attributed more Fantasy Points than another Entrant or group of Entrants specified by another bettor or bettors, or specified otherwise (Entrants specified by others).</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Fastest Lap</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specified Entrant will complete the fastest lap in an Event relative to any one or more other Entrants.</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FINA event</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w:t>
      </w:r>
    </w:p>
    <w:p w:rsidR="00C03A6A" w:rsidRPr="00C03A6A" w:rsidRDefault="00C03A6A" w:rsidP="00C03A6A">
      <w:pPr>
        <w:widowControl w:val="0"/>
        <w:autoSpaceDE w:val="0"/>
        <w:autoSpaceDN w:val="0"/>
        <w:spacing w:before="175" w:after="0" w:line="240" w:lineRule="auto"/>
        <w:ind w:left="851" w:right="263" w:hanging="426"/>
        <w:jc w:val="left"/>
        <w:rPr>
          <w:rFonts w:eastAsia="Arial"/>
          <w:sz w:val="20"/>
          <w:szCs w:val="20"/>
          <w:lang w:val="en-US" w:bidi="en-US"/>
        </w:rPr>
      </w:pPr>
      <w:r w:rsidRPr="00C03A6A">
        <w:rPr>
          <w:rFonts w:eastAsia="Arial"/>
          <w:sz w:val="20"/>
          <w:szCs w:val="20"/>
          <w:lang w:val="en-US" w:bidi="en-US"/>
        </w:rPr>
        <w:t>(a)</w:t>
      </w:r>
      <w:r w:rsidRPr="00C03A6A">
        <w:rPr>
          <w:rFonts w:eastAsia="Arial"/>
          <w:sz w:val="20"/>
          <w:szCs w:val="20"/>
          <w:lang w:val="en-US" w:bidi="en-US"/>
        </w:rPr>
        <w:tab/>
        <w:t>a world championship for adult men or adult women; or</w:t>
      </w:r>
    </w:p>
    <w:p w:rsidR="00C03A6A" w:rsidRPr="00C03A6A" w:rsidRDefault="00C03A6A" w:rsidP="00C03A6A">
      <w:pPr>
        <w:widowControl w:val="0"/>
        <w:autoSpaceDE w:val="0"/>
        <w:autoSpaceDN w:val="0"/>
        <w:spacing w:before="175" w:after="0" w:line="240" w:lineRule="auto"/>
        <w:ind w:left="851" w:right="263" w:hanging="426"/>
        <w:jc w:val="left"/>
        <w:rPr>
          <w:rFonts w:eastAsia="Arial"/>
          <w:sz w:val="20"/>
          <w:szCs w:val="20"/>
          <w:lang w:val="en-US" w:bidi="en-US"/>
        </w:rPr>
      </w:pPr>
      <w:r w:rsidRPr="00C03A6A">
        <w:rPr>
          <w:rFonts w:eastAsia="Arial"/>
          <w:sz w:val="20"/>
          <w:szCs w:val="20"/>
          <w:lang w:val="en-US" w:bidi="en-US"/>
        </w:rPr>
        <w:t>(b)</w:t>
      </w:r>
      <w:r w:rsidRPr="00C03A6A">
        <w:rPr>
          <w:rFonts w:eastAsia="Arial"/>
          <w:sz w:val="20"/>
          <w:szCs w:val="20"/>
          <w:lang w:val="en-US" w:bidi="en-US"/>
        </w:rPr>
        <w:tab/>
        <w:t>a world cup competition for adult men or adult women; or</w:t>
      </w:r>
    </w:p>
    <w:p w:rsidR="00C03A6A" w:rsidRPr="00C03A6A" w:rsidRDefault="00C03A6A" w:rsidP="00C03A6A">
      <w:pPr>
        <w:widowControl w:val="0"/>
        <w:autoSpaceDE w:val="0"/>
        <w:autoSpaceDN w:val="0"/>
        <w:spacing w:before="175" w:after="0" w:line="240" w:lineRule="auto"/>
        <w:ind w:left="851" w:right="263" w:hanging="426"/>
        <w:jc w:val="left"/>
        <w:rPr>
          <w:rFonts w:eastAsia="Arial"/>
          <w:sz w:val="20"/>
          <w:szCs w:val="20"/>
          <w:lang w:val="en-US" w:bidi="en-US"/>
        </w:rPr>
      </w:pPr>
      <w:r w:rsidRPr="00C03A6A">
        <w:rPr>
          <w:rFonts w:eastAsia="Arial"/>
          <w:sz w:val="20"/>
          <w:szCs w:val="20"/>
          <w:lang w:val="en-US" w:bidi="en-US"/>
        </w:rPr>
        <w:t>(c)</w:t>
      </w:r>
      <w:r w:rsidRPr="00C03A6A">
        <w:rPr>
          <w:rFonts w:eastAsia="Arial"/>
          <w:sz w:val="20"/>
          <w:szCs w:val="20"/>
          <w:lang w:val="en-US" w:bidi="en-US"/>
        </w:rPr>
        <w:tab/>
        <w:t>any other competition for adult men or adult women—</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conducted under the auspices of the Federation Internationale de Natation.</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Finishing Position</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specified Entrant(s) in an Event will finish the Event in a specified position.</w:t>
      </w:r>
    </w:p>
    <w:p w:rsidR="00C03A6A" w:rsidRPr="00C03A6A" w:rsidRDefault="00C03A6A" w:rsidP="00C03A6A">
      <w:pPr>
        <w:rPr>
          <w:rFonts w:eastAsia="Arial"/>
          <w:szCs w:val="20"/>
          <w:lang w:val="en-US" w:bidi="en-US"/>
        </w:rPr>
      </w:pPr>
      <w:r w:rsidRPr="00C03A6A">
        <w:rPr>
          <w:rFonts w:eastAsia="Arial"/>
          <w:szCs w:val="20"/>
          <w:lang w:val="en-US" w:bidi="en-US"/>
        </w:rPr>
        <w:br w:type="page"/>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lastRenderedPageBreak/>
        <w:t>First 3—Aggregate Entrants’ Numbers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the aggregate of the Entrant Numbers of the first three placed Entrants in an Event will be of a specified value or will fall within a specified range.</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First 4</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combination of four specified Entrants will place (in correct order of finishing) first, second, third and fourth in a specified Event.</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First Home Run Hit</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the first home run in a match will be made by a particular player or Entrant.</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First Loss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an Entrant in an Event being a series or competition has his, her or its first loss in that series or competition.</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First Round Leader</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specified Entrant has the lowest score at the completion of the first round or other specified period in an Event.</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First Score</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the first score in a specified portion of an Event will be of a particular type or category or made by a particular player or Entrant.</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First Scoring Play</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the first score in an Event will be of a particular type or category or made by a particular Entrant.</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First Win</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an Entrant in an Event being a series or competition has his, her or its first win in that series or competition.</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Final 8</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specified Entrant or no more than 8 specified Entrants in an Event being a competition (with more than 8 Entrants) will finish the home and away season of that competition ranked no worse than eighth (8th).</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Forecast</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combination of two specified Entrants will place (in correct order of finishing) first and second in a specified Event.</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Fourtrella</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combination of four specified Entrants in four different specified Events will each place first in the respective Entrant’s Event.</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Fortune 8</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combination of eight specified Entrants in eight different Events will each place first in the respective Entrant’s Event.</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Gold Medal Tally</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specified country will win a specified number of gold medals (or number of gold medals within a range) at particular Olympic Games or particular Commonwealth Games.</w:t>
      </w:r>
    </w:p>
    <w:p w:rsidR="00C03A6A" w:rsidRPr="00C03A6A" w:rsidRDefault="00C03A6A" w:rsidP="00C03A6A">
      <w:pPr>
        <w:rPr>
          <w:rFonts w:eastAsia="Arial"/>
          <w:szCs w:val="20"/>
          <w:lang w:val="en-US" w:bidi="en-US"/>
        </w:rPr>
      </w:pPr>
      <w:r w:rsidRPr="00C03A6A">
        <w:rPr>
          <w:rFonts w:eastAsia="Arial"/>
          <w:szCs w:val="20"/>
          <w:lang w:val="en-US" w:bidi="en-US"/>
        </w:rPr>
        <w:br w:type="page"/>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lastRenderedPageBreak/>
        <w:t>Golf Events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golf tournaments set out in the list of events in Schedule 3.</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Group Betting</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specified group of players in a Golf Event have the lowest score for a round, or for a discrete part of a tournament.</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Half Time Full Time Double</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w:t>
      </w:r>
    </w:p>
    <w:p w:rsidR="00C03A6A" w:rsidRPr="00C03A6A" w:rsidRDefault="00C03A6A" w:rsidP="00C03A6A">
      <w:pPr>
        <w:widowControl w:val="0"/>
        <w:autoSpaceDE w:val="0"/>
        <w:autoSpaceDN w:val="0"/>
        <w:spacing w:before="175" w:after="0" w:line="240" w:lineRule="auto"/>
        <w:ind w:left="851" w:right="263" w:hanging="426"/>
        <w:jc w:val="left"/>
        <w:rPr>
          <w:rFonts w:eastAsia="Arial"/>
          <w:sz w:val="20"/>
          <w:szCs w:val="20"/>
          <w:lang w:val="en-US" w:bidi="en-US"/>
        </w:rPr>
      </w:pPr>
      <w:r w:rsidRPr="00C03A6A">
        <w:rPr>
          <w:rFonts w:eastAsia="Arial"/>
          <w:sz w:val="20"/>
          <w:szCs w:val="20"/>
          <w:lang w:val="en-US" w:bidi="en-US"/>
        </w:rPr>
        <w:t>(a)</w:t>
      </w:r>
      <w:r w:rsidRPr="00C03A6A">
        <w:rPr>
          <w:rFonts w:eastAsia="Arial"/>
          <w:sz w:val="20"/>
          <w:szCs w:val="20"/>
          <w:lang w:val="en-US" w:bidi="en-US"/>
        </w:rPr>
        <w:tab/>
        <w:t>a specified Entrant will have the highest score (or equivalent) or the score (or equivalent) will be a draw at a specified time during the Event; and</w:t>
      </w:r>
    </w:p>
    <w:p w:rsidR="00C03A6A" w:rsidRPr="00C03A6A" w:rsidRDefault="00C03A6A" w:rsidP="00C03A6A">
      <w:pPr>
        <w:widowControl w:val="0"/>
        <w:autoSpaceDE w:val="0"/>
        <w:autoSpaceDN w:val="0"/>
        <w:spacing w:before="175" w:after="0" w:line="240" w:lineRule="auto"/>
        <w:ind w:left="851" w:right="263" w:hanging="426"/>
        <w:jc w:val="left"/>
        <w:rPr>
          <w:rFonts w:eastAsia="Arial"/>
          <w:sz w:val="20"/>
          <w:szCs w:val="20"/>
          <w:lang w:val="en-US" w:bidi="en-US"/>
        </w:rPr>
      </w:pPr>
      <w:r w:rsidRPr="00C03A6A">
        <w:rPr>
          <w:rFonts w:eastAsia="Arial"/>
          <w:sz w:val="20"/>
          <w:szCs w:val="20"/>
          <w:lang w:val="en-US" w:bidi="en-US"/>
        </w:rPr>
        <w:t>(b)</w:t>
      </w:r>
      <w:r w:rsidRPr="00C03A6A">
        <w:rPr>
          <w:rFonts w:eastAsia="Arial"/>
          <w:sz w:val="20"/>
          <w:szCs w:val="20"/>
          <w:lang w:val="en-US" w:bidi="en-US"/>
        </w:rPr>
        <w:tab/>
        <w:t>a specified Entrant will win the Event or the result will be a draw.</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Half Time Margin</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specified Entrant(s) in an Event or round or series of an Event at a specified time is leading by a specified margin or the result at that time is a draw.</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Head to head</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one or more specified Entrant(s) in an Event(s), or qualifying round(s) leading up to the Event(s), will win over the other specified Entrant(s) in the Event(s) or qualifying round(s) leading up to the Event(s).</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Hi-Bat</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specified cricket player will make the most number of runs for his or her team in an innings, game or series.</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Hi-Bowl</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specified cricket player will take the most number of wickets for his or her team in an innings, game or series.</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Higher Opening Partnership</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specified Entrant will score more runs for the first wicket than the other specified Entrant in a game of cricket in respect of a specified innings.</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High-Low Scoring Double</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combination of two specified Entrants in an Event comprising a round or series respectively achieve the highest and lowest score in that round or series.</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Highest Score</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specified Entrant will score the highest score in a particular Event relative to any one or more other Entrants.</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Highest Season Finish</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an Entrant selected from two or more specified Entrants in an Event will rank or place ahead of the Entrants not selected.</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International Challenge</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specified golf player chosen to represent a particular country has the lowest score in a tournament relative to other players selected to represent a country.</w:t>
      </w:r>
    </w:p>
    <w:p w:rsidR="00C03A6A" w:rsidRPr="00C03A6A" w:rsidRDefault="00C03A6A" w:rsidP="00C03A6A">
      <w:pPr>
        <w:rPr>
          <w:rFonts w:eastAsia="Arial"/>
          <w:szCs w:val="20"/>
          <w:lang w:val="en-US" w:bidi="en-US"/>
        </w:rPr>
      </w:pPr>
      <w:r w:rsidRPr="00C03A6A">
        <w:rPr>
          <w:rFonts w:eastAsia="Arial"/>
          <w:szCs w:val="20"/>
          <w:lang w:val="en-US" w:bidi="en-US"/>
        </w:rPr>
        <w:br w:type="page"/>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lastRenderedPageBreak/>
        <w:t>Interstate Races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horse, harness and greyhound races conducted by entities in a State or Territory of Australia (other than South Australia) in respect of which the entity conducting the race or another entity in that jurisdiction is entitled to offer totalisator betting in accordance with the laws of the jurisdiction in which the race is conducted.</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Intrastate Races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races conducted within South Australia by Licensed Racing Clubs.</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Jack Oatey Medal</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mans the proposition that a nominated player in the grand final of the South Australian National Football League competition will receive an award for best player of the match.</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Jockeys’ challenge</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specified jockey or jockeys in a series of Interstate Races or Intrastate Races in a specified race meeting will achieve the highest number of points, with points allocated for performance in the races under the six point allocation scheme.</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Last Aussie</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specified player or Entrant in an Event (having been identified by the Licensee prior to the commencement of betting as an Australian) will be the last such person remaining in the Event.</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Last Scorer</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specified player or Entrant will score the last run, try, goal, point or equivalent during an Event.</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Last Team Standing</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specified Entrant will be the last Entrant to lose a game relative to other Entrants in the Event.</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Leading Goalscorer</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in relation to an Event in which goals or equivalent form part of the scoring system, the proposition that a specified player will score or kick the most goals or equivalent for a specified round or season of the Event.</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Licensed Racing Clubs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has the meaning given in the Act.</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Listed events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sporting and other Events set out in the list of events in Schedule 3.</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Lowest Score</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specified Entrant will score the lowest score in a particular Event relative to any one or more Entrants.</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Make final</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specified Entrant in an Event will finish in a position which qualifies the Entrant for the final of the Event.</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Make the Cut</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specified Entrant(s) in a golf Event will make the cut in that Event.</w:t>
      </w:r>
    </w:p>
    <w:p w:rsidR="00C03A6A" w:rsidRPr="00C03A6A" w:rsidRDefault="00C03A6A" w:rsidP="00C03A6A">
      <w:pPr>
        <w:rPr>
          <w:rFonts w:eastAsia="Arial"/>
          <w:szCs w:val="20"/>
          <w:lang w:val="en-US" w:bidi="en-US"/>
        </w:rPr>
      </w:pPr>
      <w:r w:rsidRPr="00C03A6A">
        <w:rPr>
          <w:rFonts w:eastAsia="Arial"/>
          <w:szCs w:val="20"/>
          <w:lang w:val="en-US" w:bidi="en-US"/>
        </w:rPr>
        <w:br w:type="page"/>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lastRenderedPageBreak/>
        <w:t>Margin Win</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specified Entrant will win an Event by a specified amount or score or by an amount or score falling within a specified range or that the result will be a draw.</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Method of result</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an Event will be decided by a specified method (being one of an exhaustive list of methods by which the Event could be decided identified prior to the commencement of betting).</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Michael Tuck Medal</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specified player will win the Michael Tuck Medal for best on ground in the Australian Football League pre-season competition.</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Minor Premiership</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specified Entrant in an Event, being a competition, will rank or place first in the home and away season of that competition.</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Most disposals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w:t>
      </w:r>
    </w:p>
    <w:p w:rsidR="00C03A6A" w:rsidRPr="00C03A6A" w:rsidRDefault="00C03A6A" w:rsidP="00C03A6A">
      <w:pPr>
        <w:widowControl w:val="0"/>
        <w:autoSpaceDE w:val="0"/>
        <w:autoSpaceDN w:val="0"/>
        <w:spacing w:before="175" w:after="0" w:line="240" w:lineRule="auto"/>
        <w:ind w:left="851" w:right="263" w:hanging="426"/>
        <w:jc w:val="left"/>
        <w:rPr>
          <w:rFonts w:eastAsia="Arial"/>
          <w:sz w:val="20"/>
          <w:szCs w:val="20"/>
          <w:lang w:val="en-US" w:bidi="en-US"/>
        </w:rPr>
      </w:pPr>
      <w:r w:rsidRPr="00C03A6A">
        <w:rPr>
          <w:rFonts w:eastAsia="Arial"/>
          <w:sz w:val="20"/>
          <w:szCs w:val="20"/>
          <w:lang w:val="en-US" w:bidi="en-US"/>
        </w:rPr>
        <w:t>(a)</w:t>
      </w:r>
      <w:r w:rsidRPr="00C03A6A">
        <w:rPr>
          <w:rFonts w:eastAsia="Arial"/>
          <w:sz w:val="20"/>
          <w:szCs w:val="20"/>
          <w:lang w:val="en-US" w:bidi="en-US"/>
        </w:rPr>
        <w:tab/>
        <w:t>a specified member of a football team will, in one or more, or a group of, games, be credited with more disposals than any other member of that team, or of that team and the opposing teams in that game or games; or</w:t>
      </w:r>
    </w:p>
    <w:p w:rsidR="00C03A6A" w:rsidRPr="00C03A6A" w:rsidRDefault="00C03A6A" w:rsidP="00C03A6A">
      <w:pPr>
        <w:widowControl w:val="0"/>
        <w:autoSpaceDE w:val="0"/>
        <w:autoSpaceDN w:val="0"/>
        <w:spacing w:before="175" w:after="0" w:line="240" w:lineRule="auto"/>
        <w:ind w:left="851" w:right="263" w:hanging="426"/>
        <w:jc w:val="left"/>
        <w:rPr>
          <w:rFonts w:eastAsia="Arial"/>
          <w:sz w:val="20"/>
          <w:szCs w:val="20"/>
          <w:lang w:val="en-US" w:bidi="en-US"/>
        </w:rPr>
      </w:pPr>
      <w:r w:rsidRPr="00C03A6A">
        <w:rPr>
          <w:rFonts w:eastAsia="Arial"/>
          <w:sz w:val="20"/>
          <w:szCs w:val="20"/>
          <w:lang w:val="en-US" w:bidi="en-US"/>
        </w:rPr>
        <w:t>(b)</w:t>
      </w:r>
      <w:r w:rsidRPr="00C03A6A">
        <w:rPr>
          <w:rFonts w:eastAsia="Arial"/>
          <w:sz w:val="20"/>
          <w:szCs w:val="20"/>
          <w:lang w:val="en-US" w:bidi="en-US"/>
        </w:rPr>
        <w:tab/>
        <w:t>an AFL team will be credited with more disposals than one or more other teams in one or more, or a group of, games—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as recorded in the official statistics of the AFL.</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Most Runs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specified player will make the most number of runs in an innings, game or series.</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Most Wickets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specified player will take the most wickets in an innings, game or series.</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Multiple Winners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two or more specified Entrants will each place first in or win a specified Event of the same or similar kind or will each place first in or win a specified Event of the same or similar kind by an amount falling within a specified amount, range or margin (including where a specified Entrant may be given a notional point start or handicap).</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Multi-bet</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of identifying the winning outcome of a selection of at least 2 and not more than 11 approved contingencies (other a multi-bet).</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National Rugby League Games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any rugby league game (other than training, promotional or exhibition matches) forming part of a competition conducted by the National Rugby League.</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Norm Smith Medal</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specified player will win the Norm Smith Medal for best on ground in the Australian Football League Grand Final.</w:t>
      </w:r>
    </w:p>
    <w:p w:rsidR="00C03A6A" w:rsidRPr="00C03A6A" w:rsidRDefault="00C03A6A" w:rsidP="00C03A6A">
      <w:pPr>
        <w:rPr>
          <w:rFonts w:eastAsia="Arial"/>
          <w:szCs w:val="20"/>
          <w:lang w:val="en-US" w:bidi="en-US"/>
        </w:rPr>
      </w:pPr>
      <w:r w:rsidRPr="00C03A6A">
        <w:rPr>
          <w:rFonts w:eastAsia="Arial"/>
          <w:szCs w:val="20"/>
          <w:lang w:val="en-US" w:bidi="en-US"/>
        </w:rPr>
        <w:br w:type="page"/>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lastRenderedPageBreak/>
        <w:t>Number of Aces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specified player or Entrant will score a specified number of aces in a set, match or tournament (or a discrete part thereof) or will score a number of aces falling within a specified range.</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Number of Home Wins for Round</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specified number of home teams or range of home teams being Entrants in an Event will win during a round or series of the Event.</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Number of Players Under Par</w:t>
      </w:r>
    </w:p>
    <w:p w:rsidR="00C03A6A" w:rsidRPr="00C03A6A" w:rsidRDefault="00C03A6A" w:rsidP="00C03A6A">
      <w:pPr>
        <w:widowControl w:val="0"/>
        <w:autoSpaceDE w:val="0"/>
        <w:autoSpaceDN w:val="0"/>
        <w:spacing w:before="175" w:after="0" w:line="240" w:lineRule="auto"/>
        <w:ind w:left="426" w:right="263"/>
        <w:jc w:val="left"/>
        <w:rPr>
          <w:rFonts w:eastAsia="Arial"/>
          <w:b/>
          <w:sz w:val="20"/>
          <w:szCs w:val="20"/>
          <w:lang w:val="en-US" w:bidi="en-US"/>
        </w:rPr>
      </w:pPr>
      <w:r w:rsidRPr="00C03A6A">
        <w:rPr>
          <w:rFonts w:eastAsia="Arial"/>
          <w:sz w:val="20"/>
          <w:szCs w:val="20"/>
          <w:lang w:val="en-US" w:bidi="en-US"/>
        </w:rPr>
        <w:t>means the proposition that a specified number of players in an Event will have a score under Par for a round, for a discrete part of a tournament, or for a tournament.</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Number of run outs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specified team will, in an innings, match or series of matches, receive runouts (that is, take wickets by running players out) of a specified number, within a specified range or, in relation to a series of matches, by reference to a ranking order of the teams’ run outs.</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Number of Sixes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specified cricket player(s) or Entrant(s) will score a given number of sixes in an innings, game or series (or a discreet part thereof) or will score a number of sixes falling within a specified range.</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Number scored</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specified player(s) or Entrant(s) will score a specific number of runs, tries, goals, points or equivalent during an Event or a number of runs, goals, tries, points or equivalent within a specified range.</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Olympic Games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games conducted under the auspices of the International Olympic Committee, and includes summer games and winter games.</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Overall performance</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specified Entrant will progress to a certain stage of, or win, the Event.</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Overseas Racing</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w:t>
      </w:r>
    </w:p>
    <w:p w:rsidR="00C03A6A" w:rsidRPr="00C03A6A" w:rsidRDefault="00C03A6A" w:rsidP="00C03A6A">
      <w:pPr>
        <w:widowControl w:val="0"/>
        <w:autoSpaceDE w:val="0"/>
        <w:autoSpaceDN w:val="0"/>
        <w:spacing w:before="175" w:after="0" w:line="240" w:lineRule="auto"/>
        <w:ind w:left="851" w:right="263" w:hanging="426"/>
        <w:jc w:val="left"/>
        <w:rPr>
          <w:rFonts w:eastAsia="Arial"/>
          <w:sz w:val="20"/>
          <w:szCs w:val="20"/>
          <w:lang w:val="en-US" w:bidi="en-US"/>
        </w:rPr>
      </w:pPr>
      <w:r w:rsidRPr="00C03A6A">
        <w:rPr>
          <w:rFonts w:eastAsia="Arial"/>
          <w:sz w:val="20"/>
          <w:szCs w:val="20"/>
          <w:lang w:val="en-US" w:bidi="en-US"/>
        </w:rPr>
        <w:t>(a)</w:t>
      </w:r>
      <w:r w:rsidRPr="00C03A6A">
        <w:rPr>
          <w:rFonts w:eastAsia="Arial"/>
          <w:sz w:val="20"/>
          <w:szCs w:val="20"/>
          <w:lang w:val="en-US" w:bidi="en-US"/>
        </w:rPr>
        <w:tab/>
        <w:t>in respect of France, gallops races and harness races sanctioned by France Gallop;</w:t>
      </w:r>
    </w:p>
    <w:p w:rsidR="00C03A6A" w:rsidRPr="00C03A6A" w:rsidRDefault="00C03A6A" w:rsidP="00C03A6A">
      <w:pPr>
        <w:widowControl w:val="0"/>
        <w:autoSpaceDE w:val="0"/>
        <w:autoSpaceDN w:val="0"/>
        <w:spacing w:before="175" w:after="0" w:line="240" w:lineRule="auto"/>
        <w:ind w:left="851" w:right="263" w:hanging="426"/>
        <w:jc w:val="left"/>
        <w:rPr>
          <w:rFonts w:eastAsia="Arial"/>
          <w:sz w:val="20"/>
          <w:szCs w:val="20"/>
          <w:lang w:val="en-US" w:bidi="en-US"/>
        </w:rPr>
      </w:pPr>
      <w:r w:rsidRPr="00C03A6A">
        <w:rPr>
          <w:rFonts w:eastAsia="Arial"/>
          <w:sz w:val="20"/>
          <w:szCs w:val="20"/>
          <w:lang w:val="en-US" w:bidi="en-US"/>
        </w:rPr>
        <w:t>(b)</w:t>
      </w:r>
      <w:r w:rsidRPr="00C03A6A">
        <w:rPr>
          <w:rFonts w:eastAsia="Arial"/>
          <w:sz w:val="20"/>
          <w:szCs w:val="20"/>
          <w:lang w:val="en-US" w:bidi="en-US"/>
        </w:rPr>
        <w:tab/>
        <w:t>in respect of Hong Kong, gallops races and harness races sanctioned by the Hong Kong Jockey Club;</w:t>
      </w:r>
    </w:p>
    <w:p w:rsidR="00C03A6A" w:rsidRPr="00C03A6A" w:rsidRDefault="00C03A6A" w:rsidP="00C03A6A">
      <w:pPr>
        <w:widowControl w:val="0"/>
        <w:autoSpaceDE w:val="0"/>
        <w:autoSpaceDN w:val="0"/>
        <w:spacing w:before="175" w:after="0" w:line="240" w:lineRule="auto"/>
        <w:ind w:left="851" w:right="263" w:hanging="426"/>
        <w:jc w:val="left"/>
        <w:rPr>
          <w:rFonts w:eastAsia="Arial"/>
          <w:sz w:val="20"/>
          <w:szCs w:val="20"/>
          <w:lang w:val="en-US" w:bidi="en-US"/>
        </w:rPr>
      </w:pPr>
      <w:r w:rsidRPr="00C03A6A">
        <w:rPr>
          <w:rFonts w:eastAsia="Arial"/>
          <w:sz w:val="20"/>
          <w:szCs w:val="20"/>
          <w:lang w:val="en-US" w:bidi="en-US"/>
        </w:rPr>
        <w:t>(c)</w:t>
      </w:r>
      <w:r w:rsidRPr="00C03A6A">
        <w:rPr>
          <w:rFonts w:eastAsia="Arial"/>
          <w:sz w:val="20"/>
          <w:szCs w:val="20"/>
          <w:lang w:val="en-US" w:bidi="en-US"/>
        </w:rPr>
        <w:tab/>
        <w:t>in respect of Ireland, gallops races and harness races sanctioned by the Registry Office of the Turf Club;</w:t>
      </w:r>
    </w:p>
    <w:p w:rsidR="00C03A6A" w:rsidRPr="00C03A6A" w:rsidRDefault="00C03A6A" w:rsidP="00C03A6A">
      <w:pPr>
        <w:widowControl w:val="0"/>
        <w:autoSpaceDE w:val="0"/>
        <w:autoSpaceDN w:val="0"/>
        <w:spacing w:before="175" w:after="0" w:line="240" w:lineRule="auto"/>
        <w:ind w:left="851" w:right="263" w:hanging="426"/>
        <w:jc w:val="left"/>
        <w:rPr>
          <w:rFonts w:eastAsia="Arial"/>
          <w:sz w:val="20"/>
          <w:szCs w:val="20"/>
          <w:lang w:val="en-US" w:bidi="en-US"/>
        </w:rPr>
      </w:pPr>
      <w:r w:rsidRPr="00C03A6A">
        <w:rPr>
          <w:rFonts w:eastAsia="Arial"/>
          <w:sz w:val="20"/>
          <w:szCs w:val="20"/>
          <w:lang w:val="en-US" w:bidi="en-US"/>
        </w:rPr>
        <w:t>(d)</w:t>
      </w:r>
      <w:r w:rsidRPr="00C03A6A">
        <w:rPr>
          <w:rFonts w:eastAsia="Arial"/>
          <w:sz w:val="20"/>
          <w:szCs w:val="20"/>
          <w:lang w:val="en-US" w:bidi="en-US"/>
        </w:rPr>
        <w:tab/>
        <w:t>in respect of Japan, gallops races and harness races sanctioned by the Japanese Horse Racing Association;</w:t>
      </w:r>
    </w:p>
    <w:p w:rsidR="00C03A6A" w:rsidRPr="00C03A6A" w:rsidRDefault="00C03A6A" w:rsidP="00C03A6A">
      <w:pPr>
        <w:widowControl w:val="0"/>
        <w:autoSpaceDE w:val="0"/>
        <w:autoSpaceDN w:val="0"/>
        <w:spacing w:before="175" w:after="0" w:line="240" w:lineRule="auto"/>
        <w:ind w:left="851" w:right="263" w:hanging="426"/>
        <w:jc w:val="left"/>
        <w:rPr>
          <w:rFonts w:eastAsia="Arial"/>
          <w:sz w:val="20"/>
          <w:szCs w:val="20"/>
          <w:lang w:val="en-US" w:bidi="en-US"/>
        </w:rPr>
      </w:pPr>
      <w:r w:rsidRPr="00C03A6A">
        <w:rPr>
          <w:rFonts w:eastAsia="Arial"/>
          <w:sz w:val="20"/>
          <w:szCs w:val="20"/>
          <w:lang w:val="en-US" w:bidi="en-US"/>
        </w:rPr>
        <w:t>(e)</w:t>
      </w:r>
      <w:r w:rsidRPr="00C03A6A">
        <w:rPr>
          <w:rFonts w:eastAsia="Arial"/>
          <w:sz w:val="20"/>
          <w:szCs w:val="20"/>
          <w:lang w:val="en-US" w:bidi="en-US"/>
        </w:rPr>
        <w:tab/>
        <w:t>in respect of New Zealand gallops races and harness races sanctioned by the New Zealand Racing Conference;</w:t>
      </w:r>
    </w:p>
    <w:p w:rsidR="00C03A6A" w:rsidRPr="00C03A6A" w:rsidRDefault="00C03A6A" w:rsidP="00C03A6A">
      <w:pPr>
        <w:widowControl w:val="0"/>
        <w:autoSpaceDE w:val="0"/>
        <w:autoSpaceDN w:val="0"/>
        <w:spacing w:before="175" w:after="0" w:line="240" w:lineRule="auto"/>
        <w:ind w:left="851" w:right="263" w:hanging="426"/>
        <w:jc w:val="left"/>
        <w:rPr>
          <w:rFonts w:eastAsia="Arial"/>
          <w:sz w:val="20"/>
          <w:szCs w:val="20"/>
          <w:lang w:val="en-US" w:bidi="en-US"/>
        </w:rPr>
      </w:pPr>
      <w:r w:rsidRPr="00C03A6A">
        <w:rPr>
          <w:rFonts w:eastAsia="Arial"/>
          <w:sz w:val="20"/>
          <w:szCs w:val="20"/>
          <w:lang w:val="en-US" w:bidi="en-US"/>
        </w:rPr>
        <w:t>(f)</w:t>
      </w:r>
      <w:r w:rsidRPr="00C03A6A">
        <w:rPr>
          <w:rFonts w:eastAsia="Arial"/>
          <w:sz w:val="20"/>
          <w:szCs w:val="20"/>
          <w:lang w:val="en-US" w:bidi="en-US"/>
        </w:rPr>
        <w:tab/>
        <w:t>in respect of Singapore, gallops races and harness races sanctioned by the Singapore Turf Club;</w:t>
      </w:r>
    </w:p>
    <w:p w:rsidR="00C03A6A" w:rsidRPr="00C03A6A" w:rsidRDefault="00C03A6A" w:rsidP="00C03A6A">
      <w:pPr>
        <w:widowControl w:val="0"/>
        <w:autoSpaceDE w:val="0"/>
        <w:autoSpaceDN w:val="0"/>
        <w:spacing w:before="175" w:after="0" w:line="240" w:lineRule="auto"/>
        <w:ind w:left="851" w:right="263" w:hanging="426"/>
        <w:jc w:val="left"/>
        <w:rPr>
          <w:rFonts w:eastAsia="Arial"/>
          <w:sz w:val="20"/>
          <w:szCs w:val="20"/>
          <w:lang w:val="en-US" w:bidi="en-US"/>
        </w:rPr>
      </w:pPr>
      <w:r w:rsidRPr="00C03A6A">
        <w:rPr>
          <w:rFonts w:eastAsia="Arial"/>
          <w:sz w:val="20"/>
          <w:szCs w:val="20"/>
          <w:lang w:val="en-US" w:bidi="en-US"/>
        </w:rPr>
        <w:t>(g)</w:t>
      </w:r>
      <w:r w:rsidRPr="00C03A6A">
        <w:rPr>
          <w:rFonts w:eastAsia="Arial"/>
          <w:sz w:val="20"/>
          <w:szCs w:val="20"/>
          <w:lang w:val="en-US" w:bidi="en-US"/>
        </w:rPr>
        <w:tab/>
        <w:t>in respect of South Africa, gallops races and harness races sanctioned by the Jockey Club of Southern Africa;</w:t>
      </w:r>
    </w:p>
    <w:p w:rsidR="00C03A6A" w:rsidRPr="00C03A6A" w:rsidRDefault="00C03A6A" w:rsidP="00C03A6A">
      <w:pPr>
        <w:widowControl w:val="0"/>
        <w:autoSpaceDE w:val="0"/>
        <w:autoSpaceDN w:val="0"/>
        <w:spacing w:before="175" w:after="0" w:line="240" w:lineRule="auto"/>
        <w:ind w:left="851" w:right="263" w:hanging="426"/>
        <w:jc w:val="left"/>
        <w:rPr>
          <w:rFonts w:eastAsia="Arial"/>
          <w:sz w:val="20"/>
          <w:szCs w:val="20"/>
          <w:lang w:val="en-US" w:bidi="en-US"/>
        </w:rPr>
      </w:pPr>
      <w:r w:rsidRPr="00C03A6A">
        <w:rPr>
          <w:rFonts w:eastAsia="Arial"/>
          <w:sz w:val="20"/>
          <w:szCs w:val="20"/>
          <w:lang w:val="en-US" w:bidi="en-US"/>
        </w:rPr>
        <w:t>(h)</w:t>
      </w:r>
      <w:r w:rsidRPr="00C03A6A">
        <w:rPr>
          <w:rFonts w:eastAsia="Arial"/>
          <w:sz w:val="20"/>
          <w:szCs w:val="20"/>
          <w:lang w:val="en-US" w:bidi="en-US"/>
        </w:rPr>
        <w:tab/>
        <w:t>in respect of the United Arab Emirates, gallops races and harness races sanctioned by the Emirates Racing Association;</w:t>
      </w:r>
    </w:p>
    <w:p w:rsidR="00C03A6A" w:rsidRPr="00C03A6A" w:rsidRDefault="00C03A6A" w:rsidP="00C03A6A">
      <w:pPr>
        <w:rPr>
          <w:rFonts w:eastAsia="Arial"/>
          <w:szCs w:val="20"/>
          <w:lang w:val="en-US" w:bidi="en-US"/>
        </w:rPr>
      </w:pPr>
      <w:r w:rsidRPr="00C03A6A">
        <w:rPr>
          <w:rFonts w:eastAsia="Arial"/>
          <w:szCs w:val="20"/>
          <w:lang w:val="en-US" w:bidi="en-US"/>
        </w:rPr>
        <w:br w:type="page"/>
      </w:r>
    </w:p>
    <w:p w:rsidR="00C03A6A" w:rsidRPr="00C03A6A" w:rsidRDefault="00C03A6A" w:rsidP="00C03A6A">
      <w:pPr>
        <w:widowControl w:val="0"/>
        <w:autoSpaceDE w:val="0"/>
        <w:autoSpaceDN w:val="0"/>
        <w:spacing w:before="175" w:after="0" w:line="240" w:lineRule="auto"/>
        <w:ind w:left="851" w:right="263" w:hanging="426"/>
        <w:jc w:val="left"/>
        <w:rPr>
          <w:rFonts w:eastAsia="Arial"/>
          <w:sz w:val="20"/>
          <w:szCs w:val="20"/>
          <w:lang w:val="en-US" w:bidi="en-US"/>
        </w:rPr>
      </w:pPr>
      <w:r w:rsidRPr="00C03A6A">
        <w:rPr>
          <w:rFonts w:eastAsia="Arial"/>
          <w:sz w:val="20"/>
          <w:szCs w:val="20"/>
          <w:lang w:val="en-US" w:bidi="en-US"/>
        </w:rPr>
        <w:lastRenderedPageBreak/>
        <w:t>(i)</w:t>
      </w:r>
      <w:r w:rsidRPr="00C03A6A">
        <w:rPr>
          <w:rFonts w:eastAsia="Arial"/>
          <w:sz w:val="20"/>
          <w:szCs w:val="20"/>
          <w:lang w:val="en-US" w:bidi="en-US"/>
        </w:rPr>
        <w:tab/>
        <w:t>in respect of the United Kingdom, gallops races and harness races sanctioned by the Thoroughbred Racing Board British Horse Racing Board;</w:t>
      </w:r>
    </w:p>
    <w:p w:rsidR="00C03A6A" w:rsidRPr="00C03A6A" w:rsidRDefault="00C03A6A" w:rsidP="00C03A6A">
      <w:pPr>
        <w:widowControl w:val="0"/>
        <w:autoSpaceDE w:val="0"/>
        <w:autoSpaceDN w:val="0"/>
        <w:spacing w:before="175" w:after="0" w:line="240" w:lineRule="auto"/>
        <w:ind w:left="851" w:right="263" w:hanging="426"/>
        <w:jc w:val="left"/>
        <w:rPr>
          <w:rFonts w:eastAsia="Arial"/>
          <w:sz w:val="20"/>
          <w:szCs w:val="20"/>
          <w:lang w:val="en-US" w:bidi="en-US"/>
        </w:rPr>
      </w:pPr>
      <w:r w:rsidRPr="00C03A6A">
        <w:rPr>
          <w:rFonts w:eastAsia="Arial"/>
          <w:sz w:val="20"/>
          <w:szCs w:val="20"/>
          <w:lang w:val="en-US" w:bidi="en-US"/>
        </w:rPr>
        <w:t>(j)</w:t>
      </w:r>
      <w:r w:rsidRPr="00C03A6A">
        <w:rPr>
          <w:rFonts w:eastAsia="Arial"/>
          <w:sz w:val="20"/>
          <w:szCs w:val="20"/>
          <w:lang w:val="en-US" w:bidi="en-US"/>
        </w:rPr>
        <w:tab/>
      </w:r>
      <w:r w:rsidRPr="00C03A6A">
        <w:rPr>
          <w:rFonts w:eastAsia="Arial"/>
          <w:spacing w:val="-4"/>
          <w:sz w:val="20"/>
          <w:szCs w:val="20"/>
          <w:lang w:val="en-US" w:bidi="en-US"/>
        </w:rPr>
        <w:t>in respect of the United States of America, gallops races and harness races sanctioned by the Jockey Club.</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Period All Up</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specified Entrant(s) in an Event or round or series of an Event is leading at the end of the specified period of the match.</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Pick 4</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combination of four specified Entrants in four specified Events will each place first in or win, or will win by a specified amount, range or margin (including where a specified Entrant may be given a notional point start or handicap), the respective Entrant’s Event.</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Pick 6</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combination of six specified Entrants in six specified Events will each place first in or win, or will win by a specified amount, range or margin (including where a specified Entrant may be given a notional point start or handicap), in the respective Entrant’s Event.</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Pick the Margins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one or more specified Entrant(s) in an Event(s), or round or series of an Event(s), will win by a specified margin, or the result will be a draw.</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Pick the Result</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specified Entrant will win a specified Event by a specified margin or score range or the result will be a draw.</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Pick the Round</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an Entrant in a boxing Event will win the Event in a specified round or that the result will be a draw.</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Pick the Score</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specified Entrant(s) in a specified Event will achieve a specified score(s) or score range(s).</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Pick the winner type</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type(s) of Entrant(s) will win a specified Event(s), or qualifying round(s) leading up to the Event(s).</w:t>
      </w:r>
    </w:p>
    <w:p w:rsidR="00C03A6A" w:rsidRPr="00C03A6A" w:rsidRDefault="00C03A6A" w:rsidP="00C03A6A">
      <w:pPr>
        <w:widowControl w:val="0"/>
        <w:autoSpaceDE w:val="0"/>
        <w:autoSpaceDN w:val="0"/>
        <w:spacing w:before="175" w:after="0" w:line="240" w:lineRule="auto"/>
        <w:ind w:left="426" w:right="263"/>
        <w:jc w:val="left"/>
        <w:rPr>
          <w:rFonts w:eastAsia="Arial"/>
          <w:i/>
          <w:sz w:val="16"/>
          <w:szCs w:val="20"/>
          <w:lang w:val="en-US" w:bidi="en-US"/>
        </w:rPr>
      </w:pPr>
      <w:r w:rsidRPr="00C03A6A">
        <w:rPr>
          <w:rFonts w:eastAsia="Arial"/>
          <w:i/>
          <w:sz w:val="16"/>
          <w:szCs w:val="20"/>
          <w:lang w:val="en-US" w:bidi="en-US"/>
        </w:rPr>
        <w:t>Example: winner will be female/male</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Pick the Winners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specified Entrant(s) will win a specified Event(s) (including where a specified Entrant(s) may be allocated a notional point start or handicap).</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Place</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specified Entrant will place either first, second or third (or, if applicable, fourth) in a specified Event.</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Player of the Match</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specified player or Entrant will win the Player of the Match or equivalent as selected by a pre-determined panel in the nominated game.</w:t>
      </w:r>
    </w:p>
    <w:p w:rsidR="00C03A6A" w:rsidRPr="00C03A6A" w:rsidRDefault="00C03A6A" w:rsidP="00C03A6A">
      <w:pPr>
        <w:rPr>
          <w:rFonts w:eastAsia="Arial"/>
          <w:szCs w:val="20"/>
          <w:lang w:val="en-US" w:bidi="en-US"/>
        </w:rPr>
      </w:pPr>
      <w:r w:rsidRPr="00C03A6A">
        <w:rPr>
          <w:rFonts w:eastAsia="Arial"/>
          <w:szCs w:val="20"/>
          <w:lang w:val="en-US" w:bidi="en-US"/>
        </w:rPr>
        <w:br w:type="page"/>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lastRenderedPageBreak/>
        <w:t>Pole Position</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specified Entrant will commence a specified Event in the first position (pole position) on the grid.</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Premiership Points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specified Entrant will accumulate a specified number of premiership points or a number of premiership points within a specified range during an Event.</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Qualify</w:t>
      </w:r>
    </w:p>
    <w:p w:rsidR="00C03A6A" w:rsidRPr="00C03A6A" w:rsidRDefault="00C03A6A" w:rsidP="00C03A6A">
      <w:pPr>
        <w:widowControl w:val="0"/>
        <w:autoSpaceDE w:val="0"/>
        <w:autoSpaceDN w:val="0"/>
        <w:spacing w:before="175" w:after="0" w:line="240" w:lineRule="auto"/>
        <w:ind w:left="426" w:right="263"/>
        <w:jc w:val="left"/>
        <w:rPr>
          <w:rFonts w:eastAsia="Arial"/>
          <w:spacing w:val="-2"/>
          <w:sz w:val="20"/>
          <w:szCs w:val="20"/>
          <w:lang w:val="en-US" w:bidi="en-US"/>
        </w:rPr>
      </w:pPr>
      <w:r w:rsidRPr="00C03A6A">
        <w:rPr>
          <w:rFonts w:eastAsia="Arial"/>
          <w:spacing w:val="-2"/>
          <w:sz w:val="20"/>
          <w:szCs w:val="20"/>
          <w:lang w:val="en-US" w:bidi="en-US"/>
        </w:rPr>
        <w:t>means the proposition that a specified Entrant in an Event will meet the criteria established by the recognised governing body for the event which qualifies the Entrant for the Event or qualifying rounds leading up to the Event.</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Quarter Goals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specified number of goals falling within a specified range will be scored during a specified quarter(s) in a specified Event.</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Quinella</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combination of two specified Entrants will place (irrespective of order of finishing) first or second in a specified Event.</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Relegation</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specified team or teams will be demoted at the end of a specified season from a division within a competition.</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Sets Betting</w:t>
      </w:r>
    </w:p>
    <w:p w:rsidR="00C03A6A" w:rsidRPr="00C03A6A" w:rsidRDefault="00C03A6A" w:rsidP="00C03A6A">
      <w:pPr>
        <w:widowControl w:val="0"/>
        <w:autoSpaceDE w:val="0"/>
        <w:autoSpaceDN w:val="0"/>
        <w:spacing w:before="175" w:after="0" w:line="240" w:lineRule="auto"/>
        <w:ind w:left="426" w:right="263"/>
        <w:jc w:val="left"/>
        <w:rPr>
          <w:rFonts w:eastAsia="Arial"/>
          <w:spacing w:val="-4"/>
          <w:sz w:val="20"/>
          <w:szCs w:val="20"/>
          <w:lang w:val="en-US" w:bidi="en-US"/>
        </w:rPr>
      </w:pPr>
      <w:r w:rsidRPr="00C03A6A">
        <w:rPr>
          <w:rFonts w:eastAsia="Arial"/>
          <w:spacing w:val="-4"/>
          <w:sz w:val="20"/>
          <w:szCs w:val="20"/>
          <w:lang w:val="en-US" w:bidi="en-US"/>
        </w:rPr>
        <w:t>means the proposition that a specified player or doubles team will win a specified set in a specified tennis match.</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Shootout</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specified golf player will have the lowest score, or will have the lowest score in a specified group of players, for a round, for a discrete part of a tournament, or for a tournament.</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Six point allocation scheme</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a scheme for allocation of points as follows:</w:t>
      </w:r>
    </w:p>
    <w:p w:rsidR="00C03A6A" w:rsidRPr="00C03A6A" w:rsidRDefault="00C03A6A" w:rsidP="00C03A6A">
      <w:pPr>
        <w:widowControl w:val="0"/>
        <w:autoSpaceDE w:val="0"/>
        <w:autoSpaceDN w:val="0"/>
        <w:spacing w:before="175" w:after="0" w:line="240" w:lineRule="auto"/>
        <w:ind w:left="851" w:right="263" w:hanging="426"/>
        <w:jc w:val="left"/>
        <w:rPr>
          <w:rFonts w:eastAsia="Arial"/>
          <w:sz w:val="20"/>
          <w:szCs w:val="20"/>
          <w:lang w:val="en-US" w:bidi="en-US"/>
        </w:rPr>
      </w:pPr>
      <w:r w:rsidRPr="00C03A6A">
        <w:rPr>
          <w:rFonts w:eastAsia="Arial"/>
          <w:sz w:val="20"/>
          <w:szCs w:val="20"/>
          <w:lang w:val="en-US" w:bidi="en-US"/>
        </w:rPr>
        <w:t>(a)</w:t>
      </w:r>
      <w:r w:rsidRPr="00C03A6A">
        <w:rPr>
          <w:rFonts w:eastAsia="Arial"/>
          <w:sz w:val="20"/>
          <w:szCs w:val="20"/>
          <w:lang w:val="en-US" w:bidi="en-US"/>
        </w:rPr>
        <w:tab/>
        <w:t>subject to paragraph (b)—</w:t>
      </w:r>
    </w:p>
    <w:p w:rsidR="00C03A6A" w:rsidRPr="00C03A6A" w:rsidRDefault="00C03A6A" w:rsidP="00C03A6A">
      <w:pPr>
        <w:widowControl w:val="0"/>
        <w:autoSpaceDE w:val="0"/>
        <w:autoSpaceDN w:val="0"/>
        <w:spacing w:before="120" w:after="0" w:line="240" w:lineRule="auto"/>
        <w:ind w:left="1276" w:right="261" w:hanging="425"/>
        <w:jc w:val="left"/>
        <w:rPr>
          <w:rFonts w:eastAsia="Arial"/>
          <w:sz w:val="20"/>
          <w:szCs w:val="20"/>
          <w:lang w:val="en-US" w:bidi="en-US"/>
        </w:rPr>
      </w:pPr>
      <w:r w:rsidRPr="00C03A6A">
        <w:rPr>
          <w:rFonts w:eastAsia="Arial"/>
          <w:sz w:val="20"/>
          <w:szCs w:val="20"/>
          <w:lang w:val="en-US" w:bidi="en-US"/>
        </w:rPr>
        <w:t>(i)</w:t>
      </w:r>
      <w:r w:rsidRPr="00C03A6A">
        <w:rPr>
          <w:rFonts w:eastAsia="Arial"/>
          <w:sz w:val="20"/>
          <w:szCs w:val="20"/>
          <w:lang w:val="en-US" w:bidi="en-US"/>
        </w:rPr>
        <w:tab/>
        <w:t>3 points for first place;</w:t>
      </w:r>
    </w:p>
    <w:p w:rsidR="00C03A6A" w:rsidRPr="00C03A6A" w:rsidRDefault="00C03A6A" w:rsidP="00C03A6A">
      <w:pPr>
        <w:widowControl w:val="0"/>
        <w:autoSpaceDE w:val="0"/>
        <w:autoSpaceDN w:val="0"/>
        <w:spacing w:before="120" w:after="0" w:line="240" w:lineRule="auto"/>
        <w:ind w:left="1276" w:right="261" w:hanging="425"/>
        <w:jc w:val="left"/>
        <w:rPr>
          <w:rFonts w:eastAsia="Arial"/>
          <w:sz w:val="20"/>
          <w:szCs w:val="20"/>
          <w:lang w:val="en-US" w:bidi="en-US"/>
        </w:rPr>
      </w:pPr>
      <w:r w:rsidRPr="00C03A6A">
        <w:rPr>
          <w:rFonts w:eastAsia="Arial"/>
          <w:sz w:val="20"/>
          <w:szCs w:val="20"/>
          <w:lang w:val="en-US" w:bidi="en-US"/>
        </w:rPr>
        <w:t>(ii)</w:t>
      </w:r>
      <w:r w:rsidRPr="00C03A6A">
        <w:rPr>
          <w:rFonts w:eastAsia="Arial"/>
          <w:sz w:val="20"/>
          <w:szCs w:val="20"/>
          <w:lang w:val="en-US" w:bidi="en-US"/>
        </w:rPr>
        <w:tab/>
        <w:t>2 points for second place; and</w:t>
      </w:r>
    </w:p>
    <w:p w:rsidR="00C03A6A" w:rsidRPr="00C03A6A" w:rsidRDefault="00C03A6A" w:rsidP="00C03A6A">
      <w:pPr>
        <w:widowControl w:val="0"/>
        <w:autoSpaceDE w:val="0"/>
        <w:autoSpaceDN w:val="0"/>
        <w:spacing w:before="120" w:after="0" w:line="240" w:lineRule="auto"/>
        <w:ind w:left="1276" w:right="261" w:hanging="425"/>
        <w:jc w:val="left"/>
        <w:rPr>
          <w:rFonts w:eastAsia="Arial"/>
          <w:sz w:val="20"/>
          <w:szCs w:val="20"/>
          <w:lang w:val="en-US" w:bidi="en-US"/>
        </w:rPr>
      </w:pPr>
      <w:r w:rsidRPr="00C03A6A">
        <w:rPr>
          <w:rFonts w:eastAsia="Arial"/>
          <w:sz w:val="20"/>
          <w:szCs w:val="20"/>
          <w:lang w:val="en-US" w:bidi="en-US"/>
        </w:rPr>
        <w:t>(iii)</w:t>
      </w:r>
      <w:r w:rsidRPr="00C03A6A">
        <w:rPr>
          <w:rFonts w:eastAsia="Arial"/>
          <w:sz w:val="20"/>
          <w:szCs w:val="20"/>
          <w:lang w:val="en-US" w:bidi="en-US"/>
        </w:rPr>
        <w:tab/>
        <w:t>1 point for third place;</w:t>
      </w:r>
    </w:p>
    <w:p w:rsidR="00C03A6A" w:rsidRPr="00C03A6A" w:rsidRDefault="00C03A6A" w:rsidP="00C03A6A">
      <w:pPr>
        <w:widowControl w:val="0"/>
        <w:autoSpaceDE w:val="0"/>
        <w:autoSpaceDN w:val="0"/>
        <w:spacing w:before="175" w:after="0" w:line="240" w:lineRule="auto"/>
        <w:ind w:left="851" w:right="263" w:hanging="426"/>
        <w:jc w:val="left"/>
        <w:rPr>
          <w:rFonts w:eastAsia="Arial"/>
          <w:sz w:val="20"/>
          <w:szCs w:val="20"/>
          <w:lang w:val="en-US" w:bidi="en-US"/>
        </w:rPr>
      </w:pPr>
      <w:r w:rsidRPr="00C03A6A">
        <w:rPr>
          <w:rFonts w:eastAsia="Arial"/>
          <w:sz w:val="20"/>
          <w:szCs w:val="20"/>
          <w:lang w:val="en-US" w:bidi="en-US"/>
        </w:rPr>
        <w:t>(b)</w:t>
      </w:r>
      <w:r w:rsidRPr="00C03A6A">
        <w:rPr>
          <w:rFonts w:eastAsia="Arial"/>
          <w:sz w:val="20"/>
          <w:szCs w:val="20"/>
          <w:lang w:val="en-US" w:bidi="en-US"/>
        </w:rPr>
        <w:tab/>
        <w:t>if there is a dead-heat for one or more places, the points for the places must be aggregated and divided equally between the dead-heating runners, for example—</w:t>
      </w:r>
    </w:p>
    <w:p w:rsidR="00C03A6A" w:rsidRPr="00C03A6A" w:rsidRDefault="00C03A6A" w:rsidP="00C03A6A">
      <w:pPr>
        <w:widowControl w:val="0"/>
        <w:autoSpaceDE w:val="0"/>
        <w:autoSpaceDN w:val="0"/>
        <w:spacing w:before="120" w:after="0" w:line="240" w:lineRule="auto"/>
        <w:ind w:left="1276" w:right="261" w:hanging="425"/>
        <w:jc w:val="left"/>
        <w:rPr>
          <w:rFonts w:eastAsia="Arial"/>
          <w:sz w:val="20"/>
          <w:szCs w:val="20"/>
          <w:lang w:val="en-US" w:bidi="en-US"/>
        </w:rPr>
      </w:pPr>
      <w:r w:rsidRPr="00C03A6A">
        <w:rPr>
          <w:rFonts w:eastAsia="Arial"/>
          <w:sz w:val="20"/>
          <w:szCs w:val="20"/>
          <w:lang w:val="en-US" w:bidi="en-US"/>
        </w:rPr>
        <w:t>(i)</w:t>
      </w:r>
      <w:r w:rsidRPr="00C03A6A">
        <w:rPr>
          <w:rFonts w:eastAsia="Arial"/>
          <w:sz w:val="20"/>
          <w:szCs w:val="20"/>
          <w:lang w:val="en-US" w:bidi="en-US"/>
        </w:rPr>
        <w:tab/>
        <w:t>two runners dead-heat for first and two runners dead-heat for third (there being no second-placed runner)—2.5 points for each equal first runner (5 points between 2 runners) and 0.5 points for each equal third runner (1 point between 2 runners);</w:t>
      </w:r>
    </w:p>
    <w:p w:rsidR="00C03A6A" w:rsidRPr="00C03A6A" w:rsidRDefault="00C03A6A" w:rsidP="00C03A6A">
      <w:pPr>
        <w:widowControl w:val="0"/>
        <w:autoSpaceDE w:val="0"/>
        <w:autoSpaceDN w:val="0"/>
        <w:spacing w:before="120" w:after="0" w:line="240" w:lineRule="auto"/>
        <w:ind w:left="1276" w:right="261" w:hanging="425"/>
        <w:jc w:val="left"/>
        <w:rPr>
          <w:rFonts w:eastAsia="Arial"/>
          <w:sz w:val="20"/>
          <w:szCs w:val="20"/>
          <w:lang w:val="en-US" w:bidi="en-US"/>
        </w:rPr>
      </w:pPr>
      <w:r w:rsidRPr="00C03A6A">
        <w:rPr>
          <w:rFonts w:eastAsia="Arial"/>
          <w:sz w:val="20"/>
          <w:szCs w:val="20"/>
          <w:lang w:val="en-US" w:bidi="en-US"/>
        </w:rPr>
        <w:t>(ii)</w:t>
      </w:r>
      <w:r w:rsidRPr="00C03A6A">
        <w:rPr>
          <w:rFonts w:eastAsia="Arial"/>
          <w:sz w:val="20"/>
          <w:szCs w:val="20"/>
          <w:lang w:val="en-US" w:bidi="en-US"/>
        </w:rPr>
        <w:tab/>
        <w:t>triple dead-heat for first (there being no second or third-placed runner)—2 points for each runner (6 points between 3 runners).</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Team Performance</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specified Entrant(s) in an Event being a competition will finish the Event in a specified position.</w:t>
      </w:r>
    </w:p>
    <w:p w:rsidR="00C03A6A" w:rsidRPr="00C03A6A" w:rsidRDefault="00C03A6A" w:rsidP="00C03A6A">
      <w:pPr>
        <w:rPr>
          <w:rFonts w:eastAsia="Arial"/>
          <w:szCs w:val="20"/>
          <w:lang w:val="en-US" w:bidi="en-US"/>
        </w:rPr>
      </w:pPr>
      <w:r w:rsidRPr="00C03A6A">
        <w:rPr>
          <w:rFonts w:eastAsia="Arial"/>
          <w:szCs w:val="20"/>
          <w:lang w:val="en-US" w:bidi="en-US"/>
        </w:rPr>
        <w:br w:type="page"/>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lastRenderedPageBreak/>
        <w:t>Tennis Events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tennis tournaments set out in the list of events in Schedule 3.</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Time of First Goal</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the first goal in an Event will be scored at a specified time or within a specified time range of 15 minute increments based on game time.</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To Miss Top 8</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specified player or Entrant in an Event, being a competition (with more than eight Entrants) will finish the home and away season of that competition no better than ninth.</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Top 2-10</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specified Entrant in an Event being a competition (with more than 10 entrants) will finish the Event, or qualifying rounds leading up to the Event, in a position ranked no worse than second, third, fourth, fifth, sixth, seventh, eighth, ninth or tenth (but only where there are more than 10 Entrants in the Event or qualifying rounds leading up to the Event).</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Top 4</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specified Entrant in an Event being a competition (with more than four Entrants) will finish the home and away season of the competition ranked no worse than fourth (4th).</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Top 5</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specified Entrant in an Event being a competition (with more than five Entrants) will finish the event ranked no worse that fifth.</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Top 10</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specified Entrant in an Event being a competition (with more than ten Entrants) will finish the Event no worse than tenth.</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Top Aussie Finish</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specified Entrant, identified by the licensee to be Australian, will place above all other specified Entrants, identified by the licensee to be Australians, in a specified Event.</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Top Overseas Finish</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specified Entrant, identified by the licensee to be an overseas Entrant, will place above all other specified Entrants, identified by the licensee to be overseas Entrants, in a specified Event.</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Total Match Points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the sum of the scores of the Entrants in a specified Event will be a specified number, within a specified range or under or over a specified score.</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Top scorer</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specified player or Entrant will score the most number of runs, goals, tries, points or equivalent at a specified time during an Event.</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Total Medal Tally</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specified country will win a specified number of medals (or a number of medals within a range) at particular Olympic Games or particular Commonwealth Games.</w:t>
      </w:r>
    </w:p>
    <w:p w:rsidR="00C03A6A" w:rsidRPr="00C03A6A" w:rsidRDefault="00C03A6A" w:rsidP="00C03A6A">
      <w:pPr>
        <w:rPr>
          <w:rFonts w:eastAsia="Arial"/>
          <w:szCs w:val="20"/>
          <w:lang w:val="en-US" w:bidi="en-US"/>
        </w:rPr>
      </w:pPr>
      <w:r w:rsidRPr="00C03A6A">
        <w:rPr>
          <w:rFonts w:eastAsia="Arial"/>
          <w:szCs w:val="20"/>
          <w:lang w:val="en-US" w:bidi="en-US"/>
        </w:rPr>
        <w:br w:type="page"/>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lastRenderedPageBreak/>
        <w:t>Trainers’ Challenge</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specified trainer or trainers in a series of Interstate Races or Intrastate Races in a specified race meeting will achieve the highest number of points, with points allocated for performance in the races under the six point allocation scheme.</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Treble</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combination of three specified Entrants in three different specified Events will each place first in or win, or win by a specified amount, range or margin (including where a specified Entrant may be given a notional point start or handicap),the respective Entrant’s Event.</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Tri-bet</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specified Entrant in an Event will win the Event by more than an allocated point start.</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Trifecta</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combination of three specified Entrants will place (in correct order of finishing) first, second and third in a specified Event.</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Trio</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combination of three specified Entrants will place (irrespective of order of finishing) first, second and third in a specified Event.</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When Test Ends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specified innings, game or series will end within a specified period of time.</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Win</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specified Entrant will place first in or win a specified Event (including where a specified Entrant may be allocated a notional point start or handicap).</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Winning Score</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specified Entrant will win a specified Event with a specified score or with a score falling within a specified range.</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Winning Total</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the winner or winners of the Jockeys’ Challenge or Trainers’ Challenge will achieve a specified score or score range.</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Wooden spoon</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in any event being a competition—</w:t>
      </w:r>
    </w:p>
    <w:p w:rsidR="00C03A6A" w:rsidRPr="00C03A6A" w:rsidRDefault="00C03A6A" w:rsidP="00C03A6A">
      <w:pPr>
        <w:widowControl w:val="0"/>
        <w:autoSpaceDE w:val="0"/>
        <w:autoSpaceDN w:val="0"/>
        <w:spacing w:before="175" w:after="0" w:line="240" w:lineRule="auto"/>
        <w:ind w:left="851" w:right="263" w:hanging="426"/>
        <w:jc w:val="left"/>
        <w:rPr>
          <w:rFonts w:eastAsia="Arial"/>
          <w:sz w:val="20"/>
          <w:szCs w:val="20"/>
          <w:lang w:val="en-US" w:bidi="en-US"/>
        </w:rPr>
      </w:pPr>
      <w:r w:rsidRPr="00C03A6A">
        <w:rPr>
          <w:rFonts w:eastAsia="Arial"/>
          <w:sz w:val="20"/>
          <w:szCs w:val="20"/>
          <w:lang w:val="en-US" w:bidi="en-US"/>
        </w:rPr>
        <w:t>(a)</w:t>
      </w:r>
      <w:r w:rsidRPr="00C03A6A">
        <w:rPr>
          <w:rFonts w:eastAsia="Arial"/>
          <w:sz w:val="20"/>
          <w:szCs w:val="20"/>
          <w:lang w:val="en-US" w:bidi="en-US"/>
        </w:rPr>
        <w:tab/>
        <w:t>a specified entrant will rank or place last; or</w:t>
      </w:r>
    </w:p>
    <w:p w:rsidR="00C03A6A" w:rsidRPr="00C03A6A" w:rsidRDefault="00C03A6A" w:rsidP="00C03A6A">
      <w:pPr>
        <w:widowControl w:val="0"/>
        <w:autoSpaceDE w:val="0"/>
        <w:autoSpaceDN w:val="0"/>
        <w:spacing w:before="175" w:after="0" w:line="240" w:lineRule="auto"/>
        <w:ind w:left="851" w:right="263" w:hanging="426"/>
        <w:jc w:val="left"/>
        <w:rPr>
          <w:rFonts w:eastAsia="Arial"/>
          <w:sz w:val="20"/>
          <w:szCs w:val="20"/>
          <w:lang w:val="en-US" w:bidi="en-US"/>
        </w:rPr>
      </w:pPr>
      <w:r w:rsidRPr="00C03A6A">
        <w:rPr>
          <w:rFonts w:eastAsia="Arial"/>
          <w:sz w:val="20"/>
          <w:szCs w:val="20"/>
          <w:lang w:val="en-US" w:bidi="en-US"/>
        </w:rPr>
        <w:t>(b)</w:t>
      </w:r>
      <w:r w:rsidRPr="00C03A6A">
        <w:rPr>
          <w:rFonts w:eastAsia="Arial"/>
          <w:sz w:val="20"/>
          <w:szCs w:val="20"/>
          <w:lang w:val="en-US" w:bidi="en-US"/>
        </w:rPr>
        <w:tab/>
        <w:t>specified entrants will rank or place in the last sequence of places—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in the home and away season of that competition.</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Yards by Individual</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means the proposition that a specified Entrant in an Event will make a specified number of yards or metres, or a number of yards or metres falling within a specified range.</w:t>
      </w:r>
    </w:p>
    <w:p w:rsidR="00C03A6A" w:rsidRPr="00C03A6A" w:rsidRDefault="00C03A6A" w:rsidP="00C03A6A">
      <w:pPr>
        <w:spacing w:after="0" w:line="240" w:lineRule="auto"/>
        <w:jc w:val="left"/>
        <w:rPr>
          <w:rFonts w:eastAsia="Times New Roman"/>
          <w:b/>
          <w:sz w:val="32"/>
          <w:szCs w:val="32"/>
          <w:lang w:eastAsia="en-AU"/>
        </w:rPr>
      </w:pPr>
      <w:r w:rsidRPr="00C03A6A">
        <w:rPr>
          <w:rFonts w:eastAsia="Times New Roman"/>
          <w:b/>
          <w:sz w:val="32"/>
          <w:szCs w:val="32"/>
          <w:lang w:eastAsia="en-AU"/>
        </w:rPr>
        <w:br w:type="page"/>
      </w:r>
    </w:p>
    <w:p w:rsidR="00C03A6A" w:rsidRPr="00C03A6A" w:rsidRDefault="00C03A6A" w:rsidP="00C03A6A">
      <w:pPr>
        <w:tabs>
          <w:tab w:val="left" w:pos="540"/>
          <w:tab w:val="left" w:pos="900"/>
          <w:tab w:val="left" w:pos="1080"/>
        </w:tabs>
        <w:spacing w:after="0" w:line="240" w:lineRule="auto"/>
        <w:jc w:val="left"/>
        <w:rPr>
          <w:rFonts w:eastAsia="Times New Roman"/>
          <w:b/>
          <w:sz w:val="32"/>
          <w:szCs w:val="32"/>
          <w:lang w:eastAsia="en-AU"/>
        </w:rPr>
      </w:pPr>
      <w:r w:rsidRPr="00C03A6A">
        <w:rPr>
          <w:rFonts w:eastAsia="Times New Roman"/>
          <w:b/>
          <w:sz w:val="32"/>
          <w:szCs w:val="32"/>
          <w:lang w:eastAsia="en-AU"/>
        </w:rPr>
        <w:lastRenderedPageBreak/>
        <w:t>Schedule 3—List of events</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Academy awards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Each category for which nominations are published</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American Football</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American National Football Conference Games and Final Series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American Football Conference Games and Final Series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Superbowl</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US College Football (games and Final Series)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Most Valuable Player awards sanctioned by relevant recognised governing body</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Alpine Skiing</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Olympic Games</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Archery</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Olympic Games</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Athletics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World Athletic Championships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Australian Open Championships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State Open Championships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Professional events sanctioned by an Australian Professional Athletic Association</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Grand Prix events sanctioned by Athletics Australia</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Olympic Games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Commonwealth Games</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Australian Rules Football</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Any Australian Rules Football game (other than training, promotional, exhibition matches or international rules football games) forming part of a competition conducted by any of the following bodies:</w:t>
      </w:r>
    </w:p>
    <w:p w:rsidR="00C03A6A" w:rsidRPr="00C03A6A" w:rsidRDefault="00C03A6A" w:rsidP="00C03A6A">
      <w:pPr>
        <w:widowControl w:val="0"/>
        <w:autoSpaceDE w:val="0"/>
        <w:autoSpaceDN w:val="0"/>
        <w:spacing w:before="175" w:after="0" w:line="240" w:lineRule="auto"/>
        <w:ind w:left="851" w:right="263" w:hanging="426"/>
        <w:jc w:val="left"/>
        <w:rPr>
          <w:rFonts w:eastAsia="Arial"/>
          <w:sz w:val="20"/>
          <w:szCs w:val="20"/>
          <w:lang w:val="en-US" w:bidi="en-US"/>
        </w:rPr>
      </w:pPr>
      <w:r w:rsidRPr="00C03A6A">
        <w:rPr>
          <w:rFonts w:eastAsia="Arial"/>
          <w:sz w:val="20"/>
          <w:szCs w:val="20"/>
          <w:lang w:val="en-US" w:bidi="en-US"/>
        </w:rPr>
        <w:t>(a)</w:t>
      </w:r>
      <w:r w:rsidRPr="00C03A6A">
        <w:rPr>
          <w:rFonts w:eastAsia="Arial"/>
          <w:sz w:val="20"/>
          <w:szCs w:val="20"/>
          <w:lang w:val="en-US" w:bidi="en-US"/>
        </w:rPr>
        <w:tab/>
        <w:t>the Australian Football League or its successor; or</w:t>
      </w:r>
    </w:p>
    <w:p w:rsidR="00C03A6A" w:rsidRPr="00C03A6A" w:rsidRDefault="00C03A6A" w:rsidP="00C03A6A">
      <w:pPr>
        <w:widowControl w:val="0"/>
        <w:autoSpaceDE w:val="0"/>
        <w:autoSpaceDN w:val="0"/>
        <w:spacing w:before="175" w:after="0" w:line="240" w:lineRule="auto"/>
        <w:ind w:left="851" w:right="263" w:hanging="426"/>
        <w:jc w:val="left"/>
        <w:rPr>
          <w:rFonts w:eastAsia="Arial"/>
          <w:sz w:val="20"/>
          <w:szCs w:val="20"/>
          <w:lang w:val="en-US" w:bidi="en-US"/>
        </w:rPr>
      </w:pPr>
      <w:r w:rsidRPr="00C03A6A">
        <w:rPr>
          <w:rFonts w:eastAsia="Arial"/>
          <w:sz w:val="20"/>
          <w:szCs w:val="20"/>
          <w:lang w:val="en-US" w:bidi="en-US"/>
        </w:rPr>
        <w:t>(b)</w:t>
      </w:r>
      <w:r w:rsidRPr="00C03A6A">
        <w:rPr>
          <w:rFonts w:eastAsia="Arial"/>
          <w:sz w:val="20"/>
          <w:szCs w:val="20"/>
          <w:lang w:val="en-US" w:bidi="en-US"/>
        </w:rPr>
        <w:tab/>
        <w:t>the South Australian National Football League or its successor; or</w:t>
      </w:r>
    </w:p>
    <w:p w:rsidR="00C03A6A" w:rsidRPr="00C03A6A" w:rsidRDefault="00C03A6A" w:rsidP="00C03A6A">
      <w:pPr>
        <w:widowControl w:val="0"/>
        <w:autoSpaceDE w:val="0"/>
        <w:autoSpaceDN w:val="0"/>
        <w:spacing w:before="175" w:after="0" w:line="240" w:lineRule="auto"/>
        <w:ind w:left="851" w:right="263" w:hanging="426"/>
        <w:jc w:val="left"/>
        <w:rPr>
          <w:rFonts w:eastAsia="Arial"/>
          <w:sz w:val="20"/>
          <w:szCs w:val="20"/>
          <w:lang w:val="en-US" w:bidi="en-US"/>
        </w:rPr>
      </w:pPr>
      <w:r w:rsidRPr="00C03A6A">
        <w:rPr>
          <w:rFonts w:eastAsia="Arial"/>
          <w:sz w:val="20"/>
          <w:szCs w:val="20"/>
          <w:lang w:val="en-US" w:bidi="en-US"/>
        </w:rPr>
        <w:t>(c)</w:t>
      </w:r>
      <w:r w:rsidRPr="00C03A6A">
        <w:rPr>
          <w:rFonts w:eastAsia="Arial"/>
          <w:sz w:val="20"/>
          <w:szCs w:val="20"/>
          <w:lang w:val="en-US" w:bidi="en-US"/>
        </w:rPr>
        <w:tab/>
        <w:t>the principal governing body for Australian Rules Football in each State or Territory of Australia (other than South Australia) or its successor.</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Badminton</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Olympic Games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Commonwealth Games</w:t>
      </w:r>
    </w:p>
    <w:p w:rsidR="00C03A6A" w:rsidRPr="00C03A6A" w:rsidRDefault="00C03A6A" w:rsidP="00C03A6A">
      <w:pPr>
        <w:spacing w:after="0" w:line="240" w:lineRule="auto"/>
        <w:jc w:val="left"/>
        <w:rPr>
          <w:rFonts w:eastAsia="Arial"/>
          <w:b/>
          <w:sz w:val="20"/>
          <w:szCs w:val="20"/>
          <w:lang w:val="en-US" w:bidi="en-US"/>
        </w:rPr>
      </w:pPr>
      <w:r w:rsidRPr="00C03A6A">
        <w:rPr>
          <w:rFonts w:eastAsia="Arial"/>
          <w:b/>
          <w:sz w:val="20"/>
          <w:szCs w:val="20"/>
          <w:lang w:val="en-US" w:bidi="en-US"/>
        </w:rPr>
        <w:br w:type="page"/>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lastRenderedPageBreak/>
        <w:t>Baseball</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US National Baseball League Games and Finals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US College Baseball League Games and Finals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Australian National Baseball League Games and Finals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Special events sanctioned by Australian Baseball League</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Most Valuable Player awards sanctioned by relevant recognised governing body</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Olympic Games</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Basketball</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European Championships Games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National Basketball Association (NBA, USA) Games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Women’s Basketball Association (WBA, USA) Games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National/International Events sanctioned by Basketball Australia</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National Collegiate Athletics Association (NCAA) Games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Australian National Basketball League (NBL) Games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Australian Women’s National Basketball League (WNBL) Games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Playoff series Australian Continental Basketball League (CBA)</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World Championships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Most Valuable Player awards sanctioned by relevant recognised governing body</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Olympic Games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Commonwealth Games</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Biathlon</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Olympic Games</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Bobsleigh</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Olympic Games</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Boxing</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Sanctioned World Title Fights by World Boxing Association</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Sanctioned World Title Fights by World Boxing Council</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Sanctioned World Title Fights by International Boxing Federation</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Olympic Games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Commonwealth Games</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Camel Racing</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Leeton Camel Stakes Race Meeting</w:t>
      </w:r>
    </w:p>
    <w:p w:rsidR="00C03A6A" w:rsidRPr="00C03A6A" w:rsidRDefault="00C03A6A" w:rsidP="00C03A6A">
      <w:pPr>
        <w:widowControl w:val="0"/>
        <w:autoSpaceDE w:val="0"/>
        <w:autoSpaceDN w:val="0"/>
        <w:spacing w:before="120" w:after="0" w:line="240" w:lineRule="auto"/>
        <w:ind w:left="142" w:right="261"/>
        <w:jc w:val="left"/>
        <w:rPr>
          <w:rFonts w:eastAsia="Arial"/>
          <w:b/>
          <w:bCs/>
          <w:sz w:val="20"/>
          <w:szCs w:val="20"/>
          <w:lang w:val="en-US" w:bidi="en-US"/>
        </w:rPr>
      </w:pPr>
      <w:r w:rsidRPr="00C03A6A">
        <w:rPr>
          <w:rFonts w:eastAsia="Arial"/>
          <w:b/>
          <w:sz w:val="20"/>
          <w:szCs w:val="20"/>
          <w:lang w:val="en-US" w:bidi="en-US"/>
        </w:rPr>
        <w:t>Canoeing—Kayak/flatwater</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Olympic Games</w:t>
      </w:r>
    </w:p>
    <w:p w:rsidR="00C03A6A" w:rsidRPr="00C03A6A" w:rsidRDefault="00C03A6A" w:rsidP="00C03A6A">
      <w:pPr>
        <w:spacing w:after="0" w:line="240" w:lineRule="auto"/>
        <w:jc w:val="left"/>
        <w:rPr>
          <w:rFonts w:eastAsia="Arial"/>
          <w:b/>
          <w:sz w:val="20"/>
          <w:szCs w:val="20"/>
          <w:lang w:val="en-US" w:bidi="en-US"/>
        </w:rPr>
      </w:pPr>
      <w:r w:rsidRPr="00C03A6A">
        <w:rPr>
          <w:rFonts w:eastAsia="Arial"/>
          <w:b/>
          <w:sz w:val="20"/>
          <w:szCs w:val="20"/>
          <w:lang w:val="en-US" w:bidi="en-US"/>
        </w:rPr>
        <w:br w:type="page"/>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lastRenderedPageBreak/>
        <w:t>Canoeing—Kayak/slalom</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Olympic Games</w:t>
      </w:r>
    </w:p>
    <w:p w:rsidR="00C03A6A" w:rsidRPr="00C03A6A" w:rsidRDefault="00C03A6A" w:rsidP="00C03A6A">
      <w:pPr>
        <w:widowControl w:val="0"/>
        <w:autoSpaceDE w:val="0"/>
        <w:autoSpaceDN w:val="0"/>
        <w:spacing w:before="175" w:after="0" w:line="240" w:lineRule="auto"/>
        <w:ind w:left="142" w:right="263"/>
        <w:jc w:val="left"/>
        <w:rPr>
          <w:rFonts w:eastAsia="Arial"/>
          <w:b/>
          <w:bCs/>
          <w:sz w:val="20"/>
          <w:szCs w:val="20"/>
          <w:lang w:val="en-US" w:bidi="en-US"/>
        </w:rPr>
      </w:pPr>
      <w:r w:rsidRPr="00C03A6A">
        <w:rPr>
          <w:rFonts w:eastAsia="Arial"/>
          <w:b/>
          <w:sz w:val="20"/>
          <w:szCs w:val="20"/>
          <w:lang w:val="en-US" w:bidi="en-US"/>
        </w:rPr>
        <w:t>Cricket</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World Cup of Cricket (One Day Series)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International Test Matches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Sheffield Shield Games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Interstate One Day Series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International One Day Series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Other matches and series sanctioned by the Australian Cricket Board or</w:t>
      </w:r>
      <w:r w:rsidRPr="00C03A6A">
        <w:rPr>
          <w:rFonts w:eastAsia="Arial"/>
          <w:sz w:val="20"/>
          <w:szCs w:val="20"/>
          <w:lang w:val="en-US" w:bidi="en-US"/>
        </w:rPr>
        <w:br/>
        <w:t>affiliated international organisations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English County Games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Most Valuable Player awards sanctioned by relevant recognised governing body</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Cross Country Skiing</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Olympic Games</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Curling</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Olympic Games</w:t>
      </w:r>
    </w:p>
    <w:p w:rsidR="00C03A6A" w:rsidRPr="00C03A6A" w:rsidRDefault="00C03A6A" w:rsidP="00C03A6A">
      <w:pPr>
        <w:widowControl w:val="0"/>
        <w:autoSpaceDE w:val="0"/>
        <w:autoSpaceDN w:val="0"/>
        <w:spacing w:before="175" w:after="0" w:line="240" w:lineRule="auto"/>
        <w:ind w:left="142" w:right="263"/>
        <w:jc w:val="left"/>
        <w:rPr>
          <w:rFonts w:eastAsia="Arial"/>
          <w:b/>
          <w:bCs/>
          <w:sz w:val="20"/>
          <w:szCs w:val="20"/>
          <w:lang w:val="en-US" w:bidi="en-US"/>
        </w:rPr>
      </w:pPr>
      <w:r w:rsidRPr="00C03A6A">
        <w:rPr>
          <w:rFonts w:eastAsia="Arial"/>
          <w:b/>
          <w:sz w:val="20"/>
          <w:szCs w:val="20"/>
          <w:lang w:val="en-US" w:bidi="en-US"/>
        </w:rPr>
        <w:t>Cycling</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World Championships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Tour de France</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Australian Championships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Commonwealth Bank Classic</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West Coast Classic</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Herald-Sun Tour</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Melbourne to Warrnambool</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Other events sanctioned by International Cycling Federation or Cycling Australia</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Olympic Games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Commonwealth Games</w:t>
      </w:r>
    </w:p>
    <w:p w:rsidR="00C03A6A" w:rsidRPr="00C03A6A" w:rsidRDefault="00C03A6A" w:rsidP="00C03A6A">
      <w:pPr>
        <w:widowControl w:val="0"/>
        <w:autoSpaceDE w:val="0"/>
        <w:autoSpaceDN w:val="0"/>
        <w:spacing w:before="175" w:after="0" w:line="240" w:lineRule="auto"/>
        <w:ind w:left="142" w:right="263"/>
        <w:jc w:val="left"/>
        <w:rPr>
          <w:rFonts w:eastAsia="Arial"/>
          <w:b/>
          <w:bCs/>
          <w:sz w:val="20"/>
          <w:szCs w:val="20"/>
          <w:lang w:val="en-US" w:bidi="en-US"/>
        </w:rPr>
      </w:pPr>
      <w:r w:rsidRPr="00C03A6A">
        <w:rPr>
          <w:rFonts w:eastAsia="Arial"/>
          <w:b/>
          <w:sz w:val="20"/>
          <w:szCs w:val="20"/>
          <w:lang w:val="en-US" w:bidi="en-US"/>
        </w:rPr>
        <w:t>Darts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Premier League Darts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Championship League Darts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World Darts Championship</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Other events sanctioned by the Professional Darts Corporation or</w:t>
      </w:r>
      <w:r w:rsidRPr="00C03A6A">
        <w:rPr>
          <w:rFonts w:eastAsia="Arial"/>
          <w:sz w:val="20"/>
          <w:szCs w:val="20"/>
          <w:lang w:val="en-US" w:bidi="en-US"/>
        </w:rPr>
        <w:br/>
        <w:t>an affiliated international organisation</w:t>
      </w:r>
    </w:p>
    <w:p w:rsidR="00C03A6A" w:rsidRPr="00C03A6A" w:rsidRDefault="00C03A6A" w:rsidP="00C03A6A">
      <w:pPr>
        <w:spacing w:after="0" w:line="240" w:lineRule="auto"/>
        <w:jc w:val="left"/>
        <w:rPr>
          <w:rFonts w:eastAsia="Arial"/>
          <w:b/>
          <w:sz w:val="20"/>
          <w:szCs w:val="20"/>
          <w:lang w:val="en-US" w:bidi="en-US"/>
        </w:rPr>
      </w:pPr>
      <w:r w:rsidRPr="00C03A6A">
        <w:rPr>
          <w:rFonts w:eastAsia="Arial"/>
          <w:b/>
          <w:sz w:val="20"/>
          <w:szCs w:val="20"/>
          <w:lang w:val="en-US" w:bidi="en-US"/>
        </w:rPr>
        <w:br w:type="page"/>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lastRenderedPageBreak/>
        <w:t>Diving</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Olympic Games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Commonwealth Games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FINA events</w:t>
      </w:r>
    </w:p>
    <w:p w:rsidR="00C03A6A" w:rsidRPr="00C03A6A" w:rsidRDefault="00C03A6A" w:rsidP="00C03A6A">
      <w:pPr>
        <w:widowControl w:val="0"/>
        <w:autoSpaceDE w:val="0"/>
        <w:autoSpaceDN w:val="0"/>
        <w:spacing w:before="175" w:after="0" w:line="240" w:lineRule="auto"/>
        <w:ind w:left="142" w:right="263"/>
        <w:jc w:val="left"/>
        <w:rPr>
          <w:rFonts w:eastAsia="Arial"/>
          <w:b/>
          <w:bCs/>
          <w:sz w:val="20"/>
          <w:szCs w:val="20"/>
          <w:lang w:val="en-US" w:bidi="en-US"/>
        </w:rPr>
      </w:pPr>
      <w:r w:rsidRPr="00C03A6A">
        <w:rPr>
          <w:rFonts w:eastAsia="Arial"/>
          <w:b/>
          <w:sz w:val="20"/>
          <w:szCs w:val="20"/>
          <w:lang w:val="en-US" w:bidi="en-US"/>
        </w:rPr>
        <w:t>Elections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Australian Federal and State elections and referendums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Papal elections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United Kingdom elections and referendums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United States Presidential and Congressional elections</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Equestrian—dressage</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Olympic Games</w:t>
      </w:r>
    </w:p>
    <w:p w:rsidR="00C03A6A" w:rsidRPr="00C03A6A" w:rsidRDefault="00C03A6A" w:rsidP="00C03A6A">
      <w:pPr>
        <w:widowControl w:val="0"/>
        <w:autoSpaceDE w:val="0"/>
        <w:autoSpaceDN w:val="0"/>
        <w:spacing w:before="175" w:after="0" w:line="240" w:lineRule="auto"/>
        <w:ind w:left="142" w:right="263"/>
        <w:jc w:val="left"/>
        <w:rPr>
          <w:rFonts w:eastAsia="Arial"/>
          <w:b/>
          <w:bCs/>
          <w:sz w:val="20"/>
          <w:szCs w:val="20"/>
          <w:lang w:val="en-US" w:bidi="en-US"/>
        </w:rPr>
      </w:pPr>
      <w:r w:rsidRPr="00C03A6A">
        <w:rPr>
          <w:rFonts w:eastAsia="Arial"/>
          <w:b/>
          <w:sz w:val="20"/>
          <w:szCs w:val="20"/>
          <w:lang w:val="en-US" w:bidi="en-US"/>
        </w:rPr>
        <w:t>Equestrian—eventing</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Olympic Games</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Equestrian—jumping</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Olympic Games</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Fencing</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Olympic Games</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Figure skating</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Olympic Games</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Freestyle skiing</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Olympic Games</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Gaelic Football</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Events sanctioned by the Gaelic Athletic Association or affiliated international</w:t>
      </w:r>
      <w:r w:rsidRPr="00C03A6A">
        <w:rPr>
          <w:rFonts w:eastAsia="Arial"/>
          <w:sz w:val="20"/>
          <w:szCs w:val="20"/>
          <w:lang w:val="en-US" w:bidi="en-US"/>
        </w:rPr>
        <w:br/>
        <w:t>or national organisations</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Golf</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Australian or State Opens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Australian PGA/LPGA Championships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PGA Tour of Australasia Ltd Events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US Masters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US PGA/LPGA</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Dunhill Cup</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US Open</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US PGA/LPGA Tour Events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British Open</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World Match Play</w:t>
      </w:r>
    </w:p>
    <w:p w:rsidR="00C03A6A" w:rsidRPr="00C03A6A" w:rsidRDefault="00C03A6A" w:rsidP="00C03A6A">
      <w:pPr>
        <w:rPr>
          <w:rFonts w:eastAsia="Arial"/>
          <w:szCs w:val="20"/>
          <w:lang w:val="en-US" w:bidi="en-US"/>
        </w:rPr>
      </w:pPr>
      <w:r w:rsidRPr="00C03A6A">
        <w:rPr>
          <w:rFonts w:eastAsia="Arial"/>
          <w:szCs w:val="20"/>
          <w:lang w:val="en-US" w:bidi="en-US"/>
        </w:rPr>
        <w:br w:type="page"/>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lastRenderedPageBreak/>
        <w:t>Ryder Cup</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European PGA/LPGA Tour Events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South African PGA/LPGA Tour Events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Japanese PGA/LPGA Tour Events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President’s Cup</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Other events (including ‘Skins’) sanctioned by Australian PGA/LPGA or</w:t>
      </w:r>
      <w:r w:rsidRPr="00C03A6A">
        <w:rPr>
          <w:rFonts w:eastAsia="Arial"/>
          <w:sz w:val="20"/>
          <w:szCs w:val="20"/>
          <w:lang w:val="en-US" w:bidi="en-US"/>
        </w:rPr>
        <w:br/>
        <w:t>an affiliated international organisation</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Senior’s Tour</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Gridiron (non US)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Canadian Football League</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Most Valuable Player awards sanctioned by relevant recognised governing body</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Gymnastics—artistic</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Olympic Games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Commonwealth Games</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Gymnastics—rhythmic</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Olympic Games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Commonwealth Games</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Gymnastics—trampoline</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Olympic Games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Commonwealth Games</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Handball</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Olympic Games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Events sanctioned by the International Handball Federation or affiliated international</w:t>
      </w:r>
      <w:r w:rsidRPr="00C03A6A">
        <w:rPr>
          <w:rFonts w:eastAsia="Arial"/>
          <w:sz w:val="20"/>
          <w:szCs w:val="20"/>
          <w:lang w:val="en-US" w:bidi="en-US"/>
        </w:rPr>
        <w:br/>
        <w:t>or national organisations</w:t>
      </w:r>
    </w:p>
    <w:p w:rsidR="00C03A6A" w:rsidRPr="00C03A6A" w:rsidRDefault="00C03A6A" w:rsidP="00C03A6A">
      <w:pPr>
        <w:widowControl w:val="0"/>
        <w:autoSpaceDE w:val="0"/>
        <w:autoSpaceDN w:val="0"/>
        <w:spacing w:before="175" w:after="0" w:line="240" w:lineRule="auto"/>
        <w:ind w:left="142" w:right="263"/>
        <w:jc w:val="left"/>
        <w:rPr>
          <w:rFonts w:eastAsia="Arial"/>
          <w:b/>
          <w:bCs/>
          <w:sz w:val="20"/>
          <w:szCs w:val="20"/>
          <w:lang w:val="en-US" w:bidi="en-US"/>
        </w:rPr>
      </w:pPr>
      <w:r w:rsidRPr="00C03A6A">
        <w:rPr>
          <w:rFonts w:eastAsia="Arial"/>
          <w:b/>
          <w:sz w:val="20"/>
          <w:szCs w:val="20"/>
          <w:lang w:val="en-US" w:bidi="en-US"/>
        </w:rPr>
        <w:t>Hockey</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World Cup</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International Senior Tournaments and Tests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Australian Championships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Other matches sanctioned by International Hockey Federation or Hockey Australia</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Most Valuable Player awards sanctioned by relevant recognised governing body</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Olympic Games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Commonwealth Games</w:t>
      </w:r>
    </w:p>
    <w:p w:rsidR="00C03A6A" w:rsidRPr="00C03A6A" w:rsidRDefault="00C03A6A" w:rsidP="00C03A6A">
      <w:pPr>
        <w:spacing w:after="0" w:line="240" w:lineRule="auto"/>
        <w:jc w:val="left"/>
        <w:rPr>
          <w:rFonts w:eastAsia="Arial"/>
          <w:b/>
          <w:sz w:val="20"/>
          <w:szCs w:val="20"/>
          <w:lang w:val="en-US" w:bidi="en-US"/>
        </w:rPr>
      </w:pPr>
      <w:r w:rsidRPr="00C03A6A">
        <w:rPr>
          <w:rFonts w:eastAsia="Arial"/>
          <w:b/>
          <w:sz w:val="20"/>
          <w:szCs w:val="20"/>
          <w:lang w:val="en-US" w:bidi="en-US"/>
        </w:rPr>
        <w:br w:type="page"/>
      </w:r>
    </w:p>
    <w:p w:rsidR="00C03A6A" w:rsidRPr="00C03A6A" w:rsidRDefault="00C03A6A" w:rsidP="00C03A6A">
      <w:pPr>
        <w:widowControl w:val="0"/>
        <w:autoSpaceDE w:val="0"/>
        <w:autoSpaceDN w:val="0"/>
        <w:spacing w:before="175" w:after="0" w:line="240" w:lineRule="auto"/>
        <w:ind w:left="142" w:right="263"/>
        <w:jc w:val="left"/>
        <w:rPr>
          <w:rFonts w:eastAsia="Arial"/>
          <w:b/>
          <w:bCs/>
          <w:sz w:val="20"/>
          <w:szCs w:val="20"/>
          <w:lang w:val="en-US" w:bidi="en-US"/>
        </w:rPr>
      </w:pPr>
      <w:r w:rsidRPr="00C03A6A">
        <w:rPr>
          <w:rFonts w:eastAsia="Arial"/>
          <w:b/>
          <w:sz w:val="20"/>
          <w:szCs w:val="20"/>
          <w:lang w:val="en-US" w:bidi="en-US"/>
        </w:rPr>
        <w:lastRenderedPageBreak/>
        <w:t>Ice Hockey</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US National Hockey League Matches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Australian National Hockey League</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Canadian National Hockey League Matches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International matches sanctioned by IHL</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World Championships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Most Valuable Player awards sanctioned by relevant recognised governing body</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Olympic Games</w:t>
      </w:r>
    </w:p>
    <w:p w:rsidR="00C03A6A" w:rsidRPr="00C03A6A" w:rsidRDefault="00C03A6A" w:rsidP="00C03A6A">
      <w:pPr>
        <w:widowControl w:val="0"/>
        <w:autoSpaceDE w:val="0"/>
        <w:autoSpaceDN w:val="0"/>
        <w:spacing w:before="175" w:after="0" w:line="240" w:lineRule="auto"/>
        <w:ind w:left="142" w:right="263"/>
        <w:jc w:val="left"/>
        <w:rPr>
          <w:rFonts w:eastAsia="Arial"/>
          <w:b/>
          <w:bCs/>
          <w:sz w:val="20"/>
          <w:szCs w:val="20"/>
          <w:lang w:val="en-US" w:bidi="en-US"/>
        </w:rPr>
      </w:pPr>
      <w:r w:rsidRPr="00C03A6A">
        <w:rPr>
          <w:rFonts w:eastAsia="Arial"/>
          <w:b/>
          <w:sz w:val="20"/>
          <w:szCs w:val="20"/>
          <w:lang w:val="en-US" w:bidi="en-US"/>
        </w:rPr>
        <w:t>Judo</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Olympic Games</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Lawn Bowls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SA Premier League</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Test Series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City of Adelaide Masters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State Number 1 Pennants (Grade 1)</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Australian Sides Championship</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SA State Championship Final Series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Trans-Tasman Series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Asia Pacific Games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Club Keno Champion of Champions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Australian Indoor Championships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World Championships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Commonwealth Games</w:t>
      </w:r>
    </w:p>
    <w:p w:rsidR="00C03A6A" w:rsidRPr="00C03A6A" w:rsidRDefault="00C03A6A" w:rsidP="00C03A6A">
      <w:pPr>
        <w:widowControl w:val="0"/>
        <w:autoSpaceDE w:val="0"/>
        <w:autoSpaceDN w:val="0"/>
        <w:spacing w:before="175" w:after="0" w:line="240" w:lineRule="auto"/>
        <w:ind w:left="142" w:right="263"/>
        <w:jc w:val="left"/>
        <w:rPr>
          <w:rFonts w:eastAsia="Arial"/>
          <w:b/>
          <w:bCs/>
          <w:sz w:val="20"/>
          <w:szCs w:val="20"/>
          <w:lang w:val="en-US" w:bidi="en-US"/>
        </w:rPr>
      </w:pPr>
      <w:r w:rsidRPr="00C03A6A">
        <w:rPr>
          <w:rFonts w:eastAsia="Arial"/>
          <w:b/>
          <w:sz w:val="20"/>
          <w:szCs w:val="20"/>
          <w:lang w:val="en-US" w:bidi="en-US"/>
        </w:rPr>
        <w:t>Luge</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Olympic Games</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Modern Pentathlon</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Olympic Games</w:t>
      </w:r>
    </w:p>
    <w:p w:rsidR="00C03A6A" w:rsidRPr="00C03A6A" w:rsidRDefault="00C03A6A" w:rsidP="00C03A6A">
      <w:pPr>
        <w:spacing w:after="0" w:line="240" w:lineRule="auto"/>
        <w:jc w:val="left"/>
        <w:rPr>
          <w:rFonts w:eastAsia="Arial"/>
          <w:b/>
          <w:sz w:val="20"/>
          <w:szCs w:val="20"/>
          <w:lang w:val="en-US" w:bidi="en-US"/>
        </w:rPr>
      </w:pPr>
      <w:r w:rsidRPr="00C03A6A">
        <w:rPr>
          <w:rFonts w:eastAsia="Arial"/>
          <w:b/>
          <w:sz w:val="20"/>
          <w:szCs w:val="20"/>
          <w:lang w:val="en-US" w:bidi="en-US"/>
        </w:rPr>
        <w:br w:type="page"/>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lastRenderedPageBreak/>
        <w:t>Motor Sport</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World Formula One Grand Prix Championship Races and Series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World Grand Prix Championship Races and Series (Cars and Bikes)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World/Australian Touring Car Championships Rounds and Series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Indy Car Grand Prix Races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Bathurst 1,000 (Production and 2 litre classes)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State and National Sprintcar Championships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Le Mans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Winston Cup</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Indianapolis Races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British League Championships (speedway/Bikes)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Speedway Riders World Championships (Bikes)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Australian Rally Championships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World Rally Championships</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Music</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Eurovision</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Netball</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World Championships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Australian National Netball Championships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Australian National League Games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Other matches sanctioned by International Federation of Netball Associations (IFNA)</w:t>
      </w:r>
      <w:r w:rsidRPr="00C03A6A">
        <w:rPr>
          <w:rFonts w:eastAsia="Arial"/>
          <w:sz w:val="20"/>
          <w:szCs w:val="20"/>
          <w:lang w:val="en-US" w:bidi="en-US"/>
        </w:rPr>
        <w:br/>
        <w:t>or Netball Australia</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Nordic Combined</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Olympic Games</w:t>
      </w:r>
    </w:p>
    <w:p w:rsidR="00C03A6A" w:rsidRPr="00C03A6A" w:rsidRDefault="00C03A6A" w:rsidP="00C03A6A">
      <w:pPr>
        <w:widowControl w:val="0"/>
        <w:autoSpaceDE w:val="0"/>
        <w:autoSpaceDN w:val="0"/>
        <w:spacing w:before="175" w:after="0" w:line="240" w:lineRule="auto"/>
        <w:ind w:left="142" w:right="263"/>
        <w:jc w:val="left"/>
        <w:rPr>
          <w:rFonts w:eastAsia="Arial"/>
          <w:b/>
          <w:bCs/>
          <w:sz w:val="20"/>
          <w:szCs w:val="20"/>
          <w:lang w:val="en-US" w:bidi="en-US"/>
        </w:rPr>
      </w:pPr>
      <w:r w:rsidRPr="00C03A6A">
        <w:rPr>
          <w:rFonts w:eastAsia="Arial"/>
          <w:b/>
          <w:sz w:val="20"/>
          <w:szCs w:val="20"/>
          <w:lang w:val="en-US" w:bidi="en-US"/>
        </w:rPr>
        <w:t>Racing</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Intrastate races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Interstate races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Overseas races</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Rowing</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Olympic Games</w:t>
      </w:r>
    </w:p>
    <w:p w:rsidR="00C03A6A" w:rsidRPr="00C03A6A" w:rsidRDefault="00C03A6A" w:rsidP="00C03A6A">
      <w:pPr>
        <w:spacing w:after="0" w:line="240" w:lineRule="auto"/>
        <w:jc w:val="left"/>
        <w:rPr>
          <w:rFonts w:eastAsia="Arial"/>
          <w:b/>
          <w:sz w:val="20"/>
          <w:szCs w:val="20"/>
          <w:lang w:val="en-US" w:bidi="en-US"/>
        </w:rPr>
      </w:pPr>
      <w:r w:rsidRPr="00C03A6A">
        <w:rPr>
          <w:rFonts w:eastAsia="Arial"/>
          <w:b/>
          <w:sz w:val="20"/>
          <w:szCs w:val="20"/>
          <w:lang w:val="en-US" w:bidi="en-US"/>
        </w:rPr>
        <w:br w:type="page"/>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lastRenderedPageBreak/>
        <w:t>Rugby League</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International Tests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QRL Premiership Season Matches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State of Origin Series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World Sevens or Nines Tournaments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Special Matches sanctioned by NRL</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Super League Matches (UK and Europe)</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Most Valuable Player awards sanctioned by relevant recognised governing body</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Rugby Union</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Five/Six Nations Tournament Matches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NSW and Queensland Premiership Season Matches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International Test Matches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Hong Kong Sevens Matches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World Cup Matches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Tri-Nations Series Matches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Super 12 Games and Final Series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Interstate Matches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Special Matches sanctioned by ARU or Internal Rugby Board</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Commonwealth Games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Most Valuable Player awards sanctioned by relevant recognised governing body</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Sailing</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Olympic Games</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Shooting</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Olympic Games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Commonwealth Games</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Short track speed skating</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Olympic Games</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Skeleton</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Olympic Games</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Ski jumping</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Olympic Games</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Snooker</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World Professional Billiards and Snooker Association</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Australian Billiards and Snooker Council</w:t>
      </w:r>
    </w:p>
    <w:p w:rsidR="00C03A6A" w:rsidRPr="00C03A6A" w:rsidRDefault="00C03A6A" w:rsidP="00C03A6A">
      <w:pPr>
        <w:spacing w:after="0" w:line="240" w:lineRule="auto"/>
        <w:jc w:val="left"/>
        <w:rPr>
          <w:rFonts w:eastAsia="Arial"/>
          <w:b/>
          <w:sz w:val="20"/>
          <w:szCs w:val="20"/>
          <w:lang w:val="en-US" w:bidi="en-US"/>
        </w:rPr>
      </w:pPr>
      <w:r w:rsidRPr="00C03A6A">
        <w:rPr>
          <w:rFonts w:eastAsia="Arial"/>
          <w:b/>
          <w:sz w:val="20"/>
          <w:szCs w:val="20"/>
          <w:lang w:val="en-US" w:bidi="en-US"/>
        </w:rPr>
        <w:br w:type="page"/>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lastRenderedPageBreak/>
        <w:t>Snowboard</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Olympic Games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NRL Premiership Season Matches</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Soccer</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English and Scottish Premier League and First Division Matches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FA Cup Matches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European Winner Matches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World Cup Matches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Australian National Soccer League Matches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European Champions League Matches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Euro Championship Matches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UEFA affiliated countries - Cup, Premier, League, First Division Matches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Special matches sanctioned by Soccer Australia or FIFA</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NSW State League - Super League Competition</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Cup competitions sanctioned by an officially recognised affiliate of FIFA</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USA Premier League and Cup Matches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African Championship Matches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South African Championship Matches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Most Valuable Player awards sanctioned by relevant recognised governing body</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Olympic Games</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Softball</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Olympic Games</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Speed skating</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Olympic Games</w:t>
      </w:r>
    </w:p>
    <w:p w:rsidR="00C03A6A" w:rsidRPr="00C03A6A" w:rsidRDefault="00C03A6A" w:rsidP="00C03A6A">
      <w:pPr>
        <w:widowControl w:val="0"/>
        <w:autoSpaceDE w:val="0"/>
        <w:autoSpaceDN w:val="0"/>
        <w:spacing w:before="175" w:after="0" w:line="240" w:lineRule="auto"/>
        <w:ind w:left="142" w:right="263"/>
        <w:jc w:val="left"/>
        <w:rPr>
          <w:rFonts w:eastAsia="Arial"/>
          <w:b/>
          <w:bCs/>
          <w:sz w:val="20"/>
          <w:szCs w:val="20"/>
          <w:lang w:val="en-US" w:bidi="en-US"/>
        </w:rPr>
      </w:pPr>
      <w:r w:rsidRPr="00C03A6A">
        <w:rPr>
          <w:rFonts w:eastAsia="Arial"/>
          <w:b/>
          <w:sz w:val="20"/>
          <w:szCs w:val="20"/>
          <w:lang w:val="en-US" w:bidi="en-US"/>
        </w:rPr>
        <w:t>Squash</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Commonwealth Games</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Surf Life Saving</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Australian Iron Man/Woman Championship Events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World Iron Man/Woman Championship Events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Uncle Toby’s Super Series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Kellogg’s Nutri Grain Series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Australian Surf Life Saving Championship Events</w:t>
      </w:r>
    </w:p>
    <w:p w:rsidR="00C03A6A" w:rsidRPr="00C03A6A" w:rsidRDefault="00C03A6A" w:rsidP="00C03A6A">
      <w:pPr>
        <w:widowControl w:val="0"/>
        <w:autoSpaceDE w:val="0"/>
        <w:autoSpaceDN w:val="0"/>
        <w:spacing w:before="175" w:after="0" w:line="240" w:lineRule="auto"/>
        <w:ind w:left="142" w:right="263"/>
        <w:jc w:val="left"/>
        <w:rPr>
          <w:rFonts w:eastAsia="Arial"/>
          <w:b/>
          <w:bCs/>
          <w:sz w:val="20"/>
          <w:szCs w:val="20"/>
          <w:lang w:val="en-US" w:bidi="en-US"/>
        </w:rPr>
      </w:pPr>
      <w:r w:rsidRPr="00C03A6A">
        <w:rPr>
          <w:rFonts w:eastAsia="Arial"/>
          <w:b/>
          <w:sz w:val="20"/>
          <w:szCs w:val="20"/>
          <w:lang w:val="en-US" w:bidi="en-US"/>
        </w:rPr>
        <w:t>Surfing</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World Professional Men’s and Women’s Tour Events</w:t>
      </w:r>
    </w:p>
    <w:p w:rsidR="00C03A6A" w:rsidRPr="00C03A6A" w:rsidRDefault="00C03A6A" w:rsidP="00C03A6A">
      <w:pPr>
        <w:spacing w:after="0" w:line="240" w:lineRule="auto"/>
        <w:jc w:val="left"/>
        <w:rPr>
          <w:rFonts w:eastAsia="Arial"/>
          <w:b/>
          <w:sz w:val="20"/>
          <w:szCs w:val="20"/>
          <w:lang w:val="en-US" w:bidi="en-US"/>
        </w:rPr>
      </w:pPr>
      <w:r w:rsidRPr="00C03A6A">
        <w:rPr>
          <w:rFonts w:eastAsia="Arial"/>
          <w:b/>
          <w:sz w:val="20"/>
          <w:szCs w:val="20"/>
          <w:lang w:val="en-US" w:bidi="en-US"/>
        </w:rPr>
        <w:br w:type="page"/>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lastRenderedPageBreak/>
        <w:t>Swimming</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Olympic Games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Commonwealth Games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FINA events</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Synchronised swimming</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Olympic Games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Commonwealth Games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FINA events</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Table Tennis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Olympic Games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Commonwealth Games</w:t>
      </w:r>
    </w:p>
    <w:p w:rsidR="00C03A6A" w:rsidRPr="00C03A6A" w:rsidRDefault="00C03A6A" w:rsidP="00C03A6A">
      <w:pPr>
        <w:widowControl w:val="0"/>
        <w:autoSpaceDE w:val="0"/>
        <w:autoSpaceDN w:val="0"/>
        <w:spacing w:before="175" w:after="0" w:line="240" w:lineRule="auto"/>
        <w:ind w:left="142" w:right="263"/>
        <w:jc w:val="left"/>
        <w:rPr>
          <w:rFonts w:eastAsia="Arial"/>
          <w:b/>
          <w:bCs/>
          <w:sz w:val="20"/>
          <w:szCs w:val="20"/>
          <w:lang w:val="en-US" w:bidi="en-US"/>
        </w:rPr>
      </w:pPr>
      <w:r w:rsidRPr="00C03A6A">
        <w:rPr>
          <w:rFonts w:eastAsia="Arial"/>
          <w:b/>
          <w:sz w:val="20"/>
          <w:szCs w:val="20"/>
          <w:lang w:val="en-US" w:bidi="en-US"/>
        </w:rPr>
        <w:t>Taekwondo</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Olympic Games</w:t>
      </w:r>
    </w:p>
    <w:p w:rsidR="00C03A6A" w:rsidRPr="00C03A6A" w:rsidRDefault="00C03A6A" w:rsidP="00C03A6A">
      <w:pPr>
        <w:widowControl w:val="0"/>
        <w:autoSpaceDE w:val="0"/>
        <w:autoSpaceDN w:val="0"/>
        <w:spacing w:before="175" w:after="0" w:line="240" w:lineRule="auto"/>
        <w:ind w:left="142" w:right="263"/>
        <w:jc w:val="left"/>
        <w:rPr>
          <w:rFonts w:eastAsia="Arial"/>
          <w:b/>
          <w:bCs/>
          <w:sz w:val="20"/>
          <w:szCs w:val="20"/>
          <w:lang w:val="en-US" w:bidi="en-US"/>
        </w:rPr>
      </w:pPr>
      <w:r w:rsidRPr="00C03A6A">
        <w:rPr>
          <w:rFonts w:eastAsia="Arial"/>
          <w:b/>
          <w:sz w:val="20"/>
          <w:szCs w:val="20"/>
          <w:lang w:val="en-US" w:bidi="en-US"/>
        </w:rPr>
        <w:t>Tennis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Grand Slam Tennis Events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Australian State Open Championships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Australian Indoor Championship</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RIO Challenge (SA)</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Davis Cup Events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Hopman Cup Events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Federation Cup Events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Special matches or tournaments sanctioned by Tennis Australia</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ITP Tour Events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Mercedes Super 9 events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Olympic Games</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Triathlon</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Grand Prix Series/Events (Men and Women)</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Iron Man and Woman</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Hawaiian Series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Olympic Games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Commonwealth Games</w:t>
      </w:r>
    </w:p>
    <w:p w:rsidR="00C03A6A" w:rsidRPr="00C03A6A" w:rsidRDefault="00C03A6A" w:rsidP="00C03A6A">
      <w:pPr>
        <w:spacing w:after="0" w:line="240" w:lineRule="auto"/>
        <w:jc w:val="left"/>
        <w:rPr>
          <w:rFonts w:eastAsia="Arial"/>
          <w:b/>
          <w:sz w:val="20"/>
          <w:szCs w:val="20"/>
          <w:lang w:val="en-US" w:bidi="en-US"/>
        </w:rPr>
      </w:pPr>
      <w:r w:rsidRPr="00C03A6A">
        <w:rPr>
          <w:rFonts w:eastAsia="Arial"/>
          <w:b/>
          <w:sz w:val="20"/>
          <w:szCs w:val="20"/>
          <w:lang w:val="en-US" w:bidi="en-US"/>
        </w:rPr>
        <w:br w:type="page"/>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lastRenderedPageBreak/>
        <w:t>Volleyball</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Olympic Games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Events sanctioned by the International Federation of Volleyball (FIVB) or affiliated international</w:t>
      </w:r>
      <w:r w:rsidRPr="00C03A6A">
        <w:rPr>
          <w:rFonts w:eastAsia="Arial"/>
          <w:sz w:val="20"/>
          <w:szCs w:val="20"/>
          <w:lang w:val="en-US" w:bidi="en-US"/>
        </w:rPr>
        <w:br/>
        <w:t>or national organisations.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Beach Volleyball Events sanctioned by FIVB or affiliated international or national organisations</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Water Polo</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Olympic Games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FINA events</w:t>
      </w:r>
    </w:p>
    <w:p w:rsidR="00C03A6A" w:rsidRPr="00C03A6A" w:rsidRDefault="00C03A6A" w:rsidP="00C03A6A">
      <w:pPr>
        <w:widowControl w:val="0"/>
        <w:autoSpaceDE w:val="0"/>
        <w:autoSpaceDN w:val="0"/>
        <w:spacing w:before="175" w:after="0" w:line="240" w:lineRule="auto"/>
        <w:ind w:left="142" w:right="263"/>
        <w:jc w:val="left"/>
        <w:rPr>
          <w:rFonts w:eastAsia="Arial"/>
          <w:b/>
          <w:bCs/>
          <w:sz w:val="20"/>
          <w:szCs w:val="20"/>
          <w:lang w:val="en-US" w:bidi="en-US"/>
        </w:rPr>
      </w:pPr>
      <w:r w:rsidRPr="00C03A6A">
        <w:rPr>
          <w:rFonts w:eastAsia="Arial"/>
          <w:b/>
          <w:sz w:val="20"/>
          <w:szCs w:val="20"/>
          <w:lang w:val="en-US" w:bidi="en-US"/>
        </w:rPr>
        <w:t>Weightlifting</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Olympic Games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Commonwealth Games</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World Tournaments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Commonwealth Games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Olympic Games</w:t>
      </w:r>
    </w:p>
    <w:p w:rsidR="00C03A6A" w:rsidRPr="00C03A6A" w:rsidRDefault="00C03A6A" w:rsidP="00C03A6A">
      <w:pPr>
        <w:widowControl w:val="0"/>
        <w:autoSpaceDE w:val="0"/>
        <w:autoSpaceDN w:val="0"/>
        <w:spacing w:before="175" w:after="0" w:line="240" w:lineRule="auto"/>
        <w:ind w:left="142" w:right="263"/>
        <w:jc w:val="left"/>
        <w:rPr>
          <w:rFonts w:eastAsia="Arial"/>
          <w:b/>
          <w:sz w:val="20"/>
          <w:szCs w:val="20"/>
          <w:lang w:val="en-US" w:bidi="en-US"/>
        </w:rPr>
      </w:pPr>
      <w:r w:rsidRPr="00C03A6A">
        <w:rPr>
          <w:rFonts w:eastAsia="Arial"/>
          <w:b/>
          <w:sz w:val="20"/>
          <w:szCs w:val="20"/>
          <w:lang w:val="en-US" w:bidi="en-US"/>
        </w:rPr>
        <w:t>Wrestling</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Olympic Games</w:t>
      </w:r>
    </w:p>
    <w:p w:rsidR="00C03A6A" w:rsidRPr="00C03A6A" w:rsidRDefault="00C03A6A" w:rsidP="00C03A6A">
      <w:pPr>
        <w:widowControl w:val="0"/>
        <w:autoSpaceDE w:val="0"/>
        <w:autoSpaceDN w:val="0"/>
        <w:spacing w:before="175" w:after="0" w:line="240" w:lineRule="auto"/>
        <w:ind w:left="142" w:right="263"/>
        <w:jc w:val="left"/>
        <w:rPr>
          <w:rFonts w:eastAsia="Arial"/>
          <w:b/>
          <w:bCs/>
          <w:sz w:val="20"/>
          <w:szCs w:val="20"/>
          <w:lang w:val="en-US" w:bidi="en-US"/>
        </w:rPr>
      </w:pPr>
      <w:r w:rsidRPr="00C03A6A">
        <w:rPr>
          <w:rFonts w:eastAsia="Arial"/>
          <w:b/>
          <w:sz w:val="20"/>
          <w:szCs w:val="20"/>
          <w:lang w:val="en-US" w:bidi="en-US"/>
        </w:rPr>
        <w:t>Yachting</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Sydney to Hobart</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America’s Cup Challenge Series and Finals</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Admiral’s Cup</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18 Foot Sailing</w:t>
      </w:r>
    </w:p>
    <w:p w:rsidR="00C03A6A" w:rsidRPr="00C03A6A" w:rsidRDefault="00C03A6A" w:rsidP="00C03A6A">
      <w:pPr>
        <w:widowControl w:val="0"/>
        <w:autoSpaceDE w:val="0"/>
        <w:autoSpaceDN w:val="0"/>
        <w:spacing w:before="175" w:after="0" w:line="240" w:lineRule="auto"/>
        <w:ind w:left="426" w:right="263"/>
        <w:jc w:val="left"/>
        <w:rPr>
          <w:rFonts w:eastAsia="Arial"/>
          <w:sz w:val="20"/>
          <w:szCs w:val="20"/>
          <w:lang w:val="en-US" w:bidi="en-US"/>
        </w:rPr>
      </w:pPr>
      <w:r w:rsidRPr="00C03A6A">
        <w:rPr>
          <w:rFonts w:eastAsia="Arial"/>
          <w:sz w:val="20"/>
          <w:szCs w:val="20"/>
          <w:lang w:val="en-US" w:bidi="en-US"/>
        </w:rPr>
        <w:t>Brisbane to Gladstone</w:t>
      </w:r>
    </w:p>
    <w:p w:rsidR="00C03A6A" w:rsidRPr="00C03A6A" w:rsidRDefault="00C03A6A" w:rsidP="00C03A6A">
      <w:pPr>
        <w:tabs>
          <w:tab w:val="left" w:pos="540"/>
        </w:tabs>
        <w:spacing w:before="240" w:line="240" w:lineRule="auto"/>
        <w:jc w:val="left"/>
        <w:rPr>
          <w:rFonts w:eastAsia="Times New Roman"/>
          <w:sz w:val="24"/>
          <w:szCs w:val="24"/>
          <w:lang w:eastAsia="en-AU"/>
        </w:rPr>
      </w:pPr>
      <w:r w:rsidRPr="00C03A6A">
        <w:rPr>
          <w:rFonts w:eastAsia="Times New Roman"/>
          <w:sz w:val="24"/>
          <w:szCs w:val="24"/>
          <w:lang w:eastAsia="en-AU"/>
        </w:rPr>
        <w:t>Dated: 15 December 2020</w:t>
      </w:r>
    </w:p>
    <w:p w:rsidR="00C03A6A" w:rsidRPr="00C03A6A" w:rsidRDefault="00C03A6A" w:rsidP="00C03A6A">
      <w:pPr>
        <w:tabs>
          <w:tab w:val="left" w:pos="540"/>
        </w:tabs>
        <w:spacing w:before="120" w:after="0" w:line="240" w:lineRule="auto"/>
        <w:jc w:val="right"/>
        <w:rPr>
          <w:rFonts w:eastAsia="Times New Roman"/>
          <w:b/>
          <w:sz w:val="24"/>
          <w:szCs w:val="24"/>
          <w:lang w:eastAsia="en-AU"/>
        </w:rPr>
      </w:pPr>
      <w:r w:rsidRPr="00C03A6A">
        <w:rPr>
          <w:rFonts w:eastAsia="Times New Roman"/>
          <w:b/>
          <w:sz w:val="24"/>
          <w:szCs w:val="24"/>
          <w:lang w:eastAsia="en-AU"/>
        </w:rPr>
        <w:t>Made by Dini Soulio</w:t>
      </w:r>
    </w:p>
    <w:p w:rsidR="00C03A6A" w:rsidRPr="00C03A6A" w:rsidRDefault="00C03A6A" w:rsidP="00C03A6A">
      <w:pPr>
        <w:tabs>
          <w:tab w:val="left" w:pos="540"/>
        </w:tabs>
        <w:spacing w:line="240" w:lineRule="auto"/>
        <w:jc w:val="right"/>
        <w:rPr>
          <w:rFonts w:eastAsia="Times New Roman"/>
          <w:sz w:val="24"/>
          <w:szCs w:val="24"/>
          <w:lang w:eastAsia="en-AU"/>
        </w:rPr>
      </w:pPr>
      <w:r w:rsidRPr="00C03A6A">
        <w:rPr>
          <w:rFonts w:eastAsia="Times New Roman"/>
          <w:sz w:val="24"/>
          <w:szCs w:val="24"/>
          <w:lang w:eastAsia="en-AU"/>
        </w:rPr>
        <w:t>Liquor and Gambling Commissioner</w:t>
      </w:r>
    </w:p>
    <w:p w:rsidR="00C03A6A" w:rsidRPr="00C03A6A" w:rsidRDefault="00C03A6A" w:rsidP="00C03A6A">
      <w:pPr>
        <w:pBdr>
          <w:bottom w:val="single" w:sz="4" w:space="1" w:color="auto"/>
        </w:pBdr>
        <w:spacing w:after="0" w:line="52" w:lineRule="exact"/>
        <w:jc w:val="center"/>
        <w:rPr>
          <w:rFonts w:eastAsia="Times New Roman"/>
          <w:sz w:val="24"/>
          <w:szCs w:val="24"/>
          <w:lang w:eastAsia="en-AU"/>
        </w:rPr>
      </w:pPr>
    </w:p>
    <w:p w:rsidR="00C03A6A" w:rsidRPr="00C03A6A" w:rsidRDefault="00C03A6A" w:rsidP="00C03A6A">
      <w:pPr>
        <w:pBdr>
          <w:top w:val="single" w:sz="4" w:space="1" w:color="auto"/>
        </w:pBdr>
        <w:spacing w:before="34" w:after="0" w:line="14" w:lineRule="exact"/>
        <w:jc w:val="center"/>
        <w:rPr>
          <w:rFonts w:eastAsia="Times New Roman"/>
          <w:sz w:val="24"/>
          <w:szCs w:val="24"/>
          <w:lang w:eastAsia="en-AU"/>
        </w:rPr>
      </w:pPr>
    </w:p>
    <w:p w:rsidR="00C03A6A" w:rsidRDefault="00C03A6A" w:rsidP="00C03A6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1607F2" w:rsidRDefault="001607F2">
      <w:pPr>
        <w:spacing w:after="0" w:line="240" w:lineRule="auto"/>
        <w:jc w:val="left"/>
        <w:rPr>
          <w:caps/>
          <w:szCs w:val="17"/>
        </w:rPr>
      </w:pPr>
      <w:r>
        <w:rPr>
          <w:caps/>
          <w:szCs w:val="17"/>
        </w:rPr>
        <w:br w:type="page"/>
      </w:r>
    </w:p>
    <w:p w:rsidR="001607F2" w:rsidRPr="001607F2" w:rsidRDefault="001607F2" w:rsidP="005549E6">
      <w:pPr>
        <w:pStyle w:val="Heading2"/>
      </w:pPr>
      <w:bookmarkStart w:id="109" w:name="_Toc59098948"/>
      <w:r w:rsidRPr="001607F2">
        <w:lastRenderedPageBreak/>
        <w:t>Development Act 1993</w:t>
      </w:r>
      <w:bookmarkEnd w:id="109"/>
    </w:p>
    <w:p w:rsidR="001607F2" w:rsidRPr="001607F2" w:rsidRDefault="001607F2" w:rsidP="001607F2">
      <w:pPr>
        <w:jc w:val="center"/>
        <w:rPr>
          <w:smallCaps/>
          <w:szCs w:val="17"/>
        </w:rPr>
      </w:pPr>
      <w:r w:rsidRPr="001607F2">
        <w:rPr>
          <w:smallCaps/>
          <w:szCs w:val="17"/>
        </w:rPr>
        <w:t>Section 46 (1)</w:t>
      </w:r>
    </w:p>
    <w:p w:rsidR="001607F2" w:rsidRPr="001607F2" w:rsidRDefault="001607F2" w:rsidP="001607F2">
      <w:pPr>
        <w:rPr>
          <w:rFonts w:eastAsia="Times New Roman"/>
          <w:i/>
          <w:szCs w:val="17"/>
        </w:rPr>
      </w:pPr>
      <w:r w:rsidRPr="001607F2">
        <w:rPr>
          <w:rFonts w:eastAsia="Times New Roman"/>
          <w:i/>
          <w:szCs w:val="17"/>
        </w:rPr>
        <w:t>Preamble</w:t>
      </w:r>
    </w:p>
    <w:p w:rsidR="001607F2" w:rsidRPr="001607F2" w:rsidRDefault="001607F2" w:rsidP="001607F2">
      <w:pPr>
        <w:rPr>
          <w:rFonts w:eastAsia="Times New Roman"/>
          <w:szCs w:val="17"/>
        </w:rPr>
      </w:pPr>
      <w:r w:rsidRPr="001607F2">
        <w:rPr>
          <w:rFonts w:eastAsia="Times New Roman"/>
          <w:szCs w:val="17"/>
        </w:rPr>
        <w:t xml:space="preserve">Subsection (1) of Section 46 of the </w:t>
      </w:r>
      <w:r w:rsidRPr="001607F2">
        <w:rPr>
          <w:rFonts w:eastAsia="Times New Roman"/>
          <w:i/>
          <w:szCs w:val="17"/>
        </w:rPr>
        <w:t>Development Act 1993</w:t>
      </w:r>
      <w:r w:rsidRPr="001607F2">
        <w:rPr>
          <w:rFonts w:eastAsia="Times New Roman"/>
          <w:szCs w:val="17"/>
        </w:rPr>
        <w:t xml:space="preserve"> allows the Minister for Planning and Local Government to apply section 46 to (among other things) a specified kind of development (either in the State generally, or in a specified part of the State) by making a declaration to that effect under the section if the Minister is of the opinion that such a declaration is appropriate or necessary for the proper assessment of development of major environmental, social or economic importance.</w:t>
      </w:r>
    </w:p>
    <w:p w:rsidR="001607F2" w:rsidRPr="001607F2" w:rsidRDefault="001607F2" w:rsidP="001607F2">
      <w:pPr>
        <w:jc w:val="center"/>
        <w:rPr>
          <w:smallCaps/>
          <w:szCs w:val="17"/>
        </w:rPr>
      </w:pPr>
      <w:r w:rsidRPr="001607F2">
        <w:rPr>
          <w:smallCaps/>
          <w:szCs w:val="17"/>
        </w:rPr>
        <w:t>Notice</w:t>
      </w:r>
    </w:p>
    <w:p w:rsidR="001607F2" w:rsidRPr="001607F2" w:rsidRDefault="001607F2" w:rsidP="001607F2">
      <w:pPr>
        <w:rPr>
          <w:rFonts w:eastAsia="Times New Roman"/>
          <w:szCs w:val="17"/>
        </w:rPr>
      </w:pPr>
      <w:r w:rsidRPr="001607F2">
        <w:rPr>
          <w:rFonts w:eastAsia="Times New Roman"/>
          <w:szCs w:val="17"/>
        </w:rPr>
        <w:t xml:space="preserve">PURSUANT to section 46 (1) of the </w:t>
      </w:r>
      <w:r w:rsidRPr="001607F2">
        <w:rPr>
          <w:rFonts w:eastAsia="Times New Roman"/>
          <w:i/>
          <w:szCs w:val="17"/>
        </w:rPr>
        <w:t>Development Act 1993</w:t>
      </w:r>
      <w:r w:rsidRPr="001607F2">
        <w:rPr>
          <w:rFonts w:eastAsia="Times New Roman"/>
          <w:szCs w:val="17"/>
        </w:rPr>
        <w:t>, being of the opinion that a declaration under section 46 is appropriate for the proper assessment of development of major environmental, social or economic importance, I declare that section 46 of the Act applies to all development of a kind specified in Schedule 1.</w:t>
      </w:r>
    </w:p>
    <w:p w:rsidR="001607F2" w:rsidRPr="001607F2" w:rsidRDefault="001607F2" w:rsidP="001607F2">
      <w:pPr>
        <w:pBdr>
          <w:top w:val="single" w:sz="4" w:space="1" w:color="auto"/>
        </w:pBdr>
        <w:spacing w:before="100" w:line="14" w:lineRule="exact"/>
        <w:ind w:left="1080" w:right="1080"/>
        <w:jc w:val="center"/>
        <w:rPr>
          <w:rFonts w:eastAsia="Times New Roman"/>
          <w:szCs w:val="17"/>
        </w:rPr>
      </w:pPr>
    </w:p>
    <w:p w:rsidR="001607F2" w:rsidRPr="001607F2" w:rsidRDefault="001607F2" w:rsidP="001607F2">
      <w:pPr>
        <w:jc w:val="center"/>
        <w:rPr>
          <w:smallCaps/>
          <w:szCs w:val="17"/>
        </w:rPr>
      </w:pPr>
      <w:r w:rsidRPr="001607F2">
        <w:rPr>
          <w:smallCaps/>
          <w:szCs w:val="17"/>
        </w:rPr>
        <w:t>Schedule 1</w:t>
      </w:r>
    </w:p>
    <w:p w:rsidR="001607F2" w:rsidRPr="001607F2" w:rsidRDefault="001607F2" w:rsidP="001607F2">
      <w:pPr>
        <w:rPr>
          <w:rFonts w:eastAsia="Times New Roman"/>
          <w:i/>
          <w:szCs w:val="17"/>
        </w:rPr>
      </w:pPr>
      <w:r w:rsidRPr="001607F2">
        <w:rPr>
          <w:rFonts w:eastAsia="Times New Roman"/>
          <w:i/>
          <w:szCs w:val="17"/>
        </w:rPr>
        <w:t>Specified Kinds of Development</w:t>
      </w:r>
    </w:p>
    <w:p w:rsidR="001607F2" w:rsidRPr="001607F2" w:rsidRDefault="001607F2" w:rsidP="001607F2">
      <w:pPr>
        <w:rPr>
          <w:rFonts w:eastAsia="Times New Roman"/>
          <w:szCs w:val="17"/>
        </w:rPr>
      </w:pPr>
      <w:r w:rsidRPr="001607F2">
        <w:rPr>
          <w:rFonts w:eastAsia="Times New Roman"/>
          <w:szCs w:val="17"/>
        </w:rPr>
        <w:t>Development for the purposes of establishing or operating a golf resort on the land specified in Schedule 2, including:</w:t>
      </w:r>
    </w:p>
    <w:p w:rsidR="001607F2" w:rsidRPr="001607F2" w:rsidRDefault="001607F2" w:rsidP="001607F2">
      <w:pPr>
        <w:ind w:left="426" w:hanging="284"/>
        <w:rPr>
          <w:rFonts w:eastAsia="Times New Roman"/>
          <w:szCs w:val="17"/>
        </w:rPr>
      </w:pPr>
      <w:r w:rsidRPr="001607F2">
        <w:rPr>
          <w:rFonts w:eastAsia="Times New Roman"/>
          <w:szCs w:val="17"/>
        </w:rPr>
        <w:t>(a)</w:t>
      </w:r>
      <w:r w:rsidRPr="001607F2">
        <w:rPr>
          <w:rFonts w:eastAsia="Times New Roman"/>
          <w:szCs w:val="17"/>
        </w:rPr>
        <w:tab/>
        <w:t>development associated with the construction or operation of any or all of:</w:t>
      </w:r>
    </w:p>
    <w:p w:rsidR="001607F2" w:rsidRPr="001607F2" w:rsidRDefault="001607F2" w:rsidP="001607F2">
      <w:pPr>
        <w:ind w:left="851" w:hanging="425"/>
        <w:rPr>
          <w:rFonts w:eastAsia="Times New Roman"/>
          <w:szCs w:val="17"/>
        </w:rPr>
      </w:pPr>
      <w:r w:rsidRPr="001607F2">
        <w:rPr>
          <w:rFonts w:eastAsia="Times New Roman"/>
          <w:szCs w:val="17"/>
        </w:rPr>
        <w:t>(i)</w:t>
      </w:r>
      <w:r w:rsidRPr="001607F2">
        <w:rPr>
          <w:rFonts w:eastAsia="Times New Roman"/>
          <w:szCs w:val="17"/>
        </w:rPr>
        <w:tab/>
        <w:t xml:space="preserve">tourist accommodation; </w:t>
      </w:r>
    </w:p>
    <w:p w:rsidR="001607F2" w:rsidRPr="001607F2" w:rsidRDefault="001607F2" w:rsidP="001607F2">
      <w:pPr>
        <w:ind w:left="851" w:hanging="425"/>
        <w:rPr>
          <w:rFonts w:eastAsia="Times New Roman"/>
          <w:szCs w:val="17"/>
        </w:rPr>
      </w:pPr>
      <w:r w:rsidRPr="001607F2">
        <w:rPr>
          <w:rFonts w:eastAsia="Times New Roman"/>
          <w:szCs w:val="17"/>
        </w:rPr>
        <w:t>(ii)</w:t>
      </w:r>
      <w:r w:rsidRPr="001607F2">
        <w:rPr>
          <w:rFonts w:eastAsia="Times New Roman"/>
          <w:szCs w:val="17"/>
        </w:rPr>
        <w:tab/>
        <w:t>cultural facilities;</w:t>
      </w:r>
    </w:p>
    <w:p w:rsidR="001607F2" w:rsidRPr="001607F2" w:rsidRDefault="001607F2" w:rsidP="001607F2">
      <w:pPr>
        <w:ind w:left="851" w:hanging="425"/>
        <w:rPr>
          <w:rFonts w:eastAsia="Times New Roman"/>
          <w:szCs w:val="17"/>
        </w:rPr>
      </w:pPr>
      <w:r w:rsidRPr="001607F2">
        <w:rPr>
          <w:rFonts w:eastAsia="Times New Roman"/>
          <w:szCs w:val="17"/>
        </w:rPr>
        <w:t>(iii)</w:t>
      </w:r>
      <w:r w:rsidRPr="001607F2">
        <w:rPr>
          <w:rFonts w:eastAsia="Times New Roman"/>
          <w:szCs w:val="17"/>
        </w:rPr>
        <w:tab/>
        <w:t>a spa and wellness centre;</w:t>
      </w:r>
    </w:p>
    <w:p w:rsidR="001607F2" w:rsidRPr="001607F2" w:rsidRDefault="001607F2" w:rsidP="001607F2">
      <w:pPr>
        <w:ind w:left="851" w:hanging="425"/>
        <w:rPr>
          <w:rFonts w:eastAsia="Times New Roman"/>
          <w:szCs w:val="17"/>
        </w:rPr>
      </w:pPr>
      <w:r w:rsidRPr="001607F2">
        <w:rPr>
          <w:rFonts w:eastAsia="Times New Roman"/>
          <w:szCs w:val="17"/>
        </w:rPr>
        <w:t>(iv)</w:t>
      </w:r>
      <w:r w:rsidRPr="001607F2">
        <w:rPr>
          <w:rFonts w:eastAsia="Times New Roman"/>
          <w:szCs w:val="17"/>
        </w:rPr>
        <w:tab/>
        <w:t xml:space="preserve">restaurants; </w:t>
      </w:r>
    </w:p>
    <w:p w:rsidR="001607F2" w:rsidRPr="001607F2" w:rsidRDefault="001607F2" w:rsidP="001607F2">
      <w:pPr>
        <w:ind w:left="851" w:hanging="425"/>
        <w:rPr>
          <w:rFonts w:eastAsia="Times New Roman"/>
          <w:szCs w:val="17"/>
        </w:rPr>
      </w:pPr>
      <w:r w:rsidRPr="001607F2">
        <w:rPr>
          <w:rFonts w:eastAsia="Times New Roman"/>
          <w:szCs w:val="17"/>
        </w:rPr>
        <w:t>(v)</w:t>
      </w:r>
      <w:r w:rsidRPr="001607F2">
        <w:rPr>
          <w:rFonts w:eastAsia="Times New Roman"/>
          <w:szCs w:val="17"/>
        </w:rPr>
        <w:tab/>
        <w:t>an organic farm;</w:t>
      </w:r>
    </w:p>
    <w:p w:rsidR="001607F2" w:rsidRPr="001607F2" w:rsidRDefault="001607F2" w:rsidP="001607F2">
      <w:pPr>
        <w:ind w:left="851" w:hanging="425"/>
        <w:rPr>
          <w:rFonts w:eastAsia="Times New Roman"/>
          <w:szCs w:val="17"/>
        </w:rPr>
      </w:pPr>
      <w:r w:rsidRPr="001607F2">
        <w:rPr>
          <w:rFonts w:eastAsia="Times New Roman"/>
          <w:szCs w:val="17"/>
        </w:rPr>
        <w:t>(vi)</w:t>
      </w:r>
      <w:r w:rsidRPr="001607F2">
        <w:rPr>
          <w:rFonts w:eastAsia="Times New Roman"/>
          <w:szCs w:val="17"/>
        </w:rPr>
        <w:tab/>
        <w:t>an adventure park;</w:t>
      </w:r>
    </w:p>
    <w:p w:rsidR="001607F2" w:rsidRPr="001607F2" w:rsidRDefault="001607F2" w:rsidP="001607F2">
      <w:pPr>
        <w:ind w:left="851" w:hanging="425"/>
        <w:rPr>
          <w:rFonts w:eastAsia="Times New Roman"/>
          <w:szCs w:val="17"/>
        </w:rPr>
      </w:pPr>
      <w:r w:rsidRPr="001607F2">
        <w:rPr>
          <w:rFonts w:eastAsia="Times New Roman"/>
          <w:szCs w:val="17"/>
        </w:rPr>
        <w:t>(vii)</w:t>
      </w:r>
      <w:r w:rsidRPr="001607F2">
        <w:rPr>
          <w:rFonts w:eastAsia="Times New Roman"/>
          <w:szCs w:val="17"/>
        </w:rPr>
        <w:tab/>
        <w:t>botanic gardens; and</w:t>
      </w:r>
    </w:p>
    <w:p w:rsidR="001607F2" w:rsidRPr="001607F2" w:rsidRDefault="001607F2" w:rsidP="001607F2">
      <w:pPr>
        <w:ind w:left="851" w:hanging="425"/>
        <w:rPr>
          <w:rFonts w:eastAsia="Times New Roman"/>
          <w:szCs w:val="17"/>
        </w:rPr>
      </w:pPr>
      <w:r w:rsidRPr="001607F2">
        <w:rPr>
          <w:rFonts w:eastAsia="Times New Roman"/>
          <w:szCs w:val="17"/>
        </w:rPr>
        <w:t>(viii)</w:t>
      </w:r>
      <w:r w:rsidRPr="001607F2">
        <w:rPr>
          <w:rFonts w:eastAsia="Times New Roman"/>
          <w:szCs w:val="17"/>
        </w:rPr>
        <w:tab/>
        <w:t xml:space="preserve">an outdoor entertainment and event space;  </w:t>
      </w:r>
    </w:p>
    <w:p w:rsidR="001607F2" w:rsidRPr="001607F2" w:rsidRDefault="001607F2" w:rsidP="001607F2">
      <w:pPr>
        <w:ind w:left="426" w:hanging="284"/>
        <w:rPr>
          <w:rFonts w:eastAsia="Times New Roman"/>
          <w:szCs w:val="17"/>
        </w:rPr>
      </w:pPr>
      <w:r w:rsidRPr="001607F2">
        <w:rPr>
          <w:rFonts w:eastAsia="Times New Roman"/>
          <w:szCs w:val="17"/>
        </w:rPr>
        <w:t>(b)</w:t>
      </w:r>
      <w:r w:rsidRPr="001607F2">
        <w:rPr>
          <w:rFonts w:eastAsia="Times New Roman"/>
          <w:szCs w:val="17"/>
        </w:rPr>
        <w:tab/>
        <w:t>development associated with the redevelopment and improvement of the existing golf course;</w:t>
      </w:r>
    </w:p>
    <w:p w:rsidR="001607F2" w:rsidRPr="001607F2" w:rsidRDefault="001607F2" w:rsidP="001607F2">
      <w:pPr>
        <w:ind w:left="426" w:hanging="284"/>
        <w:rPr>
          <w:rFonts w:eastAsia="Times New Roman"/>
          <w:szCs w:val="17"/>
        </w:rPr>
      </w:pPr>
      <w:r w:rsidRPr="001607F2">
        <w:rPr>
          <w:rFonts w:eastAsia="Times New Roman"/>
          <w:szCs w:val="17"/>
        </w:rPr>
        <w:t>(c)</w:t>
      </w:r>
      <w:r w:rsidRPr="001607F2">
        <w:rPr>
          <w:rFonts w:eastAsia="Times New Roman"/>
          <w:szCs w:val="17"/>
        </w:rPr>
        <w:tab/>
        <w:t>development associated with any change in the use of land associated with any development within the ambit of the preceding paragraphs;</w:t>
      </w:r>
    </w:p>
    <w:p w:rsidR="001607F2" w:rsidRPr="001607F2" w:rsidRDefault="001607F2" w:rsidP="001607F2">
      <w:pPr>
        <w:ind w:left="426" w:hanging="284"/>
        <w:rPr>
          <w:rFonts w:eastAsia="Times New Roman"/>
          <w:szCs w:val="17"/>
        </w:rPr>
      </w:pPr>
      <w:r w:rsidRPr="001607F2">
        <w:rPr>
          <w:rFonts w:eastAsia="Times New Roman"/>
          <w:szCs w:val="17"/>
        </w:rPr>
        <w:t>(d)</w:t>
      </w:r>
      <w:r w:rsidRPr="001607F2">
        <w:rPr>
          <w:rFonts w:eastAsia="Times New Roman"/>
          <w:szCs w:val="17"/>
        </w:rPr>
        <w:tab/>
        <w:t>development (including development undertaken on land in the State other than the land specified in Schedule 2) associated with the construction, installation or provision of any or all of the following infrastructure, facilities and services:</w:t>
      </w:r>
    </w:p>
    <w:p w:rsidR="001607F2" w:rsidRPr="001607F2" w:rsidRDefault="001607F2" w:rsidP="001607F2">
      <w:pPr>
        <w:ind w:left="851" w:hanging="425"/>
        <w:rPr>
          <w:rFonts w:eastAsia="Times New Roman"/>
          <w:szCs w:val="17"/>
        </w:rPr>
      </w:pPr>
      <w:r w:rsidRPr="001607F2">
        <w:rPr>
          <w:rFonts w:eastAsia="Times New Roman"/>
          <w:szCs w:val="17"/>
        </w:rPr>
        <w:t>(i)</w:t>
      </w:r>
      <w:r w:rsidRPr="001607F2">
        <w:rPr>
          <w:rFonts w:eastAsia="Times New Roman"/>
          <w:szCs w:val="17"/>
        </w:rPr>
        <w:tab/>
        <w:t>roads;</w:t>
      </w:r>
    </w:p>
    <w:p w:rsidR="001607F2" w:rsidRPr="001607F2" w:rsidRDefault="001607F2" w:rsidP="001607F2">
      <w:pPr>
        <w:ind w:left="851" w:hanging="425"/>
        <w:rPr>
          <w:rFonts w:eastAsia="Times New Roman"/>
          <w:szCs w:val="17"/>
        </w:rPr>
      </w:pPr>
      <w:r w:rsidRPr="001607F2">
        <w:rPr>
          <w:rFonts w:eastAsia="Times New Roman"/>
          <w:szCs w:val="17"/>
        </w:rPr>
        <w:t>(ii)</w:t>
      </w:r>
      <w:r w:rsidRPr="001607F2">
        <w:rPr>
          <w:rFonts w:eastAsia="Times New Roman"/>
          <w:szCs w:val="17"/>
        </w:rPr>
        <w:tab/>
        <w:t>parking;</w:t>
      </w:r>
    </w:p>
    <w:p w:rsidR="001607F2" w:rsidRPr="001607F2" w:rsidRDefault="001607F2" w:rsidP="001607F2">
      <w:pPr>
        <w:ind w:left="851" w:hanging="425"/>
        <w:rPr>
          <w:rFonts w:eastAsia="Times New Roman"/>
          <w:szCs w:val="17"/>
        </w:rPr>
      </w:pPr>
      <w:r w:rsidRPr="001607F2">
        <w:rPr>
          <w:rFonts w:eastAsia="Times New Roman"/>
          <w:szCs w:val="17"/>
        </w:rPr>
        <w:t>(iii)</w:t>
      </w:r>
      <w:r w:rsidRPr="001607F2">
        <w:rPr>
          <w:rFonts w:eastAsia="Times New Roman"/>
          <w:szCs w:val="17"/>
        </w:rPr>
        <w:tab/>
        <w:t>stormwater;</w:t>
      </w:r>
    </w:p>
    <w:p w:rsidR="001607F2" w:rsidRPr="001607F2" w:rsidRDefault="001607F2" w:rsidP="001607F2">
      <w:pPr>
        <w:ind w:left="851" w:hanging="425"/>
        <w:rPr>
          <w:rFonts w:eastAsia="Times New Roman"/>
          <w:szCs w:val="17"/>
        </w:rPr>
      </w:pPr>
      <w:r w:rsidRPr="001607F2">
        <w:rPr>
          <w:rFonts w:eastAsia="Times New Roman"/>
          <w:szCs w:val="17"/>
        </w:rPr>
        <w:t>(iv)</w:t>
      </w:r>
      <w:r w:rsidRPr="001607F2">
        <w:rPr>
          <w:rFonts w:eastAsia="Times New Roman"/>
          <w:szCs w:val="17"/>
        </w:rPr>
        <w:tab/>
        <w:t>water supply;</w:t>
      </w:r>
    </w:p>
    <w:p w:rsidR="001607F2" w:rsidRPr="001607F2" w:rsidRDefault="001607F2" w:rsidP="001607F2">
      <w:pPr>
        <w:ind w:left="851" w:hanging="425"/>
        <w:rPr>
          <w:rFonts w:eastAsia="Times New Roman"/>
          <w:szCs w:val="17"/>
        </w:rPr>
      </w:pPr>
      <w:r w:rsidRPr="001607F2">
        <w:rPr>
          <w:rFonts w:eastAsia="Times New Roman"/>
          <w:szCs w:val="17"/>
        </w:rPr>
        <w:t>(v)</w:t>
      </w:r>
      <w:r w:rsidRPr="001607F2">
        <w:rPr>
          <w:rFonts w:eastAsia="Times New Roman"/>
          <w:szCs w:val="17"/>
        </w:rPr>
        <w:tab/>
        <w:t>power supply;</w:t>
      </w:r>
    </w:p>
    <w:p w:rsidR="001607F2" w:rsidRPr="001607F2" w:rsidRDefault="001607F2" w:rsidP="001607F2">
      <w:pPr>
        <w:ind w:left="851" w:hanging="425"/>
        <w:rPr>
          <w:rFonts w:eastAsia="Times New Roman"/>
          <w:szCs w:val="17"/>
        </w:rPr>
      </w:pPr>
      <w:r w:rsidRPr="001607F2">
        <w:rPr>
          <w:rFonts w:eastAsia="Times New Roman"/>
          <w:szCs w:val="17"/>
        </w:rPr>
        <w:t>(vi)</w:t>
      </w:r>
      <w:r w:rsidRPr="001607F2">
        <w:rPr>
          <w:rFonts w:eastAsia="Times New Roman"/>
          <w:szCs w:val="17"/>
        </w:rPr>
        <w:tab/>
        <w:t>telecommunications; and</w:t>
      </w:r>
    </w:p>
    <w:p w:rsidR="001607F2" w:rsidRPr="001607F2" w:rsidRDefault="001607F2" w:rsidP="001607F2">
      <w:pPr>
        <w:ind w:left="851" w:hanging="425"/>
        <w:rPr>
          <w:rFonts w:eastAsia="Times New Roman"/>
          <w:szCs w:val="17"/>
        </w:rPr>
      </w:pPr>
      <w:r w:rsidRPr="001607F2">
        <w:rPr>
          <w:rFonts w:eastAsia="Times New Roman"/>
          <w:szCs w:val="17"/>
        </w:rPr>
        <w:t>(vii)</w:t>
      </w:r>
      <w:r w:rsidRPr="001607F2">
        <w:rPr>
          <w:rFonts w:eastAsia="Times New Roman"/>
          <w:szCs w:val="17"/>
        </w:rPr>
        <w:tab/>
        <w:t>effluent treatment or disposal,</w:t>
      </w:r>
    </w:p>
    <w:p w:rsidR="001607F2" w:rsidRPr="001607F2" w:rsidRDefault="001607F2" w:rsidP="001607F2">
      <w:pPr>
        <w:ind w:left="426"/>
        <w:rPr>
          <w:rFonts w:eastAsia="Times New Roman"/>
          <w:szCs w:val="17"/>
        </w:rPr>
      </w:pPr>
      <w:r w:rsidRPr="001607F2">
        <w:rPr>
          <w:rFonts w:eastAsia="Times New Roman"/>
          <w:szCs w:val="17"/>
        </w:rPr>
        <w:t>in each case, associated with any development within the ambit of the preceding paragraphs;</w:t>
      </w:r>
    </w:p>
    <w:p w:rsidR="001607F2" w:rsidRPr="001607F2" w:rsidRDefault="001607F2" w:rsidP="001607F2">
      <w:pPr>
        <w:ind w:left="426" w:hanging="284"/>
        <w:rPr>
          <w:rFonts w:eastAsia="Times New Roman"/>
          <w:szCs w:val="17"/>
        </w:rPr>
      </w:pPr>
      <w:r w:rsidRPr="001607F2">
        <w:rPr>
          <w:rFonts w:eastAsia="Times New Roman"/>
          <w:szCs w:val="17"/>
        </w:rPr>
        <w:t>(e)</w:t>
      </w:r>
      <w:r w:rsidRPr="001607F2">
        <w:rPr>
          <w:rFonts w:eastAsia="Times New Roman"/>
          <w:szCs w:val="17"/>
        </w:rPr>
        <w:tab/>
        <w:t>development (including development undertaken on land in the State other than the land specified in Schedule 2) associated with any excavation or filling of land associated with any development within the ambit of the preceding paragraphs;</w:t>
      </w:r>
    </w:p>
    <w:p w:rsidR="001607F2" w:rsidRPr="001607F2" w:rsidRDefault="001607F2" w:rsidP="001607F2">
      <w:pPr>
        <w:ind w:left="426" w:hanging="284"/>
        <w:rPr>
          <w:rFonts w:eastAsia="Times New Roman"/>
          <w:szCs w:val="17"/>
        </w:rPr>
      </w:pPr>
      <w:r w:rsidRPr="001607F2">
        <w:rPr>
          <w:rFonts w:eastAsia="Times New Roman"/>
          <w:szCs w:val="17"/>
        </w:rPr>
        <w:t>(f)</w:t>
      </w:r>
      <w:r w:rsidRPr="001607F2">
        <w:rPr>
          <w:rFonts w:eastAsia="Times New Roman"/>
          <w:szCs w:val="17"/>
        </w:rPr>
        <w:tab/>
        <w:t>development (including development undertaken on land in the State other than the land specified in Schedule 2) associated with the division of land associated with any development within the ambit of the preceding paragraphs; and</w:t>
      </w:r>
    </w:p>
    <w:p w:rsidR="001607F2" w:rsidRPr="001607F2" w:rsidRDefault="001607F2" w:rsidP="001607F2">
      <w:pPr>
        <w:ind w:left="426" w:hanging="284"/>
        <w:rPr>
          <w:rFonts w:eastAsia="Times New Roman"/>
          <w:szCs w:val="17"/>
        </w:rPr>
      </w:pPr>
      <w:r w:rsidRPr="001607F2">
        <w:rPr>
          <w:rFonts w:eastAsia="Times New Roman"/>
          <w:szCs w:val="17"/>
        </w:rPr>
        <w:t>(g)</w:t>
      </w:r>
      <w:r w:rsidRPr="001607F2">
        <w:rPr>
          <w:rFonts w:eastAsia="Times New Roman"/>
          <w:szCs w:val="17"/>
        </w:rPr>
        <w:tab/>
        <w:t>any related or ancillary development (including development undertaken on land in the State other than the land specified in Schedule 2) associated with any development within the ambit of the preceding paragraphs,</w:t>
      </w:r>
    </w:p>
    <w:p w:rsidR="001607F2" w:rsidRPr="001607F2" w:rsidRDefault="001607F2" w:rsidP="001607F2">
      <w:pPr>
        <w:rPr>
          <w:rFonts w:eastAsia="Times New Roman"/>
          <w:szCs w:val="17"/>
        </w:rPr>
      </w:pPr>
      <w:r w:rsidRPr="001607F2">
        <w:rPr>
          <w:rFonts w:eastAsia="Times New Roman"/>
          <w:szCs w:val="17"/>
        </w:rPr>
        <w:t>but excluding development associated with:</w:t>
      </w:r>
    </w:p>
    <w:p w:rsidR="001607F2" w:rsidRPr="001607F2" w:rsidRDefault="001607F2" w:rsidP="001607F2">
      <w:pPr>
        <w:ind w:left="426" w:hanging="284"/>
        <w:rPr>
          <w:rFonts w:eastAsia="Times New Roman"/>
          <w:szCs w:val="17"/>
        </w:rPr>
      </w:pPr>
      <w:r w:rsidRPr="001607F2">
        <w:rPr>
          <w:rFonts w:eastAsia="Times New Roman"/>
          <w:szCs w:val="17"/>
        </w:rPr>
        <w:t>(h)</w:t>
      </w:r>
      <w:r w:rsidRPr="001607F2">
        <w:rPr>
          <w:rFonts w:eastAsia="Times New Roman"/>
          <w:szCs w:val="17"/>
        </w:rPr>
        <w:tab/>
        <w:t>repairs or maintenance; and</w:t>
      </w:r>
    </w:p>
    <w:p w:rsidR="001607F2" w:rsidRPr="001607F2" w:rsidRDefault="001607F2" w:rsidP="001607F2">
      <w:pPr>
        <w:ind w:left="426" w:hanging="284"/>
        <w:rPr>
          <w:rFonts w:eastAsia="Times New Roman"/>
          <w:szCs w:val="17"/>
        </w:rPr>
      </w:pPr>
      <w:r w:rsidRPr="001607F2">
        <w:rPr>
          <w:rFonts w:eastAsia="Times New Roman"/>
          <w:szCs w:val="17"/>
        </w:rPr>
        <w:t>(i)</w:t>
      </w:r>
      <w:r w:rsidRPr="001607F2">
        <w:rPr>
          <w:rFonts w:eastAsia="Times New Roman"/>
          <w:szCs w:val="17"/>
        </w:rPr>
        <w:tab/>
        <w:t>surveying work, including construction of survey markers.</w:t>
      </w:r>
    </w:p>
    <w:p w:rsidR="001607F2" w:rsidRPr="001607F2" w:rsidRDefault="001607F2" w:rsidP="001607F2">
      <w:pPr>
        <w:jc w:val="center"/>
        <w:rPr>
          <w:smallCaps/>
          <w:szCs w:val="17"/>
        </w:rPr>
      </w:pPr>
      <w:r w:rsidRPr="001607F2">
        <w:rPr>
          <w:smallCaps/>
          <w:szCs w:val="17"/>
        </w:rPr>
        <w:t>Schedule 2</w:t>
      </w:r>
    </w:p>
    <w:p w:rsidR="001607F2" w:rsidRPr="001607F2" w:rsidRDefault="001607F2" w:rsidP="001607F2">
      <w:pPr>
        <w:rPr>
          <w:rFonts w:eastAsia="Times New Roman"/>
          <w:i/>
          <w:szCs w:val="17"/>
        </w:rPr>
      </w:pPr>
      <w:r w:rsidRPr="001607F2">
        <w:rPr>
          <w:rFonts w:eastAsia="Times New Roman"/>
          <w:i/>
          <w:szCs w:val="17"/>
        </w:rPr>
        <w:t>Specified Part of the State</w:t>
      </w:r>
    </w:p>
    <w:p w:rsidR="001607F2" w:rsidRPr="001607F2" w:rsidRDefault="001607F2" w:rsidP="001607F2">
      <w:pPr>
        <w:rPr>
          <w:rFonts w:eastAsia="Times New Roman"/>
          <w:szCs w:val="17"/>
        </w:rPr>
      </w:pPr>
      <w:r w:rsidRPr="001607F2">
        <w:rPr>
          <w:rFonts w:eastAsia="Times New Roman"/>
          <w:szCs w:val="17"/>
        </w:rPr>
        <w:t>The whole of the land comprised in Certificate of Title Volume 5891 Folio 805 (allotment 53 in Deposited Plan 59212), as shown on the plan contained in Schedule 3.</w:t>
      </w:r>
    </w:p>
    <w:p w:rsidR="001607F2" w:rsidRPr="001607F2" w:rsidRDefault="001607F2" w:rsidP="001607F2">
      <w:pPr>
        <w:spacing w:after="0" w:line="240" w:lineRule="auto"/>
        <w:jc w:val="left"/>
        <w:rPr>
          <w:rFonts w:ascii="CG Times (W1)" w:eastAsia="Times New Roman" w:hAnsi="CG Times (W1)"/>
          <w:szCs w:val="17"/>
        </w:rPr>
      </w:pPr>
      <w:r w:rsidRPr="001607F2">
        <w:rPr>
          <w:rFonts w:ascii="CG Times (W1)" w:eastAsia="Times New Roman" w:hAnsi="CG Times (W1)"/>
          <w:szCs w:val="20"/>
        </w:rPr>
        <w:br w:type="page"/>
      </w:r>
    </w:p>
    <w:p w:rsidR="001607F2" w:rsidRPr="001607F2" w:rsidRDefault="001607F2" w:rsidP="001607F2">
      <w:pPr>
        <w:jc w:val="center"/>
        <w:rPr>
          <w:smallCaps/>
          <w:szCs w:val="17"/>
        </w:rPr>
      </w:pPr>
      <w:r w:rsidRPr="001607F2">
        <w:rPr>
          <w:smallCaps/>
          <w:noProof/>
          <w:szCs w:val="17"/>
          <w:lang w:eastAsia="en-AU"/>
        </w:rPr>
        <w:lastRenderedPageBreak/>
        <w:drawing>
          <wp:anchor distT="0" distB="0" distL="114300" distR="114300" simplePos="0" relativeHeight="251663872" behindDoc="0" locked="0" layoutInCell="1" allowOverlap="1" wp14:anchorId="264B1088" wp14:editId="28C60A93">
            <wp:simplePos x="0" y="0"/>
            <wp:positionH relativeFrom="margin">
              <wp:posOffset>105410</wp:posOffset>
            </wp:positionH>
            <wp:positionV relativeFrom="margin">
              <wp:posOffset>135428</wp:posOffset>
            </wp:positionV>
            <wp:extent cx="5724525" cy="5652135"/>
            <wp:effectExtent l="0" t="0" r="9525" b="5715"/>
            <wp:wrapTopAndBottom/>
            <wp:docPr id="5" name="Picture 5" descr="MountLoftyGolf_Gazette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untLoftyGolf_GazetteV2"/>
                    <pic:cNvPicPr>
                      <a:picLocks noChangeAspect="1" noChangeArrowheads="1"/>
                    </pic:cNvPicPr>
                  </pic:nvPicPr>
                  <pic:blipFill rotWithShape="1">
                    <a:blip r:embed="rId89">
                      <a:extLst>
                        <a:ext uri="{28A0092B-C50C-407E-A947-70E740481C1C}">
                          <a14:useLocalDpi xmlns:a14="http://schemas.microsoft.com/office/drawing/2010/main" val="0"/>
                        </a:ext>
                      </a:extLst>
                    </a:blip>
                    <a:srcRect t="1258"/>
                    <a:stretch/>
                  </pic:blipFill>
                  <pic:spPr bwMode="auto">
                    <a:xfrm>
                      <a:off x="0" y="0"/>
                      <a:ext cx="5724525" cy="5652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07F2">
        <w:rPr>
          <w:smallCaps/>
          <w:szCs w:val="17"/>
        </w:rPr>
        <w:t>Schedule 3</w:t>
      </w:r>
    </w:p>
    <w:p w:rsidR="001607F2" w:rsidRPr="001607F2" w:rsidRDefault="001607F2" w:rsidP="001607F2">
      <w:pPr>
        <w:spacing w:after="0"/>
        <w:rPr>
          <w:rFonts w:eastAsia="Times New Roman"/>
          <w:szCs w:val="17"/>
        </w:rPr>
      </w:pPr>
      <w:r w:rsidRPr="001607F2">
        <w:rPr>
          <w:rFonts w:eastAsia="Times New Roman"/>
          <w:szCs w:val="17"/>
        </w:rPr>
        <w:t>Dated: 15 December 2020</w:t>
      </w:r>
    </w:p>
    <w:p w:rsidR="001607F2" w:rsidRPr="001607F2" w:rsidRDefault="001607F2" w:rsidP="001607F2">
      <w:pPr>
        <w:spacing w:after="0"/>
        <w:jc w:val="right"/>
        <w:rPr>
          <w:rFonts w:eastAsia="Times New Roman"/>
          <w:smallCaps/>
          <w:szCs w:val="20"/>
        </w:rPr>
      </w:pPr>
      <w:r w:rsidRPr="001607F2">
        <w:rPr>
          <w:rFonts w:eastAsia="Times New Roman"/>
          <w:smallCaps/>
          <w:szCs w:val="20"/>
        </w:rPr>
        <w:t>Hon Vickie Chapman MP</w:t>
      </w:r>
    </w:p>
    <w:p w:rsidR="001607F2" w:rsidRPr="001607F2" w:rsidRDefault="001607F2" w:rsidP="001607F2">
      <w:pPr>
        <w:spacing w:after="0"/>
        <w:jc w:val="right"/>
        <w:rPr>
          <w:rFonts w:eastAsia="Times New Roman"/>
          <w:szCs w:val="17"/>
        </w:rPr>
      </w:pPr>
      <w:r w:rsidRPr="001607F2">
        <w:rPr>
          <w:rFonts w:eastAsia="Times New Roman"/>
          <w:szCs w:val="17"/>
        </w:rPr>
        <w:t>Minister for Planning and Local Government</w:t>
      </w:r>
    </w:p>
    <w:p w:rsidR="001607F2" w:rsidRPr="001607F2" w:rsidRDefault="001607F2" w:rsidP="001607F2">
      <w:pPr>
        <w:pBdr>
          <w:bottom w:val="single" w:sz="4" w:space="1" w:color="auto"/>
        </w:pBdr>
        <w:spacing w:after="0" w:line="52" w:lineRule="exact"/>
        <w:jc w:val="center"/>
        <w:rPr>
          <w:rFonts w:ascii="CG Times (W1)" w:eastAsia="Times New Roman" w:hAnsi="CG Times (W1)"/>
          <w:szCs w:val="17"/>
        </w:rPr>
      </w:pPr>
    </w:p>
    <w:p w:rsidR="001607F2" w:rsidRPr="001607F2" w:rsidRDefault="001607F2" w:rsidP="001607F2">
      <w:pPr>
        <w:pBdr>
          <w:top w:val="single" w:sz="4" w:space="1" w:color="auto"/>
        </w:pBdr>
        <w:spacing w:before="34" w:after="0" w:line="14" w:lineRule="exact"/>
        <w:jc w:val="center"/>
        <w:rPr>
          <w:rFonts w:ascii="CG Times (W1)" w:eastAsia="Times New Roman" w:hAnsi="CG Times (W1)"/>
          <w:szCs w:val="17"/>
        </w:rPr>
      </w:pPr>
    </w:p>
    <w:p w:rsidR="001607F2" w:rsidRPr="001607F2" w:rsidRDefault="001607F2" w:rsidP="001607F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CG Times (W1)" w:eastAsia="Times New Roman" w:hAnsi="CG Times (W1)"/>
          <w:szCs w:val="17"/>
        </w:rPr>
      </w:pPr>
    </w:p>
    <w:p w:rsidR="002527A8" w:rsidRPr="004E007F" w:rsidRDefault="002527A8" w:rsidP="005549E6">
      <w:pPr>
        <w:pStyle w:val="Heading2"/>
      </w:pPr>
      <w:bookmarkStart w:id="110" w:name="_Toc59098949"/>
      <w:r w:rsidRPr="004E007F">
        <w:t>Fisheries Management Act 2007</w:t>
      </w:r>
      <w:bookmarkEnd w:id="110"/>
    </w:p>
    <w:p w:rsidR="002527A8" w:rsidRPr="004E007F" w:rsidRDefault="002527A8" w:rsidP="002527A8">
      <w:pPr>
        <w:jc w:val="center"/>
        <w:rPr>
          <w:smallCaps/>
          <w:szCs w:val="17"/>
        </w:rPr>
      </w:pPr>
      <w:r w:rsidRPr="004E007F">
        <w:rPr>
          <w:smallCaps/>
          <w:szCs w:val="17"/>
        </w:rPr>
        <w:t>Section 115</w:t>
      </w:r>
    </w:p>
    <w:p w:rsidR="002527A8" w:rsidRPr="004E007F" w:rsidRDefault="002527A8" w:rsidP="002527A8">
      <w:pPr>
        <w:pStyle w:val="GG-Title3"/>
      </w:pPr>
      <w:r w:rsidRPr="004E007F">
        <w:t>Ministerial Exemption: ME9903119</w:t>
      </w:r>
    </w:p>
    <w:p w:rsidR="002527A8" w:rsidRPr="004E007F" w:rsidRDefault="002527A8" w:rsidP="002527A8">
      <w:pPr>
        <w:rPr>
          <w:rFonts w:eastAsia="Times New Roman"/>
          <w:szCs w:val="17"/>
        </w:rPr>
      </w:pPr>
      <w:r w:rsidRPr="004E007F">
        <w:rPr>
          <w:rFonts w:eastAsia="Times New Roman"/>
          <w:szCs w:val="17"/>
        </w:rPr>
        <w:t xml:space="preserve">TAKE NOTICE that pursuant to Section 115 of the </w:t>
      </w:r>
      <w:r w:rsidRPr="004E007F">
        <w:rPr>
          <w:rFonts w:eastAsia="Times New Roman"/>
          <w:i/>
          <w:szCs w:val="17"/>
        </w:rPr>
        <w:t>Fisheries Management Act 2007</w:t>
      </w:r>
      <w:r w:rsidRPr="004E007F">
        <w:rPr>
          <w:rFonts w:eastAsia="Times New Roman"/>
          <w:szCs w:val="17"/>
        </w:rPr>
        <w:t xml:space="preserve">, Qiaz Hua Qian Hui of the University of Adelaide, North Terrace Campus, Adelaide SA 5005 (the ‘exemption holder’), is exempt from section 70 of the </w:t>
      </w:r>
      <w:r w:rsidRPr="004E007F">
        <w:rPr>
          <w:rFonts w:eastAsia="Times New Roman"/>
          <w:i/>
          <w:szCs w:val="17"/>
        </w:rPr>
        <w:t>Fisheries Management Act 2007</w:t>
      </w:r>
      <w:r w:rsidRPr="004E007F">
        <w:rPr>
          <w:rFonts w:eastAsia="Times New Roman"/>
          <w:szCs w:val="17"/>
        </w:rPr>
        <w:t xml:space="preserve">, and regulation 5 and clause 74 of Schedule 6 of the </w:t>
      </w:r>
      <w:r w:rsidRPr="004E007F">
        <w:rPr>
          <w:rFonts w:eastAsia="Times New Roman"/>
          <w:i/>
          <w:szCs w:val="17"/>
        </w:rPr>
        <w:t>Fisheries Management (General) Regulations 2017</w:t>
      </w:r>
      <w:r w:rsidRPr="004E007F">
        <w:rPr>
          <w:rFonts w:eastAsia="Times New Roman"/>
          <w:szCs w:val="17"/>
        </w:rPr>
        <w:t xml:space="preserve"> but only insofar as the exemption holder shall not be guilty of an offence when collecting Octopus species (</w:t>
      </w:r>
      <w:r w:rsidRPr="004E007F">
        <w:rPr>
          <w:rFonts w:eastAsia="Times New Roman"/>
          <w:i/>
          <w:szCs w:val="17"/>
        </w:rPr>
        <w:t>Octopus berrima</w:t>
      </w:r>
      <w:r w:rsidRPr="004E007F">
        <w:rPr>
          <w:rFonts w:eastAsia="Times New Roman"/>
          <w:szCs w:val="17"/>
        </w:rPr>
        <w:t xml:space="preserve"> and </w:t>
      </w:r>
      <w:r w:rsidRPr="004E007F">
        <w:rPr>
          <w:rFonts w:eastAsia="Times New Roman"/>
          <w:i/>
          <w:szCs w:val="17"/>
        </w:rPr>
        <w:t>Octopus pallidus</w:t>
      </w:r>
      <w:r w:rsidRPr="004E007F">
        <w:rPr>
          <w:rFonts w:eastAsia="Times New Roman"/>
          <w:szCs w:val="17"/>
        </w:rPr>
        <w:t>) from the waters specified in Schedule 1, using the gear specified in Schedule 2, subject to the conditions specified in Schedule 3, from 11 December 2020 until 10 December 2021, unless varied or revoked earlier.</w:t>
      </w:r>
    </w:p>
    <w:p w:rsidR="002527A8" w:rsidRPr="004E007F" w:rsidRDefault="002527A8" w:rsidP="002527A8">
      <w:pPr>
        <w:jc w:val="center"/>
        <w:rPr>
          <w:smallCaps/>
          <w:szCs w:val="17"/>
        </w:rPr>
      </w:pPr>
      <w:r w:rsidRPr="004E007F">
        <w:rPr>
          <w:smallCaps/>
          <w:szCs w:val="17"/>
        </w:rPr>
        <w:t>Schedule 1</w:t>
      </w:r>
    </w:p>
    <w:p w:rsidR="002527A8" w:rsidRPr="004E007F" w:rsidRDefault="002527A8" w:rsidP="002527A8">
      <w:pPr>
        <w:rPr>
          <w:rFonts w:eastAsia="Times New Roman"/>
          <w:szCs w:val="17"/>
        </w:rPr>
      </w:pPr>
      <w:r w:rsidRPr="004E007F">
        <w:rPr>
          <w:rFonts w:eastAsia="Times New Roman"/>
          <w:szCs w:val="17"/>
        </w:rPr>
        <w:t xml:space="preserve">Coastal waters within South Australian Marine Fishing Areas 34, 35, 36, 40B, 40C, 42, 43, 44A, 44B and 45 that are greater than 2 m in depth excluding any sanctuary or restricted access zone of a marine park (unless otherwise authorised under the </w:t>
      </w:r>
      <w:r w:rsidRPr="004E007F">
        <w:rPr>
          <w:rFonts w:eastAsia="Times New Roman"/>
          <w:i/>
          <w:szCs w:val="17"/>
        </w:rPr>
        <w:t>Marine Parks Act 2007</w:t>
      </w:r>
      <w:r w:rsidRPr="004E007F">
        <w:rPr>
          <w:rFonts w:eastAsia="Times New Roman"/>
          <w:szCs w:val="17"/>
        </w:rPr>
        <w:t>) or an Aquatic Reserve.</w:t>
      </w:r>
    </w:p>
    <w:p w:rsidR="002527A8" w:rsidRPr="004E007F" w:rsidRDefault="002527A8" w:rsidP="002527A8">
      <w:pPr>
        <w:jc w:val="center"/>
        <w:rPr>
          <w:smallCaps/>
          <w:szCs w:val="17"/>
        </w:rPr>
      </w:pPr>
      <w:r w:rsidRPr="004E007F">
        <w:rPr>
          <w:smallCaps/>
          <w:szCs w:val="17"/>
        </w:rPr>
        <w:t>Schedule 2</w:t>
      </w:r>
    </w:p>
    <w:p w:rsidR="002527A8" w:rsidRPr="004E007F" w:rsidRDefault="002527A8" w:rsidP="002527A8">
      <w:pPr>
        <w:rPr>
          <w:rFonts w:eastAsia="Times New Roman"/>
          <w:szCs w:val="17"/>
        </w:rPr>
      </w:pPr>
      <w:r w:rsidRPr="004E007F">
        <w:rPr>
          <w:rFonts w:eastAsia="Times New Roman"/>
          <w:szCs w:val="17"/>
        </w:rPr>
        <w:t>Specified gear that may be used to undertake the exempted activity include:</w:t>
      </w:r>
    </w:p>
    <w:p w:rsidR="002527A8" w:rsidRPr="004E007F" w:rsidRDefault="002527A8" w:rsidP="002527A8">
      <w:pPr>
        <w:ind w:left="426" w:hanging="142"/>
        <w:rPr>
          <w:rFonts w:eastAsia="Times New Roman"/>
          <w:szCs w:val="17"/>
        </w:rPr>
      </w:pPr>
      <w:r w:rsidRPr="004E007F">
        <w:rPr>
          <w:rFonts w:eastAsia="Times New Roman"/>
          <w:szCs w:val="17"/>
        </w:rPr>
        <w:t>•</w:t>
      </w:r>
      <w:r w:rsidRPr="004E007F">
        <w:rPr>
          <w:rFonts w:eastAsia="Times New Roman"/>
          <w:szCs w:val="17"/>
        </w:rPr>
        <w:tab/>
        <w:t>180 x octopus pots—open-ended plastic tubes (30cm L x 10cm H x 10cm W).</w:t>
      </w:r>
    </w:p>
    <w:p w:rsidR="00D04E71" w:rsidRDefault="00D04E71">
      <w:pPr>
        <w:spacing w:after="0" w:line="240" w:lineRule="auto"/>
        <w:jc w:val="left"/>
        <w:rPr>
          <w:smallCaps/>
          <w:szCs w:val="17"/>
        </w:rPr>
      </w:pPr>
      <w:r>
        <w:rPr>
          <w:smallCaps/>
          <w:szCs w:val="17"/>
        </w:rPr>
        <w:br w:type="page"/>
      </w:r>
    </w:p>
    <w:p w:rsidR="002527A8" w:rsidRPr="004E007F" w:rsidRDefault="002527A8" w:rsidP="002527A8">
      <w:pPr>
        <w:jc w:val="center"/>
        <w:rPr>
          <w:smallCaps/>
          <w:szCs w:val="17"/>
        </w:rPr>
      </w:pPr>
      <w:r w:rsidRPr="004E007F">
        <w:rPr>
          <w:smallCaps/>
          <w:szCs w:val="17"/>
        </w:rPr>
        <w:lastRenderedPageBreak/>
        <w:t>Schedule 3</w:t>
      </w:r>
    </w:p>
    <w:p w:rsidR="002527A8" w:rsidRPr="004E007F" w:rsidRDefault="002527A8" w:rsidP="002527A8">
      <w:pPr>
        <w:ind w:left="284" w:hanging="284"/>
        <w:rPr>
          <w:rFonts w:eastAsia="Times New Roman"/>
          <w:szCs w:val="17"/>
        </w:rPr>
      </w:pPr>
      <w:r w:rsidRPr="004E007F">
        <w:rPr>
          <w:rFonts w:eastAsia="Times New Roman"/>
          <w:szCs w:val="17"/>
        </w:rPr>
        <w:t>1.</w:t>
      </w:r>
      <w:r w:rsidRPr="004E007F">
        <w:rPr>
          <w:rFonts w:eastAsia="Times New Roman"/>
          <w:szCs w:val="17"/>
        </w:rPr>
        <w:tab/>
        <w:t>The specimens collected by the exemption holder are to be used for scientific purposes only and must not be sold.</w:t>
      </w:r>
    </w:p>
    <w:p w:rsidR="002527A8" w:rsidRPr="004E007F" w:rsidRDefault="002527A8" w:rsidP="002527A8">
      <w:pPr>
        <w:ind w:left="284" w:hanging="284"/>
        <w:rPr>
          <w:rFonts w:eastAsia="Times New Roman"/>
          <w:szCs w:val="17"/>
        </w:rPr>
      </w:pPr>
      <w:r w:rsidRPr="004E007F">
        <w:rPr>
          <w:rFonts w:eastAsia="Times New Roman"/>
          <w:szCs w:val="17"/>
        </w:rPr>
        <w:t>2.</w:t>
      </w:r>
      <w:r w:rsidRPr="004E007F">
        <w:rPr>
          <w:rFonts w:eastAsia="Times New Roman"/>
          <w:szCs w:val="17"/>
        </w:rPr>
        <w:tab/>
        <w:t>The exempted activity must be undertaken in a manner that ensures minimal disturbance of habitat.</w:t>
      </w:r>
    </w:p>
    <w:p w:rsidR="002527A8" w:rsidRPr="004E007F" w:rsidRDefault="002527A8" w:rsidP="002527A8">
      <w:pPr>
        <w:ind w:left="284" w:hanging="284"/>
        <w:rPr>
          <w:rFonts w:eastAsia="Times New Roman"/>
          <w:szCs w:val="17"/>
        </w:rPr>
      </w:pPr>
      <w:r w:rsidRPr="004E007F">
        <w:rPr>
          <w:rFonts w:eastAsia="Times New Roman"/>
          <w:szCs w:val="17"/>
        </w:rPr>
        <w:t>3.</w:t>
      </w:r>
      <w:r w:rsidRPr="004E007F">
        <w:rPr>
          <w:rFonts w:eastAsia="Times New Roman"/>
          <w:szCs w:val="17"/>
        </w:rPr>
        <w:tab/>
        <w:t>Subject to conditions 4 and 5, any unwanted specimens must be returned to the water immediately in the location where they were extracted.</w:t>
      </w:r>
    </w:p>
    <w:p w:rsidR="002527A8" w:rsidRPr="004E007F" w:rsidRDefault="002527A8" w:rsidP="002527A8">
      <w:pPr>
        <w:ind w:left="284" w:hanging="284"/>
        <w:rPr>
          <w:rFonts w:eastAsia="Times New Roman"/>
          <w:szCs w:val="17"/>
        </w:rPr>
      </w:pPr>
      <w:r w:rsidRPr="004E007F">
        <w:rPr>
          <w:rFonts w:eastAsia="Times New Roman"/>
          <w:szCs w:val="17"/>
        </w:rPr>
        <w:t>4.</w:t>
      </w:r>
      <w:r w:rsidRPr="004E007F">
        <w:rPr>
          <w:rFonts w:eastAsia="Times New Roman"/>
          <w:szCs w:val="17"/>
        </w:rPr>
        <w:tab/>
        <w:t xml:space="preserve">A maximum of 80 </w:t>
      </w:r>
      <w:r w:rsidRPr="004E007F">
        <w:rPr>
          <w:rFonts w:eastAsia="Times New Roman"/>
          <w:i/>
          <w:szCs w:val="17"/>
        </w:rPr>
        <w:t>Octopus berrima</w:t>
      </w:r>
      <w:r w:rsidRPr="004E007F">
        <w:rPr>
          <w:rFonts w:eastAsia="Times New Roman"/>
          <w:szCs w:val="17"/>
        </w:rPr>
        <w:t xml:space="preserve"> (≤300g) and 80 Octopus pallidus (≤350g) may be captured under this exemption for the purpose of tissue sampling. All specimens must be returned to the water where they were caught as soon as practicable once tissue sampling is complete.</w:t>
      </w:r>
    </w:p>
    <w:p w:rsidR="002527A8" w:rsidRPr="004E007F" w:rsidRDefault="002527A8" w:rsidP="002527A8">
      <w:pPr>
        <w:ind w:left="284" w:hanging="284"/>
        <w:rPr>
          <w:rFonts w:eastAsia="Times New Roman"/>
          <w:szCs w:val="17"/>
        </w:rPr>
      </w:pPr>
      <w:r w:rsidRPr="004E007F">
        <w:rPr>
          <w:rFonts w:eastAsia="Times New Roman"/>
          <w:szCs w:val="17"/>
        </w:rPr>
        <w:t>5.</w:t>
      </w:r>
      <w:r w:rsidRPr="004E007F">
        <w:rPr>
          <w:rFonts w:eastAsia="Times New Roman"/>
          <w:szCs w:val="17"/>
        </w:rPr>
        <w:tab/>
        <w:t xml:space="preserve">A maximum of 20 </w:t>
      </w:r>
      <w:r w:rsidRPr="004E007F">
        <w:rPr>
          <w:rFonts w:eastAsia="Times New Roman"/>
          <w:i/>
          <w:szCs w:val="17"/>
        </w:rPr>
        <w:t>Octopus berrima</w:t>
      </w:r>
      <w:r w:rsidRPr="004E007F">
        <w:rPr>
          <w:rFonts w:eastAsia="Times New Roman"/>
          <w:szCs w:val="17"/>
        </w:rPr>
        <w:t xml:space="preserve"> female adults (≤300g) with eggs may be retained under this exemption for the purpose of research. These specimens must not be returned to the waters of the State.</w:t>
      </w:r>
    </w:p>
    <w:p w:rsidR="002527A8" w:rsidRPr="004E007F" w:rsidRDefault="002527A8" w:rsidP="002527A8">
      <w:pPr>
        <w:ind w:left="284" w:hanging="284"/>
        <w:rPr>
          <w:rFonts w:eastAsia="Times New Roman"/>
          <w:szCs w:val="17"/>
        </w:rPr>
      </w:pPr>
      <w:r w:rsidRPr="004E007F">
        <w:rPr>
          <w:rFonts w:eastAsia="Times New Roman"/>
          <w:szCs w:val="17"/>
        </w:rPr>
        <w:t>6.</w:t>
      </w:r>
      <w:r w:rsidRPr="004E007F">
        <w:rPr>
          <w:rFonts w:eastAsia="Times New Roman"/>
          <w:szCs w:val="17"/>
        </w:rPr>
        <w:tab/>
        <w:t>Any protected species or by-catch incidentally taken while undertaking the exempted activity must be returned to the water immediately, unencumbered.</w:t>
      </w:r>
    </w:p>
    <w:p w:rsidR="002527A8" w:rsidRPr="004E007F" w:rsidRDefault="002527A8" w:rsidP="002527A8">
      <w:pPr>
        <w:ind w:left="284" w:hanging="284"/>
        <w:rPr>
          <w:rFonts w:eastAsia="Times New Roman"/>
          <w:szCs w:val="17"/>
        </w:rPr>
      </w:pPr>
      <w:r w:rsidRPr="004E007F">
        <w:rPr>
          <w:rFonts w:eastAsia="Times New Roman"/>
          <w:szCs w:val="17"/>
        </w:rPr>
        <w:t>7.</w:t>
      </w:r>
      <w:r w:rsidRPr="004E007F">
        <w:rPr>
          <w:rFonts w:eastAsia="Times New Roman"/>
          <w:szCs w:val="17"/>
        </w:rPr>
        <w:tab/>
        <w:t>All octopus traps used pursuant to this exemption must be attached to a line with the terminal end(s) of that line clearly marked with a float and identification tag clearly displaying the exemption number, the exemption holder’s name and contact details.</w:t>
      </w:r>
    </w:p>
    <w:p w:rsidR="002527A8" w:rsidRPr="004E007F" w:rsidRDefault="002527A8" w:rsidP="002527A8">
      <w:pPr>
        <w:ind w:left="284" w:hanging="284"/>
        <w:rPr>
          <w:rFonts w:eastAsia="Times New Roman"/>
          <w:szCs w:val="17"/>
        </w:rPr>
      </w:pPr>
      <w:r w:rsidRPr="004E007F">
        <w:rPr>
          <w:rFonts w:eastAsia="Times New Roman"/>
          <w:szCs w:val="17"/>
        </w:rPr>
        <w:t>8.</w:t>
      </w:r>
      <w:r w:rsidRPr="004E007F">
        <w:rPr>
          <w:rFonts w:eastAsia="Times New Roman"/>
          <w:szCs w:val="17"/>
        </w:rPr>
        <w:tab/>
        <w:t>The exemption holder or a person acting as an agent must notify the Department of Primary Industries and Regions (PIRSA) Fishwatch on 1800 065 522 at least two hours prior to conducting the exempted activity and answer a series of questions about the exempted activity. The exemption holder will need to have a copy of the exemption notice at the time of making the call, and be able to provide information about the area and time of the exempted activity, the vehicles and boats involved, the number of persons undertaking the exempted activity and other related questions.</w:t>
      </w:r>
    </w:p>
    <w:p w:rsidR="002527A8" w:rsidRPr="004E007F" w:rsidRDefault="002527A8" w:rsidP="002527A8">
      <w:pPr>
        <w:ind w:left="284" w:hanging="284"/>
        <w:rPr>
          <w:rFonts w:eastAsia="Times New Roman"/>
          <w:szCs w:val="17"/>
        </w:rPr>
      </w:pPr>
      <w:r w:rsidRPr="004E007F">
        <w:rPr>
          <w:rFonts w:eastAsia="Times New Roman"/>
          <w:szCs w:val="17"/>
        </w:rPr>
        <w:t>9.</w:t>
      </w:r>
      <w:r w:rsidRPr="004E007F">
        <w:rPr>
          <w:rFonts w:eastAsia="Times New Roman"/>
          <w:szCs w:val="17"/>
        </w:rPr>
        <w:tab/>
        <w:t>Within 14 days of the collection of organisms pursuant to this notice, the exemption holder must provide a report in writing to PIRSA Fisheries and Aquaculture, (GPO Box 1625, ADELAIDE SA 5001), providing summary details of activities undertaken pursuant to this notice including the quantity of any species taken, location and time of the collection. If no collection has occurred at the end of the exemption period, the exemption holder must provide a report in writing to that effect to PIRSA within 14 days of the expiry of the permit.</w:t>
      </w:r>
    </w:p>
    <w:p w:rsidR="002527A8" w:rsidRPr="004E007F" w:rsidRDefault="002527A8" w:rsidP="002527A8">
      <w:pPr>
        <w:ind w:left="284" w:hanging="284"/>
        <w:rPr>
          <w:rFonts w:eastAsia="Times New Roman"/>
          <w:szCs w:val="17"/>
        </w:rPr>
      </w:pPr>
      <w:r w:rsidRPr="004E007F">
        <w:rPr>
          <w:rFonts w:eastAsia="Times New Roman"/>
          <w:szCs w:val="17"/>
        </w:rPr>
        <w:t>10.</w:t>
      </w:r>
      <w:r w:rsidRPr="004E007F">
        <w:rPr>
          <w:rFonts w:eastAsia="Times New Roman"/>
          <w:szCs w:val="17"/>
        </w:rPr>
        <w:tab/>
        <w:t>While engaged in the exempted activity the exemption holder or agent must be in possession of a copy of this notice and be able to produce it to a PIRSA Fisheries Officer if requested.</w:t>
      </w:r>
    </w:p>
    <w:p w:rsidR="002527A8" w:rsidRPr="004E007F" w:rsidRDefault="002527A8" w:rsidP="002527A8">
      <w:pPr>
        <w:ind w:left="284" w:hanging="284"/>
        <w:rPr>
          <w:rFonts w:eastAsia="Times New Roman"/>
          <w:szCs w:val="17"/>
        </w:rPr>
      </w:pPr>
      <w:r w:rsidRPr="004E007F">
        <w:rPr>
          <w:rFonts w:eastAsia="Times New Roman"/>
          <w:szCs w:val="17"/>
        </w:rPr>
        <w:t>11.</w:t>
      </w:r>
      <w:r w:rsidRPr="004E007F">
        <w:rPr>
          <w:rFonts w:eastAsia="Times New Roman"/>
          <w:szCs w:val="17"/>
        </w:rPr>
        <w:tab/>
        <w:t xml:space="preserve">The exemption holder must not contravene or fail to comply with the </w:t>
      </w:r>
      <w:r w:rsidRPr="004E007F">
        <w:rPr>
          <w:rFonts w:eastAsia="Times New Roman"/>
          <w:i/>
          <w:szCs w:val="17"/>
        </w:rPr>
        <w:t>Fisheries Management Act 2007</w:t>
      </w:r>
      <w:r w:rsidRPr="004E007F">
        <w:rPr>
          <w:rFonts w:eastAsia="Times New Roman"/>
          <w:szCs w:val="17"/>
        </w:rPr>
        <w:t xml:space="preserve"> or any regulations made under that Act, except where specifically exempted by this notice.</w:t>
      </w:r>
    </w:p>
    <w:p w:rsidR="002527A8" w:rsidRPr="004E007F" w:rsidRDefault="002527A8" w:rsidP="002527A8">
      <w:pPr>
        <w:spacing w:after="0"/>
        <w:rPr>
          <w:rFonts w:eastAsia="Times New Roman"/>
          <w:szCs w:val="17"/>
        </w:rPr>
      </w:pPr>
      <w:r w:rsidRPr="004E007F">
        <w:rPr>
          <w:rFonts w:eastAsia="Times New Roman"/>
          <w:szCs w:val="17"/>
        </w:rPr>
        <w:t>Dated: 11 December 2020</w:t>
      </w:r>
    </w:p>
    <w:p w:rsidR="002527A8" w:rsidRPr="004E007F" w:rsidRDefault="002527A8" w:rsidP="002527A8">
      <w:pPr>
        <w:spacing w:after="0"/>
        <w:jc w:val="right"/>
        <w:rPr>
          <w:rFonts w:eastAsia="Times New Roman"/>
          <w:smallCaps/>
          <w:szCs w:val="20"/>
        </w:rPr>
      </w:pPr>
      <w:r w:rsidRPr="004E007F">
        <w:rPr>
          <w:rFonts w:eastAsia="Times New Roman"/>
          <w:smallCaps/>
          <w:szCs w:val="20"/>
        </w:rPr>
        <w:t>Prof Gavin Begg</w:t>
      </w:r>
    </w:p>
    <w:p w:rsidR="002527A8" w:rsidRPr="004E007F" w:rsidRDefault="002527A8" w:rsidP="002527A8">
      <w:pPr>
        <w:spacing w:after="0"/>
        <w:jc w:val="right"/>
        <w:rPr>
          <w:rFonts w:eastAsia="Times New Roman"/>
          <w:szCs w:val="17"/>
        </w:rPr>
      </w:pPr>
      <w:r w:rsidRPr="004E007F">
        <w:rPr>
          <w:rFonts w:eastAsia="Times New Roman"/>
          <w:szCs w:val="17"/>
        </w:rPr>
        <w:t>Executive Director, Fisheries and Aquaculture</w:t>
      </w:r>
    </w:p>
    <w:p w:rsidR="002527A8" w:rsidRPr="004E007F" w:rsidRDefault="002527A8" w:rsidP="002527A8">
      <w:pPr>
        <w:spacing w:after="0"/>
        <w:jc w:val="right"/>
        <w:rPr>
          <w:rFonts w:eastAsia="Times New Roman"/>
          <w:szCs w:val="17"/>
        </w:rPr>
      </w:pPr>
      <w:r w:rsidRPr="004E007F">
        <w:rPr>
          <w:rFonts w:eastAsia="Times New Roman"/>
          <w:szCs w:val="17"/>
        </w:rPr>
        <w:t>Delegate of the Minister for Primary Industries and Regional Development</w:t>
      </w:r>
    </w:p>
    <w:p w:rsidR="002527A8" w:rsidRPr="004E007F" w:rsidRDefault="002527A8" w:rsidP="002527A8">
      <w:pPr>
        <w:pBdr>
          <w:top w:val="single" w:sz="4" w:space="1" w:color="auto"/>
        </w:pBdr>
        <w:spacing w:before="100" w:after="0" w:line="14" w:lineRule="exact"/>
        <w:jc w:val="center"/>
        <w:rPr>
          <w:rFonts w:eastAsia="Times New Roman"/>
          <w:szCs w:val="17"/>
        </w:rPr>
      </w:pPr>
    </w:p>
    <w:p w:rsidR="002527A8" w:rsidRPr="004E007F" w:rsidRDefault="002527A8" w:rsidP="002527A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2527A8" w:rsidRPr="004E007F" w:rsidRDefault="002527A8" w:rsidP="002527A8">
      <w:pPr>
        <w:jc w:val="center"/>
        <w:rPr>
          <w:caps/>
          <w:szCs w:val="17"/>
        </w:rPr>
      </w:pPr>
      <w:r w:rsidRPr="004E007F">
        <w:rPr>
          <w:caps/>
          <w:szCs w:val="17"/>
        </w:rPr>
        <w:t>Fisheries Management Act 2007</w:t>
      </w:r>
    </w:p>
    <w:p w:rsidR="002527A8" w:rsidRPr="004E007F" w:rsidRDefault="002527A8" w:rsidP="002527A8">
      <w:pPr>
        <w:jc w:val="center"/>
        <w:rPr>
          <w:smallCaps/>
          <w:szCs w:val="17"/>
        </w:rPr>
      </w:pPr>
      <w:r w:rsidRPr="004E007F">
        <w:rPr>
          <w:smallCaps/>
          <w:szCs w:val="17"/>
        </w:rPr>
        <w:t>Section 115</w:t>
      </w:r>
    </w:p>
    <w:p w:rsidR="002527A8" w:rsidRPr="004E007F" w:rsidRDefault="002527A8" w:rsidP="002527A8">
      <w:pPr>
        <w:pStyle w:val="GG-Title3"/>
      </w:pPr>
      <w:r w:rsidRPr="004E007F">
        <w:t>Ministerial Exemption: ME9903137</w:t>
      </w:r>
    </w:p>
    <w:p w:rsidR="002527A8" w:rsidRPr="004E007F" w:rsidRDefault="002527A8" w:rsidP="002527A8">
      <w:pPr>
        <w:rPr>
          <w:rFonts w:eastAsia="Times New Roman"/>
          <w:szCs w:val="17"/>
        </w:rPr>
      </w:pPr>
      <w:r w:rsidRPr="004E007F">
        <w:rPr>
          <w:rFonts w:eastAsia="Times New Roman"/>
          <w:szCs w:val="17"/>
        </w:rPr>
        <w:t xml:space="preserve">TAKE NOTICE that pursuant to section 115 of the </w:t>
      </w:r>
      <w:r w:rsidRPr="004E007F">
        <w:rPr>
          <w:rFonts w:eastAsia="Times New Roman"/>
          <w:i/>
          <w:szCs w:val="17"/>
        </w:rPr>
        <w:t>Fisheries Management Act 2007</w:t>
      </w:r>
      <w:r w:rsidRPr="004E007F">
        <w:rPr>
          <w:rFonts w:eastAsia="Times New Roman"/>
          <w:szCs w:val="17"/>
        </w:rPr>
        <w:t xml:space="preserve"> (the Act), Ms Leslie Morrison (the ‘exemption holder’) Animal Facilities Coordinator, Flinders University, Sturt Rd, Bedford Park or her agents, are exempt from Section 70 of the </w:t>
      </w:r>
      <w:r w:rsidRPr="004E007F">
        <w:rPr>
          <w:rFonts w:eastAsia="Times New Roman"/>
          <w:i/>
          <w:szCs w:val="17"/>
        </w:rPr>
        <w:t>Fisheries Management Act 2007</w:t>
      </w:r>
      <w:r w:rsidRPr="004E007F">
        <w:rPr>
          <w:rFonts w:eastAsia="Times New Roman"/>
          <w:szCs w:val="17"/>
        </w:rPr>
        <w:t xml:space="preserve">, Regulation 5 and Clauses 39, 63, 74, 96, 97 and 113(1)(a) of Schedule 6 of the </w:t>
      </w:r>
      <w:r w:rsidRPr="004E007F">
        <w:rPr>
          <w:rFonts w:eastAsia="Times New Roman"/>
          <w:i/>
          <w:szCs w:val="17"/>
        </w:rPr>
        <w:t>Fisheries Management (General) Regulations 2017</w:t>
      </w:r>
      <w:r w:rsidRPr="004E007F">
        <w:rPr>
          <w:rFonts w:eastAsia="Times New Roman"/>
          <w:szCs w:val="17"/>
        </w:rPr>
        <w:t xml:space="preserve"> in the waters specified in Schedule 1 but only insofar as they are for the purposes of activities involved in the activities specified in Schedule 2, using the gear specified in Schedule 3, (the ‘exempted activity’), subject to the conditions specified in Schedule 4, from 14 December 2020 until 13 December 2021, unless varied or revoked earlier.</w:t>
      </w:r>
    </w:p>
    <w:p w:rsidR="002527A8" w:rsidRPr="004E007F" w:rsidRDefault="002527A8" w:rsidP="002527A8">
      <w:pPr>
        <w:jc w:val="center"/>
        <w:rPr>
          <w:smallCaps/>
          <w:szCs w:val="17"/>
        </w:rPr>
      </w:pPr>
      <w:r w:rsidRPr="004E007F">
        <w:rPr>
          <w:smallCaps/>
          <w:szCs w:val="17"/>
        </w:rPr>
        <w:t>Schedule 1</w:t>
      </w:r>
    </w:p>
    <w:p w:rsidR="002527A8" w:rsidRPr="004E007F" w:rsidRDefault="002527A8" w:rsidP="002527A8">
      <w:pPr>
        <w:rPr>
          <w:rFonts w:eastAsia="Times New Roman"/>
          <w:szCs w:val="17"/>
        </w:rPr>
      </w:pPr>
      <w:r w:rsidRPr="004E007F">
        <w:rPr>
          <w:rFonts w:eastAsia="Times New Roman"/>
          <w:szCs w:val="17"/>
        </w:rPr>
        <w:t xml:space="preserve">The waters of or near Coffin Bay excluding aquatic reserves (unless otherwise authorised under the Act) and marine parks (unless otherwise authorised under the </w:t>
      </w:r>
      <w:r w:rsidRPr="004E007F">
        <w:rPr>
          <w:rFonts w:eastAsia="Times New Roman"/>
          <w:i/>
          <w:szCs w:val="17"/>
        </w:rPr>
        <w:t>Marine Parks Act 2007</w:t>
      </w:r>
      <w:r w:rsidRPr="004E007F">
        <w:rPr>
          <w:rFonts w:eastAsia="Times New Roman"/>
          <w:szCs w:val="17"/>
        </w:rPr>
        <w:t xml:space="preserve">), other than Thorny Passage Marine Park as authorised under the </w:t>
      </w:r>
      <w:r w:rsidRPr="004E007F">
        <w:rPr>
          <w:rFonts w:eastAsia="Times New Roman"/>
          <w:i/>
          <w:szCs w:val="17"/>
        </w:rPr>
        <w:t>Marine Parks Act 2007</w:t>
      </w:r>
      <w:r w:rsidRPr="004E007F">
        <w:rPr>
          <w:rFonts w:eastAsia="Times New Roman"/>
          <w:szCs w:val="17"/>
        </w:rPr>
        <w:t>.</w:t>
      </w:r>
    </w:p>
    <w:p w:rsidR="002527A8" w:rsidRPr="004E007F" w:rsidRDefault="002527A8" w:rsidP="002527A8">
      <w:pPr>
        <w:rPr>
          <w:rFonts w:eastAsia="Times New Roman"/>
          <w:szCs w:val="17"/>
        </w:rPr>
      </w:pPr>
      <w:r w:rsidRPr="004E007F">
        <w:rPr>
          <w:rFonts w:eastAsia="Times New Roman"/>
          <w:szCs w:val="17"/>
        </w:rPr>
        <w:t>The waters of or near Coffin Bay are contained within and bounded by a line commencing at Mean High Water Springs closest to 34°25′44.84″ South, 135°12′22.73″ East (Point Sir Isaac), then easterly to the location on Mean High Water Springs closest to 34°25′06.25″ South, 135°21′31.65″ East (Frenchman Bluff), then beginning southerly following the line of Mean High Water Springs to the point of commencement.</w:t>
      </w:r>
    </w:p>
    <w:p w:rsidR="002527A8" w:rsidRPr="004E007F" w:rsidRDefault="002527A8" w:rsidP="002527A8">
      <w:pPr>
        <w:jc w:val="center"/>
        <w:rPr>
          <w:smallCaps/>
          <w:szCs w:val="17"/>
        </w:rPr>
      </w:pPr>
      <w:r w:rsidRPr="004E007F">
        <w:rPr>
          <w:smallCaps/>
          <w:szCs w:val="17"/>
        </w:rPr>
        <w:t>Schedule 2</w:t>
      </w:r>
    </w:p>
    <w:p w:rsidR="002527A8" w:rsidRPr="004E007F" w:rsidRDefault="002527A8" w:rsidP="002527A8">
      <w:pPr>
        <w:ind w:left="426" w:hanging="284"/>
        <w:rPr>
          <w:rFonts w:eastAsia="Times New Roman"/>
          <w:szCs w:val="17"/>
        </w:rPr>
      </w:pPr>
      <w:r w:rsidRPr="004E007F">
        <w:rPr>
          <w:rFonts w:eastAsia="Times New Roman"/>
          <w:szCs w:val="17"/>
        </w:rPr>
        <w:t>•</w:t>
      </w:r>
      <w:r w:rsidRPr="004E007F">
        <w:rPr>
          <w:rFonts w:eastAsia="Times New Roman"/>
          <w:szCs w:val="17"/>
        </w:rPr>
        <w:tab/>
      </w:r>
      <w:r w:rsidRPr="004E007F">
        <w:rPr>
          <w:rFonts w:eastAsia="Times New Roman"/>
          <w:spacing w:val="-2"/>
          <w:szCs w:val="17"/>
        </w:rPr>
        <w:t>Flinders University Research Project: Identifying spawning behaviour and movement patterns of Yellowtail Kingfish (</w:t>
      </w:r>
      <w:r w:rsidRPr="004E007F">
        <w:rPr>
          <w:rFonts w:eastAsia="Times New Roman"/>
          <w:i/>
          <w:spacing w:val="-2"/>
          <w:szCs w:val="17"/>
        </w:rPr>
        <w:t>Seriola lalandi</w:t>
      </w:r>
      <w:r w:rsidRPr="004E007F">
        <w:rPr>
          <w:rFonts w:eastAsia="Times New Roman"/>
          <w:spacing w:val="-2"/>
          <w:szCs w:val="17"/>
        </w:rPr>
        <w:t>) in South Australia</w:t>
      </w:r>
    </w:p>
    <w:p w:rsidR="002527A8" w:rsidRPr="004E007F" w:rsidRDefault="002527A8" w:rsidP="002527A8">
      <w:pPr>
        <w:jc w:val="center"/>
        <w:rPr>
          <w:smallCaps/>
          <w:szCs w:val="17"/>
        </w:rPr>
      </w:pPr>
      <w:r w:rsidRPr="004E007F">
        <w:rPr>
          <w:smallCaps/>
          <w:szCs w:val="17"/>
        </w:rPr>
        <w:t>Schedule 3</w:t>
      </w:r>
    </w:p>
    <w:p w:rsidR="002527A8" w:rsidRPr="004E007F" w:rsidRDefault="002527A8" w:rsidP="002527A8">
      <w:pPr>
        <w:ind w:left="426" w:hanging="284"/>
        <w:rPr>
          <w:rFonts w:eastAsia="Times New Roman"/>
          <w:szCs w:val="17"/>
        </w:rPr>
      </w:pPr>
      <w:r w:rsidRPr="004E007F">
        <w:rPr>
          <w:rFonts w:eastAsia="Times New Roman"/>
          <w:szCs w:val="17"/>
        </w:rPr>
        <w:t>•</w:t>
      </w:r>
      <w:r w:rsidRPr="004E007F">
        <w:rPr>
          <w:rFonts w:eastAsia="Times New Roman"/>
          <w:szCs w:val="17"/>
        </w:rPr>
        <w:tab/>
        <w:t>4 x plankton nets (maximum 1m diameter, 1.6m length and maximum 38mm mesh)</w:t>
      </w:r>
    </w:p>
    <w:p w:rsidR="002527A8" w:rsidRPr="004E007F" w:rsidRDefault="002527A8" w:rsidP="002527A8">
      <w:pPr>
        <w:ind w:left="426" w:hanging="284"/>
        <w:rPr>
          <w:rFonts w:eastAsia="Times New Roman"/>
          <w:szCs w:val="17"/>
        </w:rPr>
      </w:pPr>
      <w:r w:rsidRPr="004E007F">
        <w:rPr>
          <w:rFonts w:eastAsia="Times New Roman"/>
          <w:szCs w:val="17"/>
        </w:rPr>
        <w:t>•</w:t>
      </w:r>
      <w:r w:rsidRPr="004E007F">
        <w:rPr>
          <w:rFonts w:eastAsia="Times New Roman"/>
          <w:szCs w:val="17"/>
        </w:rPr>
        <w:tab/>
        <w:t>4 x haul net (maximum length 600m, maximum depth 10m, pocket mesh size average of 3.6cm (knotted) and wing mesh size average of 3.0cm).</w:t>
      </w:r>
    </w:p>
    <w:p w:rsidR="002527A8" w:rsidRPr="004E007F" w:rsidRDefault="002527A8" w:rsidP="002527A8">
      <w:pPr>
        <w:jc w:val="center"/>
        <w:rPr>
          <w:smallCaps/>
          <w:szCs w:val="17"/>
        </w:rPr>
      </w:pPr>
      <w:r w:rsidRPr="004E007F">
        <w:rPr>
          <w:smallCaps/>
          <w:szCs w:val="17"/>
        </w:rPr>
        <w:t>Schedule 4</w:t>
      </w:r>
    </w:p>
    <w:p w:rsidR="002527A8" w:rsidRPr="004E007F" w:rsidRDefault="002527A8" w:rsidP="002527A8">
      <w:pPr>
        <w:ind w:left="284" w:hanging="284"/>
        <w:rPr>
          <w:rFonts w:eastAsia="Times New Roman"/>
          <w:szCs w:val="17"/>
        </w:rPr>
      </w:pPr>
      <w:r w:rsidRPr="004E007F">
        <w:rPr>
          <w:rFonts w:eastAsia="Times New Roman"/>
          <w:szCs w:val="17"/>
        </w:rPr>
        <w:t>1.</w:t>
      </w:r>
      <w:r w:rsidRPr="004E007F">
        <w:rPr>
          <w:rFonts w:eastAsia="Times New Roman"/>
          <w:szCs w:val="17"/>
        </w:rPr>
        <w:tab/>
        <w:t xml:space="preserve">The nominated agents pursuant to this Ministerial exemption are: </w:t>
      </w:r>
    </w:p>
    <w:p w:rsidR="002527A8" w:rsidRPr="004E007F" w:rsidRDefault="002527A8" w:rsidP="002527A8">
      <w:pPr>
        <w:ind w:left="567" w:hanging="284"/>
        <w:rPr>
          <w:rFonts w:eastAsia="Times New Roman"/>
          <w:szCs w:val="17"/>
        </w:rPr>
      </w:pPr>
      <w:r w:rsidRPr="004E007F">
        <w:rPr>
          <w:rFonts w:eastAsia="Times New Roman"/>
          <w:szCs w:val="17"/>
        </w:rPr>
        <w:t>•</w:t>
      </w:r>
      <w:r w:rsidRPr="004E007F">
        <w:rPr>
          <w:rFonts w:eastAsia="Times New Roman"/>
          <w:szCs w:val="17"/>
        </w:rPr>
        <w:tab/>
        <w:t>A/Prof Charlie Huveneers</w:t>
      </w:r>
    </w:p>
    <w:p w:rsidR="002527A8" w:rsidRPr="004E007F" w:rsidRDefault="002527A8" w:rsidP="002527A8">
      <w:pPr>
        <w:ind w:left="567" w:hanging="284"/>
        <w:rPr>
          <w:rFonts w:eastAsia="Times New Roman"/>
          <w:szCs w:val="17"/>
        </w:rPr>
      </w:pPr>
      <w:r w:rsidRPr="004E007F">
        <w:rPr>
          <w:rFonts w:eastAsia="Times New Roman"/>
          <w:szCs w:val="17"/>
        </w:rPr>
        <w:t>•</w:t>
      </w:r>
      <w:r w:rsidRPr="004E007F">
        <w:rPr>
          <w:rFonts w:eastAsia="Times New Roman"/>
          <w:szCs w:val="17"/>
        </w:rPr>
        <w:tab/>
        <w:t>Mr Tom Clarke</w:t>
      </w:r>
    </w:p>
    <w:p w:rsidR="002527A8" w:rsidRPr="004E007F" w:rsidRDefault="002527A8" w:rsidP="002527A8">
      <w:pPr>
        <w:ind w:left="567" w:hanging="284"/>
        <w:rPr>
          <w:rFonts w:eastAsia="Times New Roman"/>
          <w:szCs w:val="17"/>
        </w:rPr>
      </w:pPr>
      <w:r w:rsidRPr="004E007F">
        <w:rPr>
          <w:rFonts w:eastAsia="Times New Roman"/>
          <w:szCs w:val="17"/>
        </w:rPr>
        <w:t>•</w:t>
      </w:r>
      <w:r w:rsidRPr="004E007F">
        <w:rPr>
          <w:rFonts w:eastAsia="Times New Roman"/>
          <w:szCs w:val="17"/>
        </w:rPr>
        <w:tab/>
        <w:t>Current university staff or students of the College of Science and Engineering at Flinders University, Sturt Road, Bedford Park under instructions of the nominated agents, A/Prof Huveneers or Mr Clarke.</w:t>
      </w:r>
    </w:p>
    <w:p w:rsidR="002527A8" w:rsidRPr="004E007F" w:rsidRDefault="002527A8" w:rsidP="002527A8">
      <w:pPr>
        <w:ind w:left="284" w:hanging="284"/>
        <w:rPr>
          <w:rFonts w:eastAsia="Times New Roman"/>
          <w:szCs w:val="17"/>
        </w:rPr>
      </w:pPr>
      <w:r w:rsidRPr="004E007F">
        <w:rPr>
          <w:rFonts w:eastAsia="Times New Roman"/>
          <w:szCs w:val="17"/>
        </w:rPr>
        <w:t>2.</w:t>
      </w:r>
      <w:r w:rsidRPr="004E007F">
        <w:rPr>
          <w:rFonts w:eastAsia="Times New Roman"/>
          <w:szCs w:val="17"/>
        </w:rPr>
        <w:tab/>
        <w:t>All vessels used pursuant to this exemption must be clearly marked with visible signage indicating the vessel is undertaking research activities.</w:t>
      </w:r>
    </w:p>
    <w:p w:rsidR="002527A8" w:rsidRPr="004E007F" w:rsidRDefault="002527A8" w:rsidP="002527A8">
      <w:pPr>
        <w:ind w:left="284" w:hanging="284"/>
        <w:rPr>
          <w:rFonts w:eastAsia="Times New Roman"/>
          <w:szCs w:val="17"/>
        </w:rPr>
      </w:pPr>
      <w:r w:rsidRPr="004E007F">
        <w:rPr>
          <w:rFonts w:eastAsia="Times New Roman"/>
          <w:szCs w:val="17"/>
        </w:rPr>
        <w:t>3.</w:t>
      </w:r>
      <w:r w:rsidRPr="004E007F">
        <w:rPr>
          <w:rFonts w:eastAsia="Times New Roman"/>
          <w:szCs w:val="17"/>
        </w:rPr>
        <w:tab/>
        <w:t>The Ministerial exemption holder or agent/s must be in attendance of haul nets at all times while a haul net is in use pursuant to this notice.</w:t>
      </w:r>
    </w:p>
    <w:p w:rsidR="002527A8" w:rsidRPr="004E007F" w:rsidRDefault="002527A8" w:rsidP="002527A8">
      <w:pPr>
        <w:ind w:left="284" w:hanging="284"/>
        <w:rPr>
          <w:rFonts w:eastAsia="Times New Roman"/>
          <w:szCs w:val="17"/>
        </w:rPr>
      </w:pPr>
      <w:r w:rsidRPr="004E007F">
        <w:rPr>
          <w:rFonts w:eastAsia="Times New Roman"/>
          <w:szCs w:val="17"/>
        </w:rPr>
        <w:t>4.</w:t>
      </w:r>
      <w:r w:rsidRPr="004E007F">
        <w:rPr>
          <w:rFonts w:eastAsia="Times New Roman"/>
          <w:szCs w:val="17"/>
        </w:rPr>
        <w:tab/>
        <w:t>Eggs and larvae collected using the plankton tow during the exempted activity may be retained for identification purposes.</w:t>
      </w:r>
    </w:p>
    <w:p w:rsidR="002527A8" w:rsidRPr="004E007F" w:rsidRDefault="002527A8" w:rsidP="002527A8">
      <w:pPr>
        <w:ind w:left="284" w:hanging="284"/>
        <w:rPr>
          <w:rFonts w:eastAsia="Times New Roman"/>
          <w:szCs w:val="17"/>
        </w:rPr>
      </w:pPr>
      <w:r w:rsidRPr="004E007F">
        <w:rPr>
          <w:rFonts w:eastAsia="Times New Roman"/>
          <w:szCs w:val="17"/>
        </w:rPr>
        <w:lastRenderedPageBreak/>
        <w:t>5.</w:t>
      </w:r>
      <w:r w:rsidRPr="004E007F">
        <w:rPr>
          <w:rFonts w:eastAsia="Times New Roman"/>
          <w:szCs w:val="17"/>
        </w:rPr>
        <w:tab/>
        <w:t>Except for eggs and larvae collected under condition 4, the Ministerial exemption holder or agents must ensure that all species (other than noxious species) caught during the exempted activity are returned to the water alive as soon as practicable. Noxious species must not be returned to the water and must be disposed of appropriately.</w:t>
      </w:r>
    </w:p>
    <w:p w:rsidR="002527A8" w:rsidRPr="004E007F" w:rsidRDefault="002527A8" w:rsidP="002527A8">
      <w:pPr>
        <w:ind w:left="284" w:hanging="284"/>
        <w:rPr>
          <w:rFonts w:eastAsia="Times New Roman"/>
          <w:szCs w:val="17"/>
        </w:rPr>
      </w:pPr>
      <w:r w:rsidRPr="004E007F">
        <w:rPr>
          <w:rFonts w:eastAsia="Times New Roman"/>
          <w:szCs w:val="17"/>
        </w:rPr>
        <w:t>6.</w:t>
      </w:r>
      <w:r w:rsidRPr="004E007F">
        <w:rPr>
          <w:rFonts w:eastAsia="Times New Roman"/>
          <w:szCs w:val="17"/>
        </w:rPr>
        <w:tab/>
        <w:t>No protected species can be retained.</w:t>
      </w:r>
    </w:p>
    <w:p w:rsidR="002527A8" w:rsidRPr="004E007F" w:rsidRDefault="002527A8" w:rsidP="002527A8">
      <w:pPr>
        <w:ind w:left="284" w:hanging="284"/>
        <w:rPr>
          <w:rFonts w:eastAsia="Times New Roman"/>
          <w:szCs w:val="17"/>
        </w:rPr>
      </w:pPr>
      <w:r w:rsidRPr="004E007F">
        <w:rPr>
          <w:rFonts w:eastAsia="Times New Roman"/>
          <w:szCs w:val="17"/>
        </w:rPr>
        <w:t>7.</w:t>
      </w:r>
      <w:r w:rsidRPr="004E007F">
        <w:rPr>
          <w:rFonts w:eastAsia="Times New Roman"/>
          <w:szCs w:val="17"/>
        </w:rPr>
        <w:tab/>
        <w:t>The specimens collected by the exemption holder are for scientific, education or research purposes only and must not be used for any commercial purpose.</w:t>
      </w:r>
    </w:p>
    <w:p w:rsidR="002527A8" w:rsidRPr="004E007F" w:rsidRDefault="002527A8" w:rsidP="002527A8">
      <w:pPr>
        <w:ind w:left="284" w:hanging="284"/>
        <w:rPr>
          <w:rFonts w:eastAsia="Times New Roman"/>
          <w:szCs w:val="17"/>
        </w:rPr>
      </w:pPr>
      <w:r w:rsidRPr="004E007F">
        <w:rPr>
          <w:rFonts w:eastAsia="Times New Roman"/>
          <w:szCs w:val="17"/>
        </w:rPr>
        <w:t>8.</w:t>
      </w:r>
      <w:r w:rsidRPr="004E007F">
        <w:rPr>
          <w:rFonts w:eastAsia="Times New Roman"/>
          <w:szCs w:val="17"/>
        </w:rPr>
        <w:tab/>
        <w:t>The Ministerial exemption holder may not collect specimens for aquaculture research purposes pursuant to this notice.</w:t>
      </w:r>
    </w:p>
    <w:p w:rsidR="002527A8" w:rsidRPr="004E007F" w:rsidRDefault="002527A8" w:rsidP="002527A8">
      <w:pPr>
        <w:ind w:left="284" w:hanging="284"/>
        <w:rPr>
          <w:rFonts w:eastAsia="Times New Roman"/>
          <w:szCs w:val="17"/>
        </w:rPr>
      </w:pPr>
      <w:r w:rsidRPr="004E007F">
        <w:rPr>
          <w:rFonts w:eastAsia="Times New Roman"/>
          <w:szCs w:val="17"/>
        </w:rPr>
        <w:t>9.</w:t>
      </w:r>
      <w:r w:rsidRPr="004E007F">
        <w:rPr>
          <w:rFonts w:eastAsia="Times New Roman"/>
          <w:szCs w:val="17"/>
        </w:rPr>
        <w:tab/>
        <w:t>The Ministerial exemption holder or agent must not conduct any other fishing activity, whilst undertaking the exempted activity.</w:t>
      </w:r>
    </w:p>
    <w:p w:rsidR="002527A8" w:rsidRPr="004E007F" w:rsidRDefault="002527A8" w:rsidP="002527A8">
      <w:pPr>
        <w:ind w:left="284" w:hanging="284"/>
        <w:rPr>
          <w:rFonts w:eastAsia="Times New Roman"/>
          <w:szCs w:val="17"/>
        </w:rPr>
      </w:pPr>
      <w:r w:rsidRPr="004E007F">
        <w:rPr>
          <w:rFonts w:eastAsia="Times New Roman"/>
          <w:szCs w:val="17"/>
        </w:rPr>
        <w:t>10.</w:t>
      </w:r>
      <w:r w:rsidRPr="004E007F">
        <w:rPr>
          <w:rFonts w:eastAsia="Times New Roman"/>
          <w:szCs w:val="17"/>
        </w:rPr>
        <w:tab/>
        <w:t>At least 1 hour before conducting the exempted activity, the exemption holder or a person acting as an agent must contact the Department of Primary Industries and Regions (PIRSA) Fishwatch on 1800 065 522 and answer a series of questions about the exempted activity. The exemption holder will need to have a copy of this notice in their possession at the time of making the call, and be able to provide information about the area and time of the exempted activity, the specific gear to be used, vehicles and/or boats involved, the number of permit holders undertaking the exempted activity and other related questions. Exemption number ME9903137.</w:t>
      </w:r>
    </w:p>
    <w:p w:rsidR="002527A8" w:rsidRPr="004E007F" w:rsidRDefault="002527A8" w:rsidP="002527A8">
      <w:pPr>
        <w:ind w:left="284" w:hanging="284"/>
        <w:rPr>
          <w:rFonts w:eastAsia="Times New Roman"/>
          <w:szCs w:val="17"/>
        </w:rPr>
      </w:pPr>
      <w:r w:rsidRPr="004E007F">
        <w:rPr>
          <w:rFonts w:eastAsia="Times New Roman"/>
          <w:szCs w:val="17"/>
        </w:rPr>
        <w:t>11.</w:t>
      </w:r>
      <w:r w:rsidRPr="004E007F">
        <w:rPr>
          <w:rFonts w:eastAsia="Times New Roman"/>
          <w:szCs w:val="17"/>
        </w:rPr>
        <w:tab/>
        <w:t>The exemption holder must provide a report in writing detailing the activities carried out pursuant to this notice to PIRSA, Fisheries and Aquaculture (GPO Box 1625, ADELAIDE SA 5001) within 14 days of the activity being completed with the following details:</w:t>
      </w:r>
    </w:p>
    <w:p w:rsidR="002527A8" w:rsidRPr="004E007F" w:rsidRDefault="002527A8" w:rsidP="002527A8">
      <w:pPr>
        <w:ind w:left="567" w:hanging="284"/>
        <w:rPr>
          <w:rFonts w:eastAsia="Times New Roman"/>
          <w:szCs w:val="17"/>
        </w:rPr>
      </w:pPr>
      <w:r w:rsidRPr="004E007F">
        <w:rPr>
          <w:rFonts w:eastAsia="Times New Roman"/>
          <w:szCs w:val="17"/>
        </w:rPr>
        <w:t>•</w:t>
      </w:r>
      <w:r w:rsidRPr="004E007F">
        <w:rPr>
          <w:rFonts w:eastAsia="Times New Roman"/>
          <w:szCs w:val="17"/>
        </w:rPr>
        <w:tab/>
        <w:t>the date and location of sampling;</w:t>
      </w:r>
    </w:p>
    <w:p w:rsidR="002527A8" w:rsidRPr="004E007F" w:rsidRDefault="002527A8" w:rsidP="002527A8">
      <w:pPr>
        <w:ind w:left="567" w:hanging="284"/>
        <w:rPr>
          <w:rFonts w:eastAsia="Times New Roman"/>
          <w:szCs w:val="17"/>
        </w:rPr>
      </w:pPr>
      <w:r w:rsidRPr="004E007F">
        <w:rPr>
          <w:rFonts w:eastAsia="Times New Roman"/>
          <w:szCs w:val="17"/>
        </w:rPr>
        <w:t>•</w:t>
      </w:r>
      <w:r w:rsidRPr="004E007F">
        <w:rPr>
          <w:rFonts w:eastAsia="Times New Roman"/>
          <w:szCs w:val="17"/>
        </w:rPr>
        <w:tab/>
        <w:t>the gear used;</w:t>
      </w:r>
    </w:p>
    <w:p w:rsidR="002527A8" w:rsidRPr="004E007F" w:rsidRDefault="002527A8" w:rsidP="002527A8">
      <w:pPr>
        <w:ind w:left="567" w:hanging="284"/>
        <w:rPr>
          <w:rFonts w:eastAsia="Times New Roman"/>
          <w:szCs w:val="17"/>
        </w:rPr>
      </w:pPr>
      <w:r w:rsidRPr="004E007F">
        <w:rPr>
          <w:rFonts w:eastAsia="Times New Roman"/>
          <w:szCs w:val="17"/>
        </w:rPr>
        <w:t>•</w:t>
      </w:r>
      <w:r w:rsidRPr="004E007F">
        <w:rPr>
          <w:rFonts w:eastAsia="Times New Roman"/>
          <w:szCs w:val="17"/>
        </w:rPr>
        <w:tab/>
        <w:t>the number and description of all species caught and their fate;</w:t>
      </w:r>
    </w:p>
    <w:p w:rsidR="002527A8" w:rsidRPr="004E007F" w:rsidRDefault="002527A8" w:rsidP="002527A8">
      <w:pPr>
        <w:ind w:left="567" w:hanging="284"/>
        <w:rPr>
          <w:rFonts w:eastAsia="Times New Roman"/>
          <w:szCs w:val="17"/>
        </w:rPr>
      </w:pPr>
      <w:r w:rsidRPr="004E007F">
        <w:rPr>
          <w:rFonts w:eastAsia="Times New Roman"/>
          <w:szCs w:val="17"/>
        </w:rPr>
        <w:t>•</w:t>
      </w:r>
      <w:r w:rsidRPr="004E007F">
        <w:rPr>
          <w:rFonts w:eastAsia="Times New Roman"/>
          <w:szCs w:val="17"/>
        </w:rPr>
        <w:tab/>
        <w:t>the number and description of any samples/biopsies collected;</w:t>
      </w:r>
    </w:p>
    <w:p w:rsidR="002527A8" w:rsidRPr="004E007F" w:rsidRDefault="002527A8" w:rsidP="002527A8">
      <w:pPr>
        <w:ind w:left="567" w:hanging="284"/>
        <w:rPr>
          <w:rFonts w:eastAsia="Times New Roman"/>
          <w:szCs w:val="17"/>
        </w:rPr>
      </w:pPr>
      <w:r w:rsidRPr="004E007F">
        <w:rPr>
          <w:rFonts w:eastAsia="Times New Roman"/>
          <w:szCs w:val="17"/>
        </w:rPr>
        <w:t>•</w:t>
      </w:r>
      <w:r w:rsidRPr="004E007F">
        <w:rPr>
          <w:rFonts w:eastAsia="Times New Roman"/>
          <w:szCs w:val="17"/>
        </w:rPr>
        <w:tab/>
        <w:t>any interactions with protected species and their fate; and</w:t>
      </w:r>
    </w:p>
    <w:p w:rsidR="002527A8" w:rsidRPr="004E007F" w:rsidRDefault="002527A8" w:rsidP="002527A8">
      <w:pPr>
        <w:ind w:left="567" w:hanging="284"/>
        <w:rPr>
          <w:rFonts w:eastAsia="Times New Roman"/>
          <w:szCs w:val="17"/>
        </w:rPr>
      </w:pPr>
      <w:r w:rsidRPr="004E007F">
        <w:rPr>
          <w:rFonts w:eastAsia="Times New Roman"/>
          <w:szCs w:val="17"/>
        </w:rPr>
        <w:t>•</w:t>
      </w:r>
      <w:r w:rsidRPr="004E007F">
        <w:rPr>
          <w:rFonts w:eastAsia="Times New Roman"/>
          <w:szCs w:val="17"/>
        </w:rPr>
        <w:tab/>
        <w:t>any other information regarding size, breeding or anything deemed relevant or of interest that is able to be volunteered.</w:t>
      </w:r>
    </w:p>
    <w:p w:rsidR="002527A8" w:rsidRPr="004E007F" w:rsidRDefault="002527A8" w:rsidP="002527A8">
      <w:pPr>
        <w:ind w:left="284"/>
        <w:rPr>
          <w:rFonts w:eastAsia="Times New Roman"/>
          <w:szCs w:val="17"/>
        </w:rPr>
      </w:pPr>
      <w:r w:rsidRPr="004E007F">
        <w:rPr>
          <w:rFonts w:eastAsia="Times New Roman"/>
          <w:szCs w:val="17"/>
        </w:rPr>
        <w:t>Or if no research activities are undertaken, the exemption holder must provide a report to that effect to PIRSA within 14 days of expiry of this exemption.</w:t>
      </w:r>
    </w:p>
    <w:p w:rsidR="002527A8" w:rsidRPr="004E007F" w:rsidRDefault="002527A8" w:rsidP="002527A8">
      <w:pPr>
        <w:ind w:left="284" w:hanging="284"/>
        <w:rPr>
          <w:rFonts w:eastAsia="Times New Roman"/>
          <w:szCs w:val="17"/>
        </w:rPr>
      </w:pPr>
      <w:r w:rsidRPr="004E007F">
        <w:rPr>
          <w:rFonts w:eastAsia="Times New Roman"/>
          <w:szCs w:val="17"/>
        </w:rPr>
        <w:t>12.</w:t>
      </w:r>
      <w:r w:rsidRPr="004E007F">
        <w:rPr>
          <w:rFonts w:eastAsia="Times New Roman"/>
          <w:szCs w:val="17"/>
        </w:rPr>
        <w:tab/>
        <w:t>While engaging in the exempted activity, the exemption holder and agents must be in possession of a signed copy of this notice and carry their identification card issued by Flinders University. Such notice and identification must be produced to a PIRSA Fisheries Officer upon request.</w:t>
      </w:r>
    </w:p>
    <w:p w:rsidR="002527A8" w:rsidRPr="004E007F" w:rsidRDefault="002527A8" w:rsidP="002527A8">
      <w:pPr>
        <w:ind w:left="284" w:hanging="284"/>
        <w:rPr>
          <w:rFonts w:eastAsia="Times New Roman"/>
          <w:szCs w:val="17"/>
        </w:rPr>
      </w:pPr>
      <w:r w:rsidRPr="004E007F">
        <w:rPr>
          <w:rFonts w:eastAsia="Times New Roman"/>
          <w:szCs w:val="17"/>
        </w:rPr>
        <w:t>13.</w:t>
      </w:r>
      <w:r w:rsidRPr="004E007F">
        <w:rPr>
          <w:rFonts w:eastAsia="Times New Roman"/>
          <w:szCs w:val="17"/>
        </w:rPr>
        <w:tab/>
        <w:t>A person acting as an agent of the exemption holder must possess a copy of a signed letter from the exemption holder stating that they are acting as an agent during the exempted activity and carry their identification card issued by Flinders University.</w:t>
      </w:r>
    </w:p>
    <w:p w:rsidR="002527A8" w:rsidRPr="004E007F" w:rsidRDefault="002527A8" w:rsidP="002527A8">
      <w:pPr>
        <w:ind w:left="284" w:hanging="284"/>
        <w:rPr>
          <w:rFonts w:eastAsia="Times New Roman"/>
          <w:szCs w:val="17"/>
        </w:rPr>
      </w:pPr>
      <w:r w:rsidRPr="004E007F">
        <w:rPr>
          <w:rFonts w:eastAsia="Times New Roman"/>
          <w:szCs w:val="17"/>
        </w:rPr>
        <w:t>14.</w:t>
      </w:r>
      <w:r w:rsidRPr="004E007F">
        <w:rPr>
          <w:rFonts w:eastAsia="Times New Roman"/>
          <w:szCs w:val="17"/>
        </w:rPr>
        <w:tab/>
        <w:t xml:space="preserve">The exemption holder or agents must not contravene or fail to comply with the </w:t>
      </w:r>
      <w:r w:rsidRPr="004E007F">
        <w:rPr>
          <w:rFonts w:eastAsia="Times New Roman"/>
          <w:i/>
          <w:szCs w:val="17"/>
        </w:rPr>
        <w:t>Fisheries Management Act 2007</w:t>
      </w:r>
      <w:r w:rsidRPr="004E007F">
        <w:rPr>
          <w:rFonts w:eastAsia="Times New Roman"/>
          <w:szCs w:val="17"/>
        </w:rPr>
        <w:t xml:space="preserve"> or any regulations made under the Act, except where specifically exempted by this notice.</w:t>
      </w:r>
    </w:p>
    <w:p w:rsidR="002527A8" w:rsidRPr="004E007F" w:rsidRDefault="002527A8" w:rsidP="002527A8">
      <w:pPr>
        <w:rPr>
          <w:rFonts w:eastAsia="Times New Roman"/>
          <w:spacing w:val="-2"/>
          <w:szCs w:val="17"/>
        </w:rPr>
      </w:pPr>
      <w:r w:rsidRPr="004E007F">
        <w:rPr>
          <w:rFonts w:eastAsia="Times New Roman"/>
          <w:spacing w:val="-2"/>
          <w:szCs w:val="17"/>
        </w:rPr>
        <w:t xml:space="preserve">This notice does not purport to override the provisions or operation of any other Act including, but not limited to, the </w:t>
      </w:r>
      <w:r w:rsidRPr="004E007F">
        <w:rPr>
          <w:rFonts w:eastAsia="Times New Roman"/>
          <w:i/>
          <w:spacing w:val="-2"/>
          <w:szCs w:val="17"/>
        </w:rPr>
        <w:t>Marine Parks Act 2007</w:t>
      </w:r>
      <w:r w:rsidRPr="004E007F">
        <w:rPr>
          <w:rFonts w:eastAsia="Times New Roman"/>
          <w:spacing w:val="-2"/>
          <w:szCs w:val="17"/>
        </w:rPr>
        <w:t>. The exemption holder and her agents must comply with any relevant regulations, permits, requirements and directions from the Department for Environment and Water when undertaking activities within a marine park.</w:t>
      </w:r>
    </w:p>
    <w:p w:rsidR="002527A8" w:rsidRPr="004E007F" w:rsidRDefault="002527A8" w:rsidP="002527A8">
      <w:pPr>
        <w:spacing w:after="0"/>
        <w:rPr>
          <w:rFonts w:eastAsia="Times New Roman"/>
          <w:szCs w:val="17"/>
        </w:rPr>
      </w:pPr>
      <w:r w:rsidRPr="004E007F">
        <w:rPr>
          <w:rFonts w:eastAsia="Times New Roman"/>
          <w:szCs w:val="17"/>
        </w:rPr>
        <w:t>Dated: 13 December 2020</w:t>
      </w:r>
    </w:p>
    <w:p w:rsidR="002527A8" w:rsidRPr="004E007F" w:rsidRDefault="002527A8" w:rsidP="002527A8">
      <w:pPr>
        <w:spacing w:after="0"/>
        <w:jc w:val="right"/>
        <w:rPr>
          <w:rFonts w:eastAsia="Times New Roman"/>
          <w:smallCaps/>
          <w:szCs w:val="20"/>
        </w:rPr>
      </w:pPr>
      <w:r w:rsidRPr="004E007F">
        <w:rPr>
          <w:rFonts w:eastAsia="Times New Roman"/>
          <w:smallCaps/>
          <w:szCs w:val="20"/>
        </w:rPr>
        <w:t>Prof Gavin Begg</w:t>
      </w:r>
    </w:p>
    <w:p w:rsidR="002527A8" w:rsidRPr="004E007F" w:rsidRDefault="002527A8" w:rsidP="002527A8">
      <w:pPr>
        <w:spacing w:after="0"/>
        <w:jc w:val="right"/>
        <w:rPr>
          <w:rFonts w:eastAsia="Times New Roman"/>
          <w:szCs w:val="17"/>
        </w:rPr>
      </w:pPr>
      <w:r w:rsidRPr="004E007F">
        <w:rPr>
          <w:rFonts w:eastAsia="Times New Roman"/>
          <w:szCs w:val="17"/>
        </w:rPr>
        <w:t xml:space="preserve">Executive Director </w:t>
      </w:r>
    </w:p>
    <w:p w:rsidR="002527A8" w:rsidRPr="004E007F" w:rsidRDefault="002527A8" w:rsidP="002527A8">
      <w:pPr>
        <w:spacing w:after="0"/>
        <w:jc w:val="right"/>
        <w:rPr>
          <w:rFonts w:eastAsia="Times New Roman"/>
          <w:szCs w:val="17"/>
        </w:rPr>
      </w:pPr>
      <w:r w:rsidRPr="004E007F">
        <w:rPr>
          <w:rFonts w:eastAsia="Times New Roman"/>
          <w:szCs w:val="17"/>
        </w:rPr>
        <w:t>Fisheries and Aquaculture</w:t>
      </w:r>
    </w:p>
    <w:p w:rsidR="002527A8" w:rsidRPr="004E007F" w:rsidRDefault="002527A8" w:rsidP="002527A8">
      <w:pPr>
        <w:spacing w:after="0"/>
        <w:jc w:val="right"/>
        <w:rPr>
          <w:rFonts w:eastAsia="Times New Roman"/>
          <w:szCs w:val="17"/>
        </w:rPr>
      </w:pPr>
      <w:r w:rsidRPr="004E007F">
        <w:rPr>
          <w:rFonts w:eastAsia="Times New Roman"/>
          <w:szCs w:val="17"/>
        </w:rPr>
        <w:t>Delegate of the Minister for Primary Industries and Regional Development</w:t>
      </w:r>
    </w:p>
    <w:p w:rsidR="002527A8" w:rsidRPr="004E007F" w:rsidRDefault="002527A8" w:rsidP="002527A8">
      <w:pPr>
        <w:pBdr>
          <w:top w:val="single" w:sz="4" w:space="1" w:color="auto"/>
        </w:pBdr>
        <w:spacing w:before="100" w:after="0" w:line="14" w:lineRule="exact"/>
        <w:jc w:val="center"/>
        <w:rPr>
          <w:rFonts w:eastAsia="Times New Roman"/>
          <w:szCs w:val="17"/>
        </w:rPr>
      </w:pPr>
    </w:p>
    <w:p w:rsidR="002527A8" w:rsidRPr="004E007F" w:rsidRDefault="002527A8" w:rsidP="002527A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2527A8" w:rsidRPr="004E007F" w:rsidRDefault="002527A8" w:rsidP="002527A8">
      <w:pPr>
        <w:jc w:val="center"/>
        <w:rPr>
          <w:caps/>
          <w:szCs w:val="17"/>
        </w:rPr>
      </w:pPr>
      <w:r w:rsidRPr="004E007F">
        <w:rPr>
          <w:caps/>
          <w:szCs w:val="17"/>
        </w:rPr>
        <w:t>Fisheries Management Act 2007</w:t>
      </w:r>
    </w:p>
    <w:p w:rsidR="002527A8" w:rsidRPr="004E007F" w:rsidRDefault="002527A8" w:rsidP="002527A8">
      <w:pPr>
        <w:jc w:val="center"/>
        <w:rPr>
          <w:smallCaps/>
          <w:szCs w:val="17"/>
        </w:rPr>
      </w:pPr>
      <w:r w:rsidRPr="004E007F">
        <w:rPr>
          <w:smallCaps/>
          <w:szCs w:val="17"/>
        </w:rPr>
        <w:t>Section 115</w:t>
      </w:r>
    </w:p>
    <w:p w:rsidR="002527A8" w:rsidRPr="004E007F" w:rsidRDefault="002527A8" w:rsidP="002527A8">
      <w:pPr>
        <w:pStyle w:val="GG-Title3"/>
      </w:pPr>
      <w:r w:rsidRPr="004E007F">
        <w:t>Ministerial Exemption: ME9903138</w:t>
      </w:r>
    </w:p>
    <w:p w:rsidR="002527A8" w:rsidRPr="004E007F" w:rsidRDefault="002527A8" w:rsidP="002527A8">
      <w:pPr>
        <w:rPr>
          <w:rFonts w:eastAsia="Times New Roman"/>
          <w:szCs w:val="17"/>
        </w:rPr>
      </w:pPr>
      <w:r w:rsidRPr="004E007F">
        <w:rPr>
          <w:rFonts w:eastAsia="Times New Roman"/>
          <w:szCs w:val="17"/>
        </w:rPr>
        <w:t xml:space="preserve">TAKE NOTICE that pursuant to Section 115 of the </w:t>
      </w:r>
      <w:r w:rsidRPr="004E007F">
        <w:rPr>
          <w:rFonts w:eastAsia="Times New Roman"/>
          <w:i/>
          <w:szCs w:val="17"/>
        </w:rPr>
        <w:t>Fisheries Management Act 2007</w:t>
      </w:r>
      <w:r w:rsidRPr="004E007F">
        <w:rPr>
          <w:rFonts w:eastAsia="Times New Roman"/>
          <w:szCs w:val="17"/>
        </w:rPr>
        <w:t xml:space="preserve">, Ms Leslie Morrison of Flinders University, School of Biological Sciences, Sturt Road, Bedford Park, SA 5042 (the ‘exemption holder’), or a person acting as her agent, are exempt from Section 71 of the </w:t>
      </w:r>
      <w:r w:rsidRPr="004E007F">
        <w:rPr>
          <w:rFonts w:eastAsia="Times New Roman"/>
          <w:i/>
          <w:szCs w:val="17"/>
        </w:rPr>
        <w:t>Fisheries Management Act 2007</w:t>
      </w:r>
      <w:r w:rsidRPr="004E007F">
        <w:rPr>
          <w:rFonts w:eastAsia="Times New Roman"/>
          <w:szCs w:val="17"/>
        </w:rPr>
        <w:t>, in the area specified in Schedule 1, but only insofar as the activities specified in Schedule 2 (the ‘exempted activity’), subject to the conditions set out in Schedule 3, from 14 December 2020 until 13 December 2021 inclusive, unless varied or revoked earlier.</w:t>
      </w:r>
    </w:p>
    <w:p w:rsidR="002527A8" w:rsidRPr="004E007F" w:rsidRDefault="002527A8" w:rsidP="002527A8">
      <w:pPr>
        <w:jc w:val="center"/>
        <w:rPr>
          <w:smallCaps/>
          <w:szCs w:val="17"/>
        </w:rPr>
      </w:pPr>
      <w:r w:rsidRPr="004E007F">
        <w:rPr>
          <w:smallCaps/>
          <w:szCs w:val="17"/>
        </w:rPr>
        <w:t>Schedule 1</w:t>
      </w:r>
    </w:p>
    <w:p w:rsidR="002527A8" w:rsidRPr="004E007F" w:rsidRDefault="002527A8" w:rsidP="002527A8">
      <w:pPr>
        <w:rPr>
          <w:rFonts w:eastAsia="Times New Roman"/>
          <w:szCs w:val="17"/>
        </w:rPr>
      </w:pPr>
      <w:r w:rsidRPr="004E007F">
        <w:rPr>
          <w:rFonts w:eastAsia="Times New Roman"/>
          <w:szCs w:val="17"/>
        </w:rPr>
        <w:t xml:space="preserve">All waters of South Australia, excluding the Adelaide Dolphin Sanctuary, aquatic reserves (unless otherwise authorised under the </w:t>
      </w:r>
      <w:r w:rsidRPr="004E007F">
        <w:rPr>
          <w:rFonts w:eastAsia="Times New Roman"/>
          <w:i/>
          <w:szCs w:val="17"/>
        </w:rPr>
        <w:t>Fisheries Management Act 2007</w:t>
      </w:r>
      <w:r w:rsidRPr="004E007F">
        <w:rPr>
          <w:rFonts w:eastAsia="Times New Roman"/>
          <w:szCs w:val="17"/>
        </w:rPr>
        <w:t xml:space="preserve">) and marine parks (unless otherwise authorised under the </w:t>
      </w:r>
      <w:r w:rsidRPr="004E007F">
        <w:rPr>
          <w:rFonts w:eastAsia="Times New Roman"/>
          <w:i/>
          <w:szCs w:val="17"/>
        </w:rPr>
        <w:t>Marine Parks Act 2007</w:t>
      </w:r>
      <w:r w:rsidRPr="004E007F">
        <w:rPr>
          <w:rFonts w:eastAsia="Times New Roman"/>
          <w:szCs w:val="17"/>
        </w:rPr>
        <w:t>).</w:t>
      </w:r>
    </w:p>
    <w:p w:rsidR="002527A8" w:rsidRPr="004E007F" w:rsidRDefault="002527A8" w:rsidP="002527A8">
      <w:pPr>
        <w:jc w:val="center"/>
        <w:rPr>
          <w:smallCaps/>
          <w:szCs w:val="17"/>
        </w:rPr>
      </w:pPr>
      <w:r w:rsidRPr="004E007F">
        <w:rPr>
          <w:smallCaps/>
          <w:szCs w:val="17"/>
        </w:rPr>
        <w:t>Schedule 2</w:t>
      </w:r>
    </w:p>
    <w:p w:rsidR="002527A8" w:rsidRPr="004E007F" w:rsidRDefault="002527A8" w:rsidP="002527A8">
      <w:pPr>
        <w:ind w:left="426" w:hanging="284"/>
        <w:rPr>
          <w:rFonts w:eastAsia="Times New Roman"/>
          <w:szCs w:val="17"/>
        </w:rPr>
      </w:pPr>
      <w:r w:rsidRPr="004E007F">
        <w:rPr>
          <w:rFonts w:eastAsia="Times New Roman"/>
          <w:szCs w:val="17"/>
        </w:rPr>
        <w:t>•</w:t>
      </w:r>
      <w:r w:rsidRPr="004E007F">
        <w:rPr>
          <w:rFonts w:eastAsia="Times New Roman"/>
          <w:szCs w:val="17"/>
        </w:rPr>
        <w:tab/>
        <w:t>The tagging of free-swimming White Sharks (Carcharodon carcharias) with an accelerometer package and/or acoustic tag using a modified spear gun or deployment pole.</w:t>
      </w:r>
    </w:p>
    <w:p w:rsidR="002527A8" w:rsidRPr="004E007F" w:rsidRDefault="002527A8" w:rsidP="002527A8">
      <w:pPr>
        <w:ind w:left="426" w:hanging="284"/>
        <w:rPr>
          <w:rFonts w:eastAsia="Times New Roman"/>
          <w:szCs w:val="17"/>
        </w:rPr>
      </w:pPr>
      <w:r w:rsidRPr="004E007F">
        <w:rPr>
          <w:rFonts w:eastAsia="Times New Roman"/>
          <w:szCs w:val="17"/>
        </w:rPr>
        <w:t>•</w:t>
      </w:r>
      <w:r w:rsidRPr="004E007F">
        <w:rPr>
          <w:rFonts w:eastAsia="Times New Roman"/>
          <w:szCs w:val="17"/>
        </w:rPr>
        <w:tab/>
        <w:t>The collection of tissue samples from free-swimming White Sharks using a modified spear gun.</w:t>
      </w:r>
    </w:p>
    <w:p w:rsidR="002527A8" w:rsidRPr="004E007F" w:rsidRDefault="002527A8" w:rsidP="002527A8">
      <w:pPr>
        <w:jc w:val="center"/>
        <w:rPr>
          <w:smallCaps/>
          <w:szCs w:val="17"/>
        </w:rPr>
      </w:pPr>
      <w:r w:rsidRPr="004E007F">
        <w:rPr>
          <w:smallCaps/>
          <w:szCs w:val="17"/>
        </w:rPr>
        <w:t>Schedule 3</w:t>
      </w:r>
    </w:p>
    <w:p w:rsidR="002527A8" w:rsidRPr="004E007F" w:rsidRDefault="002527A8" w:rsidP="002527A8">
      <w:pPr>
        <w:ind w:left="284" w:hanging="284"/>
        <w:rPr>
          <w:rFonts w:eastAsia="Times New Roman"/>
          <w:szCs w:val="17"/>
        </w:rPr>
      </w:pPr>
      <w:r w:rsidRPr="004E007F">
        <w:rPr>
          <w:rFonts w:eastAsia="Times New Roman"/>
          <w:szCs w:val="17"/>
        </w:rPr>
        <w:t>1.</w:t>
      </w:r>
      <w:r w:rsidRPr="004E007F">
        <w:rPr>
          <w:rFonts w:eastAsia="Times New Roman"/>
          <w:szCs w:val="17"/>
        </w:rPr>
        <w:tab/>
        <w:t>No shark of any species may be restrained or taken from the water.</w:t>
      </w:r>
    </w:p>
    <w:p w:rsidR="002527A8" w:rsidRPr="004E007F" w:rsidRDefault="002527A8" w:rsidP="002527A8">
      <w:pPr>
        <w:ind w:left="284" w:hanging="284"/>
        <w:rPr>
          <w:rFonts w:eastAsia="Times New Roman"/>
          <w:szCs w:val="17"/>
        </w:rPr>
      </w:pPr>
      <w:r w:rsidRPr="004E007F">
        <w:rPr>
          <w:rFonts w:eastAsia="Times New Roman"/>
          <w:szCs w:val="17"/>
        </w:rPr>
        <w:t>2.</w:t>
      </w:r>
      <w:r w:rsidRPr="004E007F">
        <w:rPr>
          <w:rFonts w:eastAsia="Times New Roman"/>
          <w:szCs w:val="17"/>
        </w:rPr>
        <w:tab/>
        <w:t>The exemption holder or nominated agents may tag and/or take tissue samples from a maximum of 30 free-swimming White Sharks.</w:t>
      </w:r>
    </w:p>
    <w:p w:rsidR="002527A8" w:rsidRPr="004E007F" w:rsidRDefault="002527A8" w:rsidP="002527A8">
      <w:pPr>
        <w:ind w:left="284" w:hanging="284"/>
        <w:rPr>
          <w:rFonts w:eastAsia="Times New Roman"/>
          <w:szCs w:val="17"/>
        </w:rPr>
      </w:pPr>
      <w:r w:rsidRPr="004E007F">
        <w:rPr>
          <w:rFonts w:eastAsia="Times New Roman"/>
          <w:szCs w:val="17"/>
        </w:rPr>
        <w:t>3.</w:t>
      </w:r>
      <w:r w:rsidRPr="004E007F">
        <w:rPr>
          <w:rFonts w:eastAsia="Times New Roman"/>
          <w:szCs w:val="17"/>
        </w:rPr>
        <w:tab/>
        <w:t>For the purposes of this notice, only the following persons may act as an agent of the exemption holder:</w:t>
      </w:r>
    </w:p>
    <w:p w:rsidR="002527A8" w:rsidRPr="004E007F" w:rsidRDefault="002527A8" w:rsidP="002527A8">
      <w:pPr>
        <w:ind w:left="567" w:hanging="284"/>
        <w:rPr>
          <w:rFonts w:eastAsia="Times New Roman"/>
          <w:szCs w:val="17"/>
        </w:rPr>
      </w:pPr>
      <w:r w:rsidRPr="004E007F">
        <w:rPr>
          <w:rFonts w:eastAsia="Times New Roman"/>
          <w:szCs w:val="17"/>
        </w:rPr>
        <w:t>•</w:t>
      </w:r>
      <w:r w:rsidRPr="004E007F">
        <w:rPr>
          <w:rFonts w:eastAsia="Times New Roman"/>
          <w:szCs w:val="17"/>
        </w:rPr>
        <w:tab/>
        <w:t>A/Prof Charlie Huveeneers, Flinders University</w:t>
      </w:r>
    </w:p>
    <w:p w:rsidR="002527A8" w:rsidRPr="004E007F" w:rsidRDefault="002527A8" w:rsidP="002527A8">
      <w:pPr>
        <w:ind w:left="567" w:hanging="284"/>
        <w:rPr>
          <w:rFonts w:eastAsia="Times New Roman"/>
          <w:szCs w:val="17"/>
        </w:rPr>
      </w:pPr>
      <w:r w:rsidRPr="004E007F">
        <w:rPr>
          <w:rFonts w:eastAsia="Times New Roman"/>
          <w:szCs w:val="17"/>
        </w:rPr>
        <w:t>•</w:t>
      </w:r>
      <w:r w:rsidRPr="004E007F">
        <w:rPr>
          <w:rFonts w:eastAsia="Times New Roman"/>
          <w:szCs w:val="17"/>
        </w:rPr>
        <w:tab/>
        <w:t xml:space="preserve">Dr Lauren Meyer, Flinders University </w:t>
      </w:r>
    </w:p>
    <w:p w:rsidR="002527A8" w:rsidRPr="004E007F" w:rsidRDefault="002527A8" w:rsidP="002527A8">
      <w:pPr>
        <w:ind w:left="284" w:hanging="284"/>
        <w:rPr>
          <w:rFonts w:eastAsia="Times New Roman"/>
          <w:szCs w:val="17"/>
        </w:rPr>
      </w:pPr>
      <w:r w:rsidRPr="004E007F">
        <w:rPr>
          <w:rFonts w:eastAsia="Times New Roman"/>
          <w:szCs w:val="17"/>
        </w:rPr>
        <w:t>4.</w:t>
      </w:r>
      <w:r w:rsidRPr="004E007F">
        <w:rPr>
          <w:rFonts w:eastAsia="Times New Roman"/>
          <w:szCs w:val="17"/>
        </w:rPr>
        <w:tab/>
        <w:t>At least 1 hour before conducting the exempted activity, the exemption holder or a person acting as an agent must contact the Department of Primary Industries and Regions (PIRSA) Fishwatch on 1800 065 522 and answer a series of questions about the exempted activity. The exemption holder will need to have a copy of the exemption at the time of making the call and be able to provide information about the area and time of the exempted activity, the vehicles and/or boats involved, the number of agents undertaking the exempted activity and other related questions. Exemption number ME9903138.</w:t>
      </w:r>
    </w:p>
    <w:p w:rsidR="002527A8" w:rsidRPr="004E007F" w:rsidRDefault="002527A8" w:rsidP="002527A8">
      <w:pPr>
        <w:ind w:left="284" w:hanging="284"/>
        <w:rPr>
          <w:rFonts w:eastAsia="Times New Roman"/>
          <w:szCs w:val="17"/>
        </w:rPr>
      </w:pPr>
      <w:r w:rsidRPr="004E007F">
        <w:rPr>
          <w:rFonts w:eastAsia="Times New Roman"/>
          <w:szCs w:val="17"/>
        </w:rPr>
        <w:lastRenderedPageBreak/>
        <w:t>5.</w:t>
      </w:r>
      <w:r w:rsidRPr="004E007F">
        <w:rPr>
          <w:rFonts w:eastAsia="Times New Roman"/>
          <w:szCs w:val="17"/>
        </w:rPr>
        <w:tab/>
        <w:t>The exemption holder must provide a written report detailing the outcomes of tagging and the collection of tissue samples pursuant to this notice to the Executive Director, Fisheries and Aquaculture, (GPO Box 1625, ADELAIDE SA 5001) within 14 days of expiration of this permit. The report must contain the following information:</w:t>
      </w:r>
    </w:p>
    <w:p w:rsidR="002527A8" w:rsidRPr="004E007F" w:rsidRDefault="002527A8" w:rsidP="002527A8">
      <w:pPr>
        <w:ind w:left="567" w:hanging="284"/>
        <w:rPr>
          <w:rFonts w:eastAsia="Times New Roman"/>
          <w:szCs w:val="17"/>
        </w:rPr>
      </w:pPr>
      <w:r w:rsidRPr="004E007F">
        <w:rPr>
          <w:rFonts w:eastAsia="Times New Roman"/>
          <w:szCs w:val="17"/>
        </w:rPr>
        <w:t>•</w:t>
      </w:r>
      <w:r w:rsidRPr="004E007F">
        <w:rPr>
          <w:rFonts w:eastAsia="Times New Roman"/>
          <w:szCs w:val="17"/>
        </w:rPr>
        <w:tab/>
        <w:t>the number and location of White Sharks tagged and the type of tag used;</w:t>
      </w:r>
    </w:p>
    <w:p w:rsidR="002527A8" w:rsidRPr="004E007F" w:rsidRDefault="002527A8" w:rsidP="002527A8">
      <w:pPr>
        <w:ind w:left="567" w:hanging="284"/>
        <w:rPr>
          <w:rFonts w:eastAsia="Times New Roman"/>
          <w:szCs w:val="17"/>
        </w:rPr>
      </w:pPr>
      <w:r w:rsidRPr="004E007F">
        <w:rPr>
          <w:rFonts w:eastAsia="Times New Roman"/>
          <w:szCs w:val="17"/>
        </w:rPr>
        <w:t>•</w:t>
      </w:r>
      <w:r w:rsidRPr="004E007F">
        <w:rPr>
          <w:rFonts w:eastAsia="Times New Roman"/>
          <w:szCs w:val="17"/>
        </w:rPr>
        <w:tab/>
        <w:t>the number and location of tissue samples collected;</w:t>
      </w:r>
    </w:p>
    <w:p w:rsidR="002527A8" w:rsidRPr="004E007F" w:rsidRDefault="002527A8" w:rsidP="002527A8">
      <w:pPr>
        <w:ind w:left="567" w:hanging="284"/>
        <w:rPr>
          <w:rFonts w:eastAsia="Times New Roman"/>
          <w:szCs w:val="17"/>
        </w:rPr>
      </w:pPr>
      <w:r w:rsidRPr="004E007F">
        <w:rPr>
          <w:rFonts w:eastAsia="Times New Roman"/>
          <w:szCs w:val="17"/>
        </w:rPr>
        <w:t>•</w:t>
      </w:r>
      <w:r w:rsidRPr="004E007F">
        <w:rPr>
          <w:rFonts w:eastAsia="Times New Roman"/>
          <w:szCs w:val="17"/>
        </w:rPr>
        <w:tab/>
        <w:t>the person who tagged or collected the tissue sample from each White Shark; and</w:t>
      </w:r>
    </w:p>
    <w:p w:rsidR="002527A8" w:rsidRPr="004E007F" w:rsidRDefault="002527A8" w:rsidP="002527A8">
      <w:pPr>
        <w:ind w:left="567" w:hanging="284"/>
        <w:rPr>
          <w:rFonts w:eastAsia="Times New Roman"/>
          <w:szCs w:val="17"/>
        </w:rPr>
      </w:pPr>
      <w:r w:rsidRPr="004E007F">
        <w:rPr>
          <w:rFonts w:eastAsia="Times New Roman"/>
          <w:szCs w:val="17"/>
        </w:rPr>
        <w:t>•</w:t>
      </w:r>
      <w:r w:rsidRPr="004E007F">
        <w:rPr>
          <w:rFonts w:eastAsia="Times New Roman"/>
          <w:szCs w:val="17"/>
        </w:rPr>
        <w:tab/>
        <w:t>any other relevant information.</w:t>
      </w:r>
    </w:p>
    <w:p w:rsidR="002527A8" w:rsidRPr="004E007F" w:rsidRDefault="002527A8" w:rsidP="002527A8">
      <w:pPr>
        <w:ind w:left="284"/>
        <w:rPr>
          <w:rFonts w:eastAsia="Times New Roman"/>
          <w:szCs w:val="17"/>
        </w:rPr>
      </w:pPr>
      <w:r w:rsidRPr="004E007F">
        <w:rPr>
          <w:rFonts w:eastAsia="Times New Roman"/>
          <w:szCs w:val="17"/>
        </w:rPr>
        <w:t>Or if no research activities are undertaken, the exemption holder must provide a report to that effect to PIRSA within 14 days of expiry of this exemption.</w:t>
      </w:r>
    </w:p>
    <w:p w:rsidR="002527A8" w:rsidRPr="004E007F" w:rsidRDefault="002527A8" w:rsidP="002527A8">
      <w:pPr>
        <w:ind w:left="284" w:hanging="284"/>
        <w:rPr>
          <w:rFonts w:eastAsia="Times New Roman"/>
          <w:szCs w:val="17"/>
        </w:rPr>
      </w:pPr>
      <w:r w:rsidRPr="004E007F">
        <w:rPr>
          <w:rFonts w:eastAsia="Times New Roman"/>
          <w:szCs w:val="17"/>
        </w:rPr>
        <w:t>6.</w:t>
      </w:r>
      <w:r w:rsidRPr="004E007F">
        <w:rPr>
          <w:rFonts w:eastAsia="Times New Roman"/>
          <w:szCs w:val="17"/>
        </w:rPr>
        <w:tab/>
        <w:t>While engaging in the exempted activity, the exemption holder and agents must be in possession of a signed copy of this notice and carry their identification card issued by Flinders University. Such notice and identification must be produced to a PIRSA Fisheries Officer immediately upon request.</w:t>
      </w:r>
    </w:p>
    <w:p w:rsidR="002527A8" w:rsidRPr="004E007F" w:rsidRDefault="002527A8" w:rsidP="002527A8">
      <w:pPr>
        <w:ind w:left="284" w:hanging="284"/>
        <w:rPr>
          <w:rFonts w:eastAsia="Times New Roman"/>
          <w:szCs w:val="17"/>
        </w:rPr>
      </w:pPr>
      <w:r w:rsidRPr="004E007F">
        <w:rPr>
          <w:rFonts w:eastAsia="Times New Roman"/>
          <w:szCs w:val="17"/>
        </w:rPr>
        <w:t>7.</w:t>
      </w:r>
      <w:r w:rsidRPr="004E007F">
        <w:rPr>
          <w:rFonts w:eastAsia="Times New Roman"/>
          <w:szCs w:val="17"/>
        </w:rPr>
        <w:tab/>
        <w:t>A person acting as an agent of the exemption holder must possess a copy of a signed letter from the exemption holder stating that they are acting as an agent during the exempted activity and carry their identification card issued by Flinders University.</w:t>
      </w:r>
    </w:p>
    <w:p w:rsidR="002527A8" w:rsidRPr="004E007F" w:rsidRDefault="002527A8" w:rsidP="002527A8">
      <w:pPr>
        <w:ind w:left="284" w:hanging="284"/>
        <w:rPr>
          <w:rFonts w:eastAsia="Times New Roman"/>
          <w:szCs w:val="17"/>
        </w:rPr>
      </w:pPr>
      <w:r w:rsidRPr="004E007F">
        <w:rPr>
          <w:rFonts w:eastAsia="Times New Roman"/>
          <w:szCs w:val="17"/>
        </w:rPr>
        <w:t>8.</w:t>
      </w:r>
      <w:r w:rsidRPr="004E007F">
        <w:rPr>
          <w:rFonts w:eastAsia="Times New Roman"/>
          <w:szCs w:val="17"/>
        </w:rPr>
        <w:tab/>
        <w:t xml:space="preserve">The exemption holder or agents must not contravene or fail to comply with the </w:t>
      </w:r>
      <w:r w:rsidRPr="004E007F">
        <w:rPr>
          <w:rFonts w:eastAsia="Times New Roman"/>
          <w:i/>
          <w:szCs w:val="17"/>
        </w:rPr>
        <w:t>Fisheries Management Act 2007</w:t>
      </w:r>
      <w:r w:rsidRPr="004E007F">
        <w:rPr>
          <w:rFonts w:eastAsia="Times New Roman"/>
          <w:szCs w:val="17"/>
        </w:rPr>
        <w:t xml:space="preserve"> or any regulations made under that Act, except where specifically exempted by this notice.</w:t>
      </w:r>
    </w:p>
    <w:p w:rsidR="002527A8" w:rsidRPr="004E007F" w:rsidRDefault="002527A8" w:rsidP="002527A8">
      <w:pPr>
        <w:rPr>
          <w:rFonts w:eastAsia="Times New Roman"/>
          <w:spacing w:val="-2"/>
          <w:szCs w:val="17"/>
        </w:rPr>
      </w:pPr>
      <w:r w:rsidRPr="004E007F">
        <w:rPr>
          <w:rFonts w:eastAsia="Times New Roman"/>
          <w:spacing w:val="-2"/>
          <w:szCs w:val="17"/>
        </w:rPr>
        <w:t xml:space="preserve">This notice does not purport to override the provisions or operation of any other Act including, but not limited to, the </w:t>
      </w:r>
      <w:r w:rsidRPr="004E007F">
        <w:rPr>
          <w:rFonts w:eastAsia="Times New Roman"/>
          <w:i/>
          <w:spacing w:val="-2"/>
          <w:szCs w:val="17"/>
        </w:rPr>
        <w:t>Marine Parks Act 2007</w:t>
      </w:r>
      <w:r w:rsidRPr="004E007F">
        <w:rPr>
          <w:rFonts w:eastAsia="Times New Roman"/>
          <w:spacing w:val="-2"/>
          <w:szCs w:val="17"/>
        </w:rPr>
        <w:t>. The exemption holder and his agents must comply with any relevant regulations, permits, requirements and directions from the Department of Environment and Water when undertaking activities within a marine park.</w:t>
      </w:r>
    </w:p>
    <w:p w:rsidR="002527A8" w:rsidRPr="004E007F" w:rsidRDefault="002527A8" w:rsidP="002527A8">
      <w:pPr>
        <w:spacing w:after="0"/>
        <w:rPr>
          <w:rFonts w:eastAsia="Times New Roman"/>
          <w:szCs w:val="17"/>
        </w:rPr>
      </w:pPr>
      <w:r w:rsidRPr="004E007F">
        <w:rPr>
          <w:rFonts w:eastAsia="Times New Roman"/>
          <w:szCs w:val="17"/>
        </w:rPr>
        <w:t>Dated: 13 December 2020</w:t>
      </w:r>
    </w:p>
    <w:p w:rsidR="002527A8" w:rsidRPr="004E007F" w:rsidRDefault="002527A8" w:rsidP="002527A8">
      <w:pPr>
        <w:spacing w:after="0"/>
        <w:jc w:val="right"/>
        <w:rPr>
          <w:rFonts w:eastAsia="Times New Roman"/>
          <w:smallCaps/>
          <w:szCs w:val="20"/>
        </w:rPr>
      </w:pPr>
      <w:r w:rsidRPr="004E007F">
        <w:rPr>
          <w:rFonts w:eastAsia="Times New Roman"/>
          <w:smallCaps/>
          <w:szCs w:val="20"/>
        </w:rPr>
        <w:t>Prof Gavin Begg</w:t>
      </w:r>
    </w:p>
    <w:p w:rsidR="002527A8" w:rsidRPr="004E007F" w:rsidRDefault="002527A8" w:rsidP="002527A8">
      <w:pPr>
        <w:spacing w:after="0"/>
        <w:jc w:val="right"/>
        <w:rPr>
          <w:rFonts w:eastAsia="Times New Roman"/>
          <w:szCs w:val="17"/>
        </w:rPr>
      </w:pPr>
      <w:r>
        <w:rPr>
          <w:rFonts w:eastAsia="Times New Roman"/>
          <w:szCs w:val="17"/>
        </w:rPr>
        <w:t>Executive Director</w:t>
      </w:r>
    </w:p>
    <w:p w:rsidR="002527A8" w:rsidRPr="004E007F" w:rsidRDefault="002527A8" w:rsidP="002527A8">
      <w:pPr>
        <w:spacing w:after="0"/>
        <w:jc w:val="right"/>
        <w:rPr>
          <w:rFonts w:eastAsia="Times New Roman"/>
          <w:szCs w:val="17"/>
        </w:rPr>
      </w:pPr>
      <w:r w:rsidRPr="004E007F">
        <w:rPr>
          <w:rFonts w:eastAsia="Times New Roman"/>
          <w:szCs w:val="17"/>
        </w:rPr>
        <w:t>Fisheries and Aquaculture</w:t>
      </w:r>
    </w:p>
    <w:p w:rsidR="002527A8" w:rsidRDefault="002527A8" w:rsidP="002527A8">
      <w:pPr>
        <w:spacing w:after="0"/>
        <w:jc w:val="right"/>
        <w:rPr>
          <w:rFonts w:eastAsia="Times New Roman"/>
          <w:szCs w:val="17"/>
        </w:rPr>
      </w:pPr>
      <w:r w:rsidRPr="004E007F">
        <w:rPr>
          <w:rFonts w:eastAsia="Times New Roman"/>
          <w:szCs w:val="17"/>
        </w:rPr>
        <w:t>Delegate of the Minister for Primary Industries and Regional Development</w:t>
      </w:r>
    </w:p>
    <w:p w:rsidR="002527A8" w:rsidRDefault="002527A8" w:rsidP="002527A8">
      <w:pPr>
        <w:pBdr>
          <w:bottom w:val="single" w:sz="4" w:space="1" w:color="auto"/>
        </w:pBdr>
        <w:spacing w:after="0" w:line="52" w:lineRule="exact"/>
        <w:jc w:val="center"/>
        <w:rPr>
          <w:lang w:val="en-US"/>
        </w:rPr>
      </w:pPr>
    </w:p>
    <w:p w:rsidR="002527A8" w:rsidRDefault="002527A8" w:rsidP="002527A8">
      <w:pPr>
        <w:pBdr>
          <w:top w:val="single" w:sz="4" w:space="1" w:color="auto"/>
        </w:pBdr>
        <w:spacing w:before="34" w:after="0" w:line="14" w:lineRule="exact"/>
        <w:jc w:val="center"/>
        <w:rPr>
          <w:lang w:val="en-US"/>
        </w:rPr>
      </w:pPr>
    </w:p>
    <w:p w:rsidR="002527A8" w:rsidRDefault="002527A8" w:rsidP="002527A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FA78F0" w:rsidRPr="00FA78F0" w:rsidRDefault="00FA78F0" w:rsidP="005549E6">
      <w:pPr>
        <w:pStyle w:val="Heading2"/>
      </w:pPr>
      <w:bookmarkStart w:id="111" w:name="_Toc59098950"/>
      <w:r w:rsidRPr="00FA78F0">
        <w:t>Fisheries Management (Prawn Fisheries) Regulations 2017</w:t>
      </w:r>
      <w:bookmarkEnd w:id="111"/>
    </w:p>
    <w:p w:rsidR="00FA78F0" w:rsidRPr="00FA78F0" w:rsidRDefault="00FA78F0" w:rsidP="00FA78F0">
      <w:pPr>
        <w:pStyle w:val="GG-Title3"/>
      </w:pPr>
      <w:r w:rsidRPr="00FA78F0">
        <w:t>Surveying in the Gulf St Vincent Prawn Fishery</w:t>
      </w:r>
    </w:p>
    <w:p w:rsidR="00FA78F0" w:rsidRPr="00FA78F0" w:rsidRDefault="00FA78F0" w:rsidP="00FA78F0">
      <w:pPr>
        <w:rPr>
          <w:rFonts w:eastAsia="Times New Roman"/>
          <w:szCs w:val="17"/>
        </w:rPr>
      </w:pPr>
      <w:r w:rsidRPr="00FA78F0">
        <w:rPr>
          <w:rFonts w:eastAsia="Times New Roman"/>
          <w:szCs w:val="17"/>
        </w:rPr>
        <w:t>TAKE notice that pursuant to Regulation 10 of the Fisheries Management (Prawn Fisheries) Regulations 2017, the notice dated 8 December 2020 prohibiting fishing activities in the Gulf St Vincent Prawn Fishery is HEREBY varied such that it will not apply to the holders of a Gulf St Vincent Prawn Fishery licence issued pursuant to the Fisheries Management (Prawn Fisheries) Regulations 2017 listed in Schedule 1 or their registered master insofar as they may use prawn trawl nets in accordance with the conditions of their fishery licence for the purpose of undertaking a prawn survey in the areas specified in Schedule 2 during the period specified in Schedule 3, subject to the conditions contained in Schedule 4 unless this notice is varied or revoked.</w:t>
      </w:r>
    </w:p>
    <w:p w:rsidR="00FA78F0" w:rsidRPr="00FA78F0" w:rsidRDefault="00FA78F0" w:rsidP="00FA78F0">
      <w:pPr>
        <w:jc w:val="center"/>
        <w:rPr>
          <w:smallCaps/>
          <w:szCs w:val="17"/>
        </w:rPr>
      </w:pPr>
      <w:r w:rsidRPr="00FA78F0">
        <w:rPr>
          <w:smallCaps/>
          <w:szCs w:val="17"/>
        </w:rPr>
        <w:t>Schedule 1</w:t>
      </w:r>
    </w:p>
    <w:tbl>
      <w:tblPr>
        <w:tblStyle w:val="TableGrid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787"/>
        <w:gridCol w:w="2033"/>
      </w:tblGrid>
      <w:tr w:rsidR="00FA78F0" w:rsidRPr="00FA78F0" w:rsidTr="00046B75">
        <w:trPr>
          <w:trHeight w:val="308"/>
          <w:jc w:val="center"/>
        </w:trPr>
        <w:tc>
          <w:tcPr>
            <w:tcW w:w="2127" w:type="dxa"/>
            <w:tcBorders>
              <w:top w:val="single" w:sz="4" w:space="0" w:color="auto"/>
              <w:bottom w:val="single" w:sz="4" w:space="0" w:color="auto"/>
            </w:tcBorders>
            <w:vAlign w:val="center"/>
          </w:tcPr>
          <w:p w:rsidR="00FA78F0" w:rsidRPr="00FA78F0" w:rsidRDefault="00FA78F0" w:rsidP="00FA78F0">
            <w:pPr>
              <w:spacing w:before="40" w:after="40"/>
              <w:jc w:val="center"/>
              <w:rPr>
                <w:b/>
                <w:szCs w:val="17"/>
              </w:rPr>
            </w:pPr>
            <w:r w:rsidRPr="00FA78F0">
              <w:rPr>
                <w:b/>
                <w:szCs w:val="17"/>
              </w:rPr>
              <w:t>Licence Number</w:t>
            </w:r>
          </w:p>
        </w:tc>
        <w:tc>
          <w:tcPr>
            <w:tcW w:w="2787" w:type="dxa"/>
            <w:tcBorders>
              <w:top w:val="single" w:sz="4" w:space="0" w:color="auto"/>
              <w:bottom w:val="single" w:sz="4" w:space="0" w:color="auto"/>
            </w:tcBorders>
            <w:vAlign w:val="center"/>
          </w:tcPr>
          <w:p w:rsidR="00FA78F0" w:rsidRPr="00FA78F0" w:rsidRDefault="00FA78F0" w:rsidP="00FA78F0">
            <w:pPr>
              <w:spacing w:before="40" w:after="40"/>
              <w:jc w:val="center"/>
              <w:rPr>
                <w:b/>
                <w:szCs w:val="17"/>
              </w:rPr>
            </w:pPr>
            <w:r w:rsidRPr="00FA78F0">
              <w:rPr>
                <w:b/>
                <w:szCs w:val="17"/>
              </w:rPr>
              <w:t>Licence Holder</w:t>
            </w:r>
          </w:p>
        </w:tc>
        <w:tc>
          <w:tcPr>
            <w:tcW w:w="2033" w:type="dxa"/>
            <w:tcBorders>
              <w:top w:val="single" w:sz="4" w:space="0" w:color="auto"/>
              <w:bottom w:val="single" w:sz="4" w:space="0" w:color="auto"/>
            </w:tcBorders>
            <w:vAlign w:val="center"/>
          </w:tcPr>
          <w:p w:rsidR="00FA78F0" w:rsidRPr="00FA78F0" w:rsidRDefault="00FA78F0" w:rsidP="00FA78F0">
            <w:pPr>
              <w:spacing w:before="40" w:after="40"/>
              <w:jc w:val="center"/>
              <w:rPr>
                <w:b/>
                <w:szCs w:val="17"/>
              </w:rPr>
            </w:pPr>
            <w:r w:rsidRPr="00FA78F0">
              <w:rPr>
                <w:b/>
                <w:szCs w:val="17"/>
              </w:rPr>
              <w:t>Boat Name</w:t>
            </w:r>
          </w:p>
        </w:tc>
      </w:tr>
      <w:tr w:rsidR="00FA78F0" w:rsidRPr="00FA78F0" w:rsidTr="00046B75">
        <w:trPr>
          <w:trHeight w:val="41"/>
          <w:jc w:val="center"/>
        </w:trPr>
        <w:tc>
          <w:tcPr>
            <w:tcW w:w="2127" w:type="dxa"/>
            <w:tcBorders>
              <w:top w:val="single" w:sz="4" w:space="0" w:color="auto"/>
            </w:tcBorders>
          </w:tcPr>
          <w:p w:rsidR="00FA78F0" w:rsidRPr="00FA78F0" w:rsidRDefault="00FA78F0" w:rsidP="00FA78F0">
            <w:pPr>
              <w:spacing w:after="0" w:line="80" w:lineRule="exact"/>
              <w:rPr>
                <w:szCs w:val="17"/>
              </w:rPr>
            </w:pPr>
          </w:p>
        </w:tc>
        <w:tc>
          <w:tcPr>
            <w:tcW w:w="2787" w:type="dxa"/>
            <w:tcBorders>
              <w:top w:val="single" w:sz="4" w:space="0" w:color="auto"/>
            </w:tcBorders>
          </w:tcPr>
          <w:p w:rsidR="00FA78F0" w:rsidRPr="00FA78F0" w:rsidRDefault="00FA78F0" w:rsidP="00FA78F0">
            <w:pPr>
              <w:spacing w:after="0" w:line="80" w:lineRule="exact"/>
              <w:rPr>
                <w:szCs w:val="17"/>
              </w:rPr>
            </w:pPr>
          </w:p>
        </w:tc>
        <w:tc>
          <w:tcPr>
            <w:tcW w:w="2033" w:type="dxa"/>
            <w:tcBorders>
              <w:top w:val="single" w:sz="4" w:space="0" w:color="auto"/>
            </w:tcBorders>
          </w:tcPr>
          <w:p w:rsidR="00FA78F0" w:rsidRPr="00FA78F0" w:rsidRDefault="00FA78F0" w:rsidP="00FA78F0">
            <w:pPr>
              <w:spacing w:after="0" w:line="80" w:lineRule="exact"/>
              <w:rPr>
                <w:szCs w:val="17"/>
              </w:rPr>
            </w:pPr>
          </w:p>
        </w:tc>
      </w:tr>
      <w:tr w:rsidR="00FA78F0" w:rsidRPr="00FA78F0" w:rsidTr="00046B75">
        <w:trPr>
          <w:jc w:val="center"/>
        </w:trPr>
        <w:tc>
          <w:tcPr>
            <w:tcW w:w="2127" w:type="dxa"/>
          </w:tcPr>
          <w:p w:rsidR="00FA78F0" w:rsidRPr="00FA78F0" w:rsidRDefault="00FA78F0" w:rsidP="00FA78F0">
            <w:pPr>
              <w:spacing w:after="0"/>
              <w:ind w:left="318"/>
              <w:rPr>
                <w:szCs w:val="17"/>
              </w:rPr>
            </w:pPr>
            <w:r w:rsidRPr="00FA78F0">
              <w:rPr>
                <w:szCs w:val="17"/>
              </w:rPr>
              <w:t>V03 or V09</w:t>
            </w:r>
          </w:p>
        </w:tc>
        <w:tc>
          <w:tcPr>
            <w:tcW w:w="2787" w:type="dxa"/>
          </w:tcPr>
          <w:p w:rsidR="00FA78F0" w:rsidRPr="00FA78F0" w:rsidRDefault="00FA78F0" w:rsidP="00FA78F0">
            <w:pPr>
              <w:spacing w:after="0"/>
              <w:ind w:left="176"/>
              <w:rPr>
                <w:szCs w:val="17"/>
              </w:rPr>
            </w:pPr>
            <w:r w:rsidRPr="00FA78F0">
              <w:rPr>
                <w:szCs w:val="17"/>
              </w:rPr>
              <w:t>Josephine K Fisheries Pty Ltd</w:t>
            </w:r>
          </w:p>
        </w:tc>
        <w:tc>
          <w:tcPr>
            <w:tcW w:w="2033" w:type="dxa"/>
          </w:tcPr>
          <w:p w:rsidR="00FA78F0" w:rsidRPr="00FA78F0" w:rsidRDefault="00FA78F0" w:rsidP="00FA78F0">
            <w:pPr>
              <w:spacing w:after="0"/>
              <w:jc w:val="center"/>
              <w:rPr>
                <w:i/>
                <w:szCs w:val="17"/>
              </w:rPr>
            </w:pPr>
            <w:r w:rsidRPr="00FA78F0">
              <w:rPr>
                <w:i/>
                <w:szCs w:val="17"/>
              </w:rPr>
              <w:t>Josephine K</w:t>
            </w:r>
          </w:p>
        </w:tc>
      </w:tr>
      <w:tr w:rsidR="00FA78F0" w:rsidRPr="00FA78F0" w:rsidTr="00046B75">
        <w:trPr>
          <w:jc w:val="center"/>
        </w:trPr>
        <w:tc>
          <w:tcPr>
            <w:tcW w:w="2127" w:type="dxa"/>
          </w:tcPr>
          <w:p w:rsidR="00FA78F0" w:rsidRPr="00FA78F0" w:rsidRDefault="00FA78F0" w:rsidP="00FA78F0">
            <w:pPr>
              <w:spacing w:after="0"/>
              <w:ind w:left="318"/>
              <w:rPr>
                <w:szCs w:val="17"/>
              </w:rPr>
            </w:pPr>
            <w:r w:rsidRPr="00FA78F0">
              <w:rPr>
                <w:szCs w:val="17"/>
              </w:rPr>
              <w:t>V05 or V06</w:t>
            </w:r>
          </w:p>
        </w:tc>
        <w:tc>
          <w:tcPr>
            <w:tcW w:w="2787" w:type="dxa"/>
          </w:tcPr>
          <w:p w:rsidR="00FA78F0" w:rsidRPr="00FA78F0" w:rsidRDefault="00FA78F0" w:rsidP="00FA78F0">
            <w:pPr>
              <w:spacing w:after="0"/>
              <w:ind w:left="176"/>
              <w:rPr>
                <w:szCs w:val="17"/>
              </w:rPr>
            </w:pPr>
            <w:r w:rsidRPr="00FA78F0">
              <w:rPr>
                <w:szCs w:val="17"/>
              </w:rPr>
              <w:t>Todreel Pty Ltd</w:t>
            </w:r>
          </w:p>
        </w:tc>
        <w:tc>
          <w:tcPr>
            <w:tcW w:w="2033" w:type="dxa"/>
          </w:tcPr>
          <w:p w:rsidR="00FA78F0" w:rsidRPr="00FA78F0" w:rsidRDefault="00FA78F0" w:rsidP="00FA78F0">
            <w:pPr>
              <w:spacing w:after="0"/>
              <w:jc w:val="center"/>
              <w:rPr>
                <w:i/>
                <w:szCs w:val="17"/>
              </w:rPr>
            </w:pPr>
            <w:r w:rsidRPr="00FA78F0">
              <w:rPr>
                <w:i/>
                <w:szCs w:val="17"/>
              </w:rPr>
              <w:t>Anna Pearl</w:t>
            </w:r>
          </w:p>
        </w:tc>
      </w:tr>
      <w:tr w:rsidR="00FA78F0" w:rsidRPr="00FA78F0" w:rsidTr="00046B75">
        <w:trPr>
          <w:jc w:val="center"/>
        </w:trPr>
        <w:tc>
          <w:tcPr>
            <w:tcW w:w="2127" w:type="dxa"/>
            <w:tcBorders>
              <w:bottom w:val="single" w:sz="4" w:space="0" w:color="auto"/>
            </w:tcBorders>
          </w:tcPr>
          <w:p w:rsidR="00FA78F0" w:rsidRPr="00FA78F0" w:rsidRDefault="00FA78F0" w:rsidP="00FA78F0">
            <w:pPr>
              <w:ind w:left="318"/>
              <w:rPr>
                <w:szCs w:val="17"/>
              </w:rPr>
            </w:pPr>
            <w:r w:rsidRPr="00FA78F0">
              <w:rPr>
                <w:szCs w:val="17"/>
              </w:rPr>
              <w:t>V02</w:t>
            </w:r>
          </w:p>
        </w:tc>
        <w:tc>
          <w:tcPr>
            <w:tcW w:w="2787" w:type="dxa"/>
            <w:tcBorders>
              <w:bottom w:val="single" w:sz="4" w:space="0" w:color="auto"/>
            </w:tcBorders>
          </w:tcPr>
          <w:p w:rsidR="00FA78F0" w:rsidRPr="00FA78F0" w:rsidRDefault="00FA78F0" w:rsidP="00FA78F0">
            <w:pPr>
              <w:ind w:left="176"/>
              <w:rPr>
                <w:szCs w:val="17"/>
              </w:rPr>
            </w:pPr>
            <w:r w:rsidRPr="00FA78F0">
              <w:rPr>
                <w:szCs w:val="17"/>
              </w:rPr>
              <w:t>W J Fountain Pty Ltd</w:t>
            </w:r>
          </w:p>
        </w:tc>
        <w:tc>
          <w:tcPr>
            <w:tcW w:w="2033" w:type="dxa"/>
            <w:tcBorders>
              <w:bottom w:val="single" w:sz="4" w:space="0" w:color="auto"/>
            </w:tcBorders>
          </w:tcPr>
          <w:p w:rsidR="00FA78F0" w:rsidRPr="00FA78F0" w:rsidRDefault="00FA78F0" w:rsidP="00FA78F0">
            <w:pPr>
              <w:jc w:val="center"/>
              <w:rPr>
                <w:i/>
                <w:szCs w:val="17"/>
              </w:rPr>
            </w:pPr>
            <w:r w:rsidRPr="00FA78F0">
              <w:rPr>
                <w:i/>
                <w:szCs w:val="17"/>
              </w:rPr>
              <w:t>Angela Kaye</w:t>
            </w:r>
          </w:p>
        </w:tc>
      </w:tr>
      <w:tr w:rsidR="00FA78F0" w:rsidRPr="00FA78F0" w:rsidTr="00046B75">
        <w:trPr>
          <w:jc w:val="center"/>
        </w:trPr>
        <w:tc>
          <w:tcPr>
            <w:tcW w:w="2127" w:type="dxa"/>
            <w:tcBorders>
              <w:top w:val="single" w:sz="4" w:space="0" w:color="auto"/>
            </w:tcBorders>
          </w:tcPr>
          <w:p w:rsidR="00FA78F0" w:rsidRPr="00FA78F0" w:rsidRDefault="00FA78F0" w:rsidP="00FA78F0">
            <w:pPr>
              <w:spacing w:after="0" w:line="80" w:lineRule="exact"/>
              <w:rPr>
                <w:szCs w:val="17"/>
              </w:rPr>
            </w:pPr>
          </w:p>
        </w:tc>
        <w:tc>
          <w:tcPr>
            <w:tcW w:w="2787" w:type="dxa"/>
            <w:tcBorders>
              <w:top w:val="single" w:sz="4" w:space="0" w:color="auto"/>
            </w:tcBorders>
          </w:tcPr>
          <w:p w:rsidR="00FA78F0" w:rsidRPr="00FA78F0" w:rsidRDefault="00FA78F0" w:rsidP="00FA78F0">
            <w:pPr>
              <w:spacing w:after="0" w:line="80" w:lineRule="exact"/>
              <w:rPr>
                <w:szCs w:val="17"/>
              </w:rPr>
            </w:pPr>
          </w:p>
        </w:tc>
        <w:tc>
          <w:tcPr>
            <w:tcW w:w="2033" w:type="dxa"/>
            <w:tcBorders>
              <w:top w:val="single" w:sz="4" w:space="0" w:color="auto"/>
            </w:tcBorders>
          </w:tcPr>
          <w:p w:rsidR="00FA78F0" w:rsidRPr="00FA78F0" w:rsidRDefault="00FA78F0" w:rsidP="00FA78F0">
            <w:pPr>
              <w:spacing w:after="0" w:line="80" w:lineRule="exact"/>
              <w:rPr>
                <w:szCs w:val="17"/>
              </w:rPr>
            </w:pPr>
          </w:p>
        </w:tc>
      </w:tr>
    </w:tbl>
    <w:p w:rsidR="00FA78F0" w:rsidRPr="00FA78F0" w:rsidRDefault="00FA78F0" w:rsidP="00FA78F0">
      <w:pPr>
        <w:jc w:val="center"/>
        <w:rPr>
          <w:smallCaps/>
          <w:szCs w:val="17"/>
        </w:rPr>
      </w:pPr>
      <w:r w:rsidRPr="00FA78F0">
        <w:rPr>
          <w:smallCaps/>
          <w:szCs w:val="17"/>
        </w:rPr>
        <w:t>Schedule 2</w:t>
      </w:r>
    </w:p>
    <w:p w:rsidR="00FA78F0" w:rsidRPr="00FA78F0" w:rsidRDefault="00FA78F0" w:rsidP="00FA78F0">
      <w:pPr>
        <w:rPr>
          <w:rFonts w:eastAsia="Times New Roman"/>
          <w:szCs w:val="17"/>
        </w:rPr>
      </w:pPr>
      <w:r w:rsidRPr="00FA78F0">
        <w:rPr>
          <w:rFonts w:eastAsia="Times New Roman"/>
          <w:szCs w:val="17"/>
        </w:rPr>
        <w:t>North of 35°05.00ʹS latitude.</w:t>
      </w:r>
    </w:p>
    <w:p w:rsidR="00FA78F0" w:rsidRPr="00FA78F0" w:rsidRDefault="00FA78F0" w:rsidP="00FA78F0">
      <w:pPr>
        <w:jc w:val="center"/>
        <w:rPr>
          <w:smallCaps/>
          <w:szCs w:val="17"/>
        </w:rPr>
      </w:pPr>
      <w:r w:rsidRPr="00FA78F0">
        <w:rPr>
          <w:smallCaps/>
          <w:szCs w:val="17"/>
        </w:rPr>
        <w:t>Schedule 3</w:t>
      </w:r>
    </w:p>
    <w:p w:rsidR="00FA78F0" w:rsidRPr="00FA78F0" w:rsidRDefault="00FA78F0" w:rsidP="00FA78F0">
      <w:pPr>
        <w:rPr>
          <w:rFonts w:eastAsia="Times New Roman"/>
          <w:szCs w:val="17"/>
        </w:rPr>
      </w:pPr>
      <w:r w:rsidRPr="00FA78F0">
        <w:rPr>
          <w:rFonts w:eastAsia="Times New Roman"/>
          <w:szCs w:val="17"/>
        </w:rPr>
        <w:t>Commencing at sunset on 8 December 2020 to sunrise on 9 December 2020.</w:t>
      </w:r>
    </w:p>
    <w:p w:rsidR="00FA78F0" w:rsidRPr="00FA78F0" w:rsidRDefault="00FA78F0" w:rsidP="00FA78F0">
      <w:pPr>
        <w:jc w:val="center"/>
        <w:rPr>
          <w:smallCaps/>
          <w:szCs w:val="17"/>
        </w:rPr>
      </w:pPr>
      <w:r w:rsidRPr="00FA78F0">
        <w:rPr>
          <w:smallCaps/>
          <w:szCs w:val="17"/>
        </w:rPr>
        <w:t>Schedule 4</w:t>
      </w:r>
    </w:p>
    <w:p w:rsidR="00FA78F0" w:rsidRPr="00FA78F0" w:rsidRDefault="00FA78F0" w:rsidP="00FA78F0">
      <w:pPr>
        <w:ind w:left="284" w:hanging="284"/>
        <w:rPr>
          <w:rFonts w:eastAsia="Times New Roman"/>
          <w:szCs w:val="17"/>
        </w:rPr>
      </w:pPr>
      <w:r w:rsidRPr="00FA78F0">
        <w:rPr>
          <w:rFonts w:eastAsia="Times New Roman"/>
          <w:szCs w:val="17"/>
        </w:rPr>
        <w:t>1.</w:t>
      </w:r>
      <w:r w:rsidRPr="00FA78F0">
        <w:rPr>
          <w:rFonts w:eastAsia="Times New Roman"/>
          <w:szCs w:val="17"/>
        </w:rPr>
        <w:tab/>
        <w:t>The coordinates in Schedule 2 are defined as degrees decimal minutes and are based on the World Geodetic System 1984 (WGS 84).</w:t>
      </w:r>
    </w:p>
    <w:p w:rsidR="00FA78F0" w:rsidRPr="00FA78F0" w:rsidRDefault="00FA78F0" w:rsidP="00FA78F0">
      <w:pPr>
        <w:ind w:left="284" w:hanging="284"/>
        <w:rPr>
          <w:rFonts w:eastAsia="Times New Roman"/>
          <w:szCs w:val="17"/>
        </w:rPr>
      </w:pPr>
      <w:r w:rsidRPr="00FA78F0">
        <w:rPr>
          <w:rFonts w:eastAsia="Times New Roman"/>
          <w:szCs w:val="17"/>
        </w:rPr>
        <w:t>2.</w:t>
      </w:r>
      <w:r w:rsidRPr="00FA78F0">
        <w:rPr>
          <w:rFonts w:eastAsia="Times New Roman"/>
          <w:szCs w:val="17"/>
        </w:rPr>
        <w:tab/>
        <w:t xml:space="preserve">For the purposes of this notice the trawl survey areas cannot include any waters of a habitat protection zone or a sanctuary zone of a marine park established under the </w:t>
      </w:r>
      <w:r w:rsidRPr="00FA78F0">
        <w:rPr>
          <w:rFonts w:eastAsia="Times New Roman"/>
          <w:i/>
          <w:szCs w:val="17"/>
        </w:rPr>
        <w:t>Marine Parks Act 2007</w:t>
      </w:r>
      <w:r w:rsidRPr="00FA78F0">
        <w:rPr>
          <w:rFonts w:eastAsia="Times New Roman"/>
          <w:szCs w:val="17"/>
        </w:rPr>
        <w:t xml:space="preserve"> or depths less than 10 metres.</w:t>
      </w:r>
    </w:p>
    <w:p w:rsidR="00FA78F0" w:rsidRPr="00FA78F0" w:rsidRDefault="00FA78F0" w:rsidP="00FA78F0">
      <w:pPr>
        <w:ind w:left="284" w:hanging="284"/>
        <w:rPr>
          <w:rFonts w:eastAsia="Times New Roman"/>
          <w:szCs w:val="17"/>
        </w:rPr>
      </w:pPr>
      <w:r w:rsidRPr="00FA78F0">
        <w:rPr>
          <w:rFonts w:eastAsia="Times New Roman"/>
          <w:szCs w:val="17"/>
        </w:rPr>
        <w:t>3.</w:t>
      </w:r>
      <w:r w:rsidRPr="00FA78F0">
        <w:rPr>
          <w:rFonts w:eastAsia="Times New Roman"/>
          <w:szCs w:val="17"/>
        </w:rPr>
        <w:tab/>
        <w:t>The licence holders listed in Schedule 1 or their registered master must comply with all regulations and conditions that apply to fishing activities undertaken pursuant to their licence, in addition to the conditions imposed by this notice.</w:t>
      </w:r>
    </w:p>
    <w:p w:rsidR="00FA78F0" w:rsidRPr="00FA78F0" w:rsidRDefault="00FA78F0" w:rsidP="00FA78F0">
      <w:pPr>
        <w:ind w:left="284" w:hanging="284"/>
        <w:rPr>
          <w:rFonts w:eastAsia="Times New Roman"/>
          <w:szCs w:val="17"/>
        </w:rPr>
      </w:pPr>
      <w:r w:rsidRPr="00FA78F0">
        <w:rPr>
          <w:rFonts w:eastAsia="Times New Roman"/>
          <w:szCs w:val="17"/>
        </w:rPr>
        <w:t>4.</w:t>
      </w:r>
      <w:r w:rsidRPr="00FA78F0">
        <w:rPr>
          <w:rFonts w:eastAsia="Times New Roman"/>
          <w:szCs w:val="17"/>
        </w:rPr>
        <w:tab/>
        <w:t>While engaged in fishing activities or unloading the survey catch, the licence holders listed in Schedule 1 or their registered master must have a copy of this notice on board the boat or near his person. This notice must be produced to a Fisheries Officer if requested.</w:t>
      </w:r>
    </w:p>
    <w:p w:rsidR="00FA78F0" w:rsidRPr="00FA78F0" w:rsidRDefault="00FA78F0" w:rsidP="00FA78F0">
      <w:pPr>
        <w:ind w:left="284" w:hanging="284"/>
        <w:rPr>
          <w:rFonts w:eastAsia="Times New Roman"/>
          <w:szCs w:val="17"/>
        </w:rPr>
      </w:pPr>
      <w:r w:rsidRPr="00FA78F0">
        <w:rPr>
          <w:rFonts w:eastAsia="Times New Roman"/>
          <w:szCs w:val="17"/>
        </w:rPr>
        <w:t>5.</w:t>
      </w:r>
      <w:r w:rsidRPr="00FA78F0">
        <w:rPr>
          <w:rFonts w:eastAsia="Times New Roman"/>
          <w:szCs w:val="17"/>
        </w:rPr>
        <w:tab/>
        <w:t xml:space="preserve">No fishing activity may be undertaken between the prescribed times of sunrise and sunset for Adelaide (as published in the </w:t>
      </w:r>
      <w:r w:rsidRPr="00FA78F0">
        <w:rPr>
          <w:rFonts w:eastAsia="Times New Roman"/>
          <w:i/>
          <w:szCs w:val="17"/>
        </w:rPr>
        <w:t>South Australian Government Gazette</w:t>
      </w:r>
      <w:r w:rsidRPr="00FA78F0">
        <w:rPr>
          <w:rFonts w:eastAsia="Times New Roman"/>
          <w:szCs w:val="17"/>
        </w:rPr>
        <w:t>).</w:t>
      </w:r>
    </w:p>
    <w:p w:rsidR="00FA78F0" w:rsidRPr="00FA78F0" w:rsidRDefault="00FA78F0" w:rsidP="00FA78F0">
      <w:pPr>
        <w:ind w:left="284" w:hanging="284"/>
        <w:rPr>
          <w:rFonts w:eastAsia="Times New Roman"/>
          <w:szCs w:val="17"/>
        </w:rPr>
      </w:pPr>
      <w:r w:rsidRPr="00FA78F0">
        <w:rPr>
          <w:rFonts w:eastAsia="Times New Roman"/>
          <w:szCs w:val="17"/>
        </w:rPr>
        <w:t>6.</w:t>
      </w:r>
      <w:r w:rsidRPr="00FA78F0">
        <w:rPr>
          <w:rFonts w:eastAsia="Times New Roman"/>
          <w:szCs w:val="17"/>
        </w:rPr>
        <w:tab/>
      </w:r>
      <w:r w:rsidRPr="00FA78F0">
        <w:rPr>
          <w:rFonts w:eastAsia="Times New Roman"/>
          <w:spacing w:val="-4"/>
          <w:szCs w:val="17"/>
        </w:rPr>
        <w:t xml:space="preserve">The licence holders listed in Schedule 1 or their register master must not contravene or fail to comply with the </w:t>
      </w:r>
      <w:r w:rsidRPr="00FA78F0">
        <w:rPr>
          <w:rFonts w:eastAsia="Times New Roman"/>
          <w:i/>
          <w:spacing w:val="-4"/>
          <w:szCs w:val="17"/>
        </w:rPr>
        <w:t>Fisheries Management Act 2007</w:t>
      </w:r>
      <w:r w:rsidRPr="00FA78F0">
        <w:rPr>
          <w:rFonts w:eastAsia="Times New Roman"/>
          <w:spacing w:val="-4"/>
          <w:szCs w:val="17"/>
        </w:rPr>
        <w:t xml:space="preserve">, </w:t>
      </w:r>
      <w:r w:rsidRPr="00FA78F0">
        <w:rPr>
          <w:rFonts w:eastAsia="Times New Roman"/>
          <w:szCs w:val="17"/>
        </w:rPr>
        <w:t>or any other regulations made under that Act except where specifically exempted by this notice.</w:t>
      </w:r>
    </w:p>
    <w:p w:rsidR="00FA78F0" w:rsidRPr="00FA78F0" w:rsidRDefault="00FA78F0" w:rsidP="00FA78F0">
      <w:pPr>
        <w:ind w:left="284" w:hanging="284"/>
        <w:rPr>
          <w:rFonts w:eastAsia="Times New Roman"/>
          <w:szCs w:val="17"/>
        </w:rPr>
      </w:pPr>
      <w:r w:rsidRPr="00FA78F0">
        <w:rPr>
          <w:rFonts w:eastAsia="Times New Roman"/>
          <w:szCs w:val="17"/>
        </w:rPr>
        <w:t>7.</w:t>
      </w:r>
      <w:r w:rsidRPr="00FA78F0">
        <w:rPr>
          <w:rFonts w:eastAsia="Times New Roman"/>
          <w:szCs w:val="17"/>
        </w:rPr>
        <w:tab/>
      </w:r>
      <w:r w:rsidRPr="00FA78F0">
        <w:rPr>
          <w:rFonts w:eastAsia="Times New Roman"/>
          <w:spacing w:val="-4"/>
          <w:szCs w:val="17"/>
        </w:rPr>
        <w:t xml:space="preserve">This notice does not purport to override the provisions or operation of any other Act including, but not limited to, the </w:t>
      </w:r>
      <w:r w:rsidRPr="00FA78F0">
        <w:rPr>
          <w:rFonts w:eastAsia="Times New Roman"/>
          <w:i/>
          <w:spacing w:val="-4"/>
          <w:szCs w:val="17"/>
        </w:rPr>
        <w:t>Marine Parks Act 2007</w:t>
      </w:r>
      <w:r w:rsidRPr="00FA78F0">
        <w:rPr>
          <w:rFonts w:eastAsia="Times New Roman"/>
          <w:spacing w:val="-4"/>
          <w:szCs w:val="17"/>
        </w:rPr>
        <w:t xml:space="preserve">. </w:t>
      </w:r>
      <w:r w:rsidRPr="00FA78F0">
        <w:rPr>
          <w:rFonts w:eastAsia="Times New Roman"/>
          <w:szCs w:val="17"/>
        </w:rPr>
        <w:t>The notice holder and his agents must comply with any relevant regulations, permits, requirements and directions from the Department of Environment, Water and Natural Resources when undertaking activities within a marine park.</w:t>
      </w:r>
    </w:p>
    <w:p w:rsidR="00FA78F0" w:rsidRPr="00FA78F0" w:rsidRDefault="00FA78F0" w:rsidP="00FA78F0">
      <w:pPr>
        <w:spacing w:after="0"/>
        <w:rPr>
          <w:rFonts w:eastAsia="Times New Roman"/>
          <w:szCs w:val="17"/>
        </w:rPr>
      </w:pPr>
      <w:r w:rsidRPr="00FA78F0">
        <w:rPr>
          <w:rFonts w:eastAsia="Times New Roman"/>
          <w:szCs w:val="17"/>
        </w:rPr>
        <w:t>Dated: 8 December 2020</w:t>
      </w:r>
    </w:p>
    <w:p w:rsidR="00FA78F0" w:rsidRPr="00FA78F0" w:rsidRDefault="00FA78F0" w:rsidP="00FA78F0">
      <w:pPr>
        <w:spacing w:after="0"/>
        <w:jc w:val="right"/>
        <w:rPr>
          <w:rFonts w:eastAsia="Times New Roman"/>
          <w:smallCaps/>
          <w:szCs w:val="17"/>
        </w:rPr>
      </w:pPr>
      <w:r w:rsidRPr="00FA78F0">
        <w:rPr>
          <w:rFonts w:eastAsia="Times New Roman"/>
          <w:smallCaps/>
          <w:szCs w:val="17"/>
        </w:rPr>
        <w:t>Craig Noell</w:t>
      </w:r>
    </w:p>
    <w:p w:rsidR="00FA78F0" w:rsidRPr="00FA78F0" w:rsidRDefault="00FA78F0" w:rsidP="00FA78F0">
      <w:pPr>
        <w:spacing w:after="0"/>
        <w:jc w:val="right"/>
        <w:rPr>
          <w:rFonts w:eastAsia="Times New Roman"/>
          <w:szCs w:val="17"/>
        </w:rPr>
      </w:pPr>
      <w:r w:rsidRPr="00FA78F0">
        <w:rPr>
          <w:rFonts w:eastAsia="Times New Roman"/>
          <w:szCs w:val="17"/>
        </w:rPr>
        <w:t>A/Prawn Fisheries Manager</w:t>
      </w:r>
    </w:p>
    <w:p w:rsidR="00D04E71" w:rsidRDefault="00FA78F0" w:rsidP="00D04E71">
      <w:pPr>
        <w:spacing w:after="0"/>
        <w:jc w:val="right"/>
        <w:rPr>
          <w:rFonts w:eastAsia="Times New Roman"/>
          <w:szCs w:val="17"/>
        </w:rPr>
      </w:pPr>
      <w:r w:rsidRPr="00FA78F0">
        <w:rPr>
          <w:rFonts w:eastAsia="Times New Roman"/>
          <w:szCs w:val="17"/>
        </w:rPr>
        <w:t>Delegate of the Minister for Primary Industries and Regional Development</w:t>
      </w:r>
    </w:p>
    <w:p w:rsidR="00D04E71" w:rsidRDefault="00D04E71" w:rsidP="00D04E71">
      <w:pPr>
        <w:pBdr>
          <w:top w:val="single" w:sz="4" w:space="1" w:color="auto"/>
        </w:pBdr>
        <w:spacing w:before="100" w:after="0" w:line="14" w:lineRule="exact"/>
        <w:jc w:val="center"/>
        <w:rPr>
          <w:lang w:val="en-US"/>
        </w:rPr>
      </w:pPr>
    </w:p>
    <w:p w:rsidR="00D04E71" w:rsidRDefault="00D04E71" w:rsidP="00D04E7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rsidR="00D04E71" w:rsidRDefault="00D04E71" w:rsidP="00D04E7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r>
        <w:rPr>
          <w:lang w:val="en-US"/>
        </w:rPr>
        <w:br w:type="page"/>
      </w:r>
    </w:p>
    <w:p w:rsidR="00D04E71" w:rsidRPr="00FA78F0" w:rsidRDefault="00D04E71" w:rsidP="009D5EF7">
      <w:pPr>
        <w:spacing w:after="60"/>
        <w:jc w:val="center"/>
        <w:rPr>
          <w:caps/>
          <w:szCs w:val="17"/>
        </w:rPr>
      </w:pPr>
      <w:r w:rsidRPr="00FA78F0">
        <w:rPr>
          <w:caps/>
          <w:szCs w:val="17"/>
        </w:rPr>
        <w:lastRenderedPageBreak/>
        <w:t>Fisheries Management (Prawn Fisheries) Regulations 2017</w:t>
      </w:r>
    </w:p>
    <w:p w:rsidR="00D04E71" w:rsidRPr="00FA78F0" w:rsidRDefault="00D04E71" w:rsidP="009D5EF7">
      <w:pPr>
        <w:pStyle w:val="GG-Title3"/>
        <w:spacing w:after="60"/>
      </w:pPr>
      <w:r w:rsidRPr="00FA78F0">
        <w:t>Temporary Prohibition on Fishing Activities in the Gulf St Vincent Prawn Fishery</w:t>
      </w:r>
    </w:p>
    <w:p w:rsidR="00D04E71" w:rsidRPr="00FA78F0" w:rsidRDefault="00D04E71" w:rsidP="009D5EF7">
      <w:pPr>
        <w:spacing w:after="60"/>
        <w:rPr>
          <w:rFonts w:eastAsia="Times New Roman"/>
          <w:szCs w:val="17"/>
        </w:rPr>
      </w:pPr>
      <w:r w:rsidRPr="00FA78F0">
        <w:rPr>
          <w:rFonts w:eastAsia="Times New Roman"/>
          <w:szCs w:val="17"/>
        </w:rPr>
        <w:t>TAKE notice that pursuant to Regulation 10 of the Fisheries Management (Prawn Fisheries) Regulations 2017, the activities of the class specified in Schedule 1 are prohibited in the waters of the Gulf St Vincent Prawn Fishery during the period specified in Schedule 2 unless this notice is varied or revoked.</w:t>
      </w:r>
    </w:p>
    <w:p w:rsidR="00D04E71" w:rsidRPr="00FA78F0" w:rsidRDefault="00D04E71" w:rsidP="009D5EF7">
      <w:pPr>
        <w:spacing w:after="60"/>
        <w:jc w:val="center"/>
        <w:rPr>
          <w:smallCaps/>
          <w:szCs w:val="17"/>
        </w:rPr>
      </w:pPr>
      <w:r w:rsidRPr="00FA78F0">
        <w:rPr>
          <w:smallCaps/>
          <w:szCs w:val="17"/>
        </w:rPr>
        <w:t>Schedule 1</w:t>
      </w:r>
    </w:p>
    <w:p w:rsidR="00D04E71" w:rsidRPr="00FA78F0" w:rsidRDefault="00D04E71" w:rsidP="009D5EF7">
      <w:pPr>
        <w:spacing w:after="60"/>
        <w:rPr>
          <w:rFonts w:eastAsia="Times New Roman"/>
          <w:szCs w:val="17"/>
        </w:rPr>
      </w:pPr>
      <w:r w:rsidRPr="00FA78F0">
        <w:rPr>
          <w:rFonts w:eastAsia="Times New Roman"/>
          <w:szCs w:val="17"/>
        </w:rPr>
        <w:t>The act of taking or an act preparatory to or involved in the taking of Western King Prawns (</w:t>
      </w:r>
      <w:r w:rsidRPr="00FA78F0">
        <w:rPr>
          <w:rFonts w:eastAsia="Times New Roman"/>
          <w:i/>
          <w:szCs w:val="17"/>
        </w:rPr>
        <w:t>Melicertus latisulcatus</w:t>
      </w:r>
      <w:r w:rsidRPr="00FA78F0">
        <w:rPr>
          <w:rFonts w:eastAsia="Times New Roman"/>
          <w:szCs w:val="17"/>
        </w:rPr>
        <w:t>) pursuant to a Gulf St Vincent Prawn Fishery licence.</w:t>
      </w:r>
    </w:p>
    <w:p w:rsidR="00D04E71" w:rsidRPr="00FA78F0" w:rsidRDefault="00D04E71" w:rsidP="009D5EF7">
      <w:pPr>
        <w:spacing w:after="60"/>
        <w:jc w:val="center"/>
        <w:rPr>
          <w:smallCaps/>
          <w:szCs w:val="17"/>
        </w:rPr>
      </w:pPr>
      <w:r w:rsidRPr="00FA78F0">
        <w:rPr>
          <w:smallCaps/>
          <w:szCs w:val="17"/>
        </w:rPr>
        <w:t>Schedule 2</w:t>
      </w:r>
    </w:p>
    <w:p w:rsidR="00D04E71" w:rsidRPr="00FA78F0" w:rsidRDefault="00D04E71" w:rsidP="009D5EF7">
      <w:pPr>
        <w:spacing w:after="60"/>
        <w:rPr>
          <w:rFonts w:eastAsia="Times New Roman"/>
          <w:szCs w:val="17"/>
        </w:rPr>
      </w:pPr>
      <w:r w:rsidRPr="00FA78F0">
        <w:rPr>
          <w:rFonts w:eastAsia="Times New Roman"/>
          <w:szCs w:val="17"/>
        </w:rPr>
        <w:t>From sunset on 8 December 2020 to sunrise on 9 December 2020.</w:t>
      </w:r>
    </w:p>
    <w:p w:rsidR="00D04E71" w:rsidRPr="00FA78F0" w:rsidRDefault="00D04E71" w:rsidP="00D04E71">
      <w:pPr>
        <w:spacing w:after="0"/>
        <w:rPr>
          <w:rFonts w:eastAsia="Times New Roman"/>
          <w:szCs w:val="17"/>
        </w:rPr>
      </w:pPr>
      <w:r w:rsidRPr="00FA78F0">
        <w:rPr>
          <w:rFonts w:eastAsia="Times New Roman"/>
          <w:szCs w:val="17"/>
        </w:rPr>
        <w:t>Dated: 8 December 2020</w:t>
      </w:r>
    </w:p>
    <w:p w:rsidR="00D04E71" w:rsidRPr="00FA78F0" w:rsidRDefault="00D04E71" w:rsidP="00D04E71">
      <w:pPr>
        <w:spacing w:after="0"/>
        <w:jc w:val="right"/>
        <w:rPr>
          <w:rFonts w:eastAsia="Times New Roman"/>
          <w:smallCaps/>
          <w:szCs w:val="17"/>
        </w:rPr>
      </w:pPr>
      <w:r w:rsidRPr="00FA78F0">
        <w:rPr>
          <w:rFonts w:eastAsia="Times New Roman"/>
          <w:smallCaps/>
          <w:szCs w:val="17"/>
        </w:rPr>
        <w:t>Craig Noell</w:t>
      </w:r>
    </w:p>
    <w:p w:rsidR="00D04E71" w:rsidRPr="00FA78F0" w:rsidRDefault="00D04E71" w:rsidP="00D04E71">
      <w:pPr>
        <w:spacing w:after="0"/>
        <w:jc w:val="right"/>
        <w:rPr>
          <w:rFonts w:eastAsia="Times New Roman"/>
          <w:szCs w:val="17"/>
        </w:rPr>
      </w:pPr>
      <w:r w:rsidRPr="00FA78F0">
        <w:rPr>
          <w:rFonts w:eastAsia="Times New Roman"/>
          <w:szCs w:val="17"/>
        </w:rPr>
        <w:t>A/Prawn Fishery Manager</w:t>
      </w:r>
    </w:p>
    <w:p w:rsidR="00C07199" w:rsidRDefault="00D04E71" w:rsidP="00D04E71">
      <w:pPr>
        <w:spacing w:after="0"/>
        <w:jc w:val="right"/>
        <w:rPr>
          <w:rFonts w:eastAsia="Times New Roman"/>
          <w:szCs w:val="17"/>
        </w:rPr>
      </w:pPr>
      <w:r w:rsidRPr="00FA78F0">
        <w:rPr>
          <w:rFonts w:eastAsia="Times New Roman"/>
          <w:szCs w:val="17"/>
        </w:rPr>
        <w:t>Delegate of the Minister for Primary Industries and Regional Development</w:t>
      </w:r>
    </w:p>
    <w:p w:rsidR="00D04E71" w:rsidRDefault="00D04E71" w:rsidP="00D04E71">
      <w:pPr>
        <w:pBdr>
          <w:bottom w:val="single" w:sz="4" w:space="1" w:color="auto"/>
        </w:pBdr>
        <w:spacing w:after="0" w:line="52" w:lineRule="exact"/>
        <w:jc w:val="center"/>
        <w:rPr>
          <w:lang w:val="en-US"/>
        </w:rPr>
      </w:pPr>
    </w:p>
    <w:p w:rsidR="00D04E71" w:rsidRDefault="00D04E71" w:rsidP="00D04E71">
      <w:pPr>
        <w:pBdr>
          <w:top w:val="single" w:sz="4" w:space="1" w:color="auto"/>
        </w:pBdr>
        <w:spacing w:before="34" w:after="0" w:line="14" w:lineRule="exact"/>
        <w:jc w:val="center"/>
        <w:rPr>
          <w:lang w:val="en-US"/>
        </w:rPr>
      </w:pPr>
    </w:p>
    <w:p w:rsidR="00D04E71" w:rsidRDefault="00D04E71" w:rsidP="00D04E7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D161AC" w:rsidRPr="00D161AC" w:rsidRDefault="0041374F" w:rsidP="0041374F">
      <w:pPr>
        <w:pStyle w:val="Heading2"/>
      </w:pPr>
      <w:bookmarkStart w:id="112" w:name="_Toc59098951"/>
      <w:r w:rsidRPr="00D161AC">
        <w:t>Housing Improvement Act 2016</w:t>
      </w:r>
      <w:bookmarkEnd w:id="112"/>
    </w:p>
    <w:p w:rsidR="00D161AC" w:rsidRPr="00D161AC" w:rsidRDefault="00D161AC" w:rsidP="00D161AC">
      <w:pPr>
        <w:tabs>
          <w:tab w:val="left" w:pos="5760"/>
          <w:tab w:val="left" w:pos="8730"/>
          <w:tab w:val="left" w:pos="9498"/>
          <w:tab w:val="left" w:pos="11520"/>
        </w:tabs>
        <w:jc w:val="center"/>
        <w:rPr>
          <w:rFonts w:eastAsia="Times New Roman"/>
          <w:i/>
          <w:szCs w:val="17"/>
          <w:lang w:val="en-US"/>
        </w:rPr>
      </w:pPr>
      <w:r w:rsidRPr="00D161AC">
        <w:rPr>
          <w:rFonts w:eastAsia="Times New Roman"/>
          <w:i/>
          <w:szCs w:val="17"/>
          <w:lang w:val="en-US"/>
        </w:rPr>
        <w:t>Rent Control</w:t>
      </w:r>
    </w:p>
    <w:p w:rsidR="00D161AC" w:rsidRPr="00D161AC" w:rsidRDefault="00D161AC" w:rsidP="00D161AC">
      <w:pPr>
        <w:rPr>
          <w:rFonts w:eastAsia="Times New Roman"/>
          <w:spacing w:val="-2"/>
          <w:szCs w:val="17"/>
          <w:lang w:val="en-US"/>
        </w:rPr>
      </w:pPr>
      <w:r w:rsidRPr="00D161AC">
        <w:rPr>
          <w:rFonts w:eastAsia="Times New Roman"/>
          <w:spacing w:val="-2"/>
          <w:szCs w:val="17"/>
          <w:lang w:val="en-US"/>
        </w:rPr>
        <w:t xml:space="preserve">The Minister for Human Services Delegate in the exercise of the powers conferred by the </w:t>
      </w:r>
      <w:r w:rsidRPr="00D161AC">
        <w:rPr>
          <w:rFonts w:eastAsia="Times New Roman"/>
          <w:i/>
          <w:spacing w:val="-2"/>
          <w:szCs w:val="17"/>
          <w:lang w:val="en-US"/>
        </w:rPr>
        <w:t>Housing Improvement Act 2016</w:t>
      </w:r>
      <w:r w:rsidRPr="00D161AC">
        <w:rPr>
          <w:rFonts w:eastAsia="Times New Roman"/>
          <w:spacing w:val="-2"/>
          <w:szCs w:val="17"/>
          <w:lang w:val="en-US"/>
        </w:rPr>
        <w:t xml:space="preserve">, does hereby fix the maximum rental per week which shall be payable subject to Section 55 of the </w:t>
      </w:r>
      <w:r w:rsidRPr="00D161AC">
        <w:rPr>
          <w:rFonts w:eastAsia="Times New Roman"/>
          <w:i/>
          <w:spacing w:val="-2"/>
          <w:szCs w:val="17"/>
          <w:lang w:val="en-US"/>
        </w:rPr>
        <w:t>Residential Tenancies Act 1995</w:t>
      </w:r>
      <w:r w:rsidRPr="00D161AC">
        <w:rPr>
          <w:rFonts w:eastAsia="Times New Roman"/>
          <w:spacing w:val="-2"/>
          <w:szCs w:val="17"/>
          <w:lang w:val="en-US"/>
        </w:rPr>
        <w:t>, in respect of each house described in the following table. The amount shown in the said table shall come into force on the date of this publication in the Gazette.</w:t>
      </w:r>
    </w:p>
    <w:tbl>
      <w:tblPr>
        <w:tblW w:w="5000" w:type="pct"/>
        <w:tblLayout w:type="fixed"/>
        <w:tblCellMar>
          <w:left w:w="0" w:type="dxa"/>
          <w:right w:w="0" w:type="dxa"/>
        </w:tblCellMar>
        <w:tblLook w:val="04A0" w:firstRow="1" w:lastRow="0" w:firstColumn="1" w:lastColumn="0" w:noHBand="0" w:noVBand="1"/>
      </w:tblPr>
      <w:tblGrid>
        <w:gridCol w:w="2974"/>
        <w:gridCol w:w="2692"/>
        <w:gridCol w:w="1843"/>
        <w:gridCol w:w="1845"/>
      </w:tblGrid>
      <w:tr w:rsidR="00D161AC" w:rsidRPr="00D161AC" w:rsidTr="00046B75">
        <w:trPr>
          <w:trHeight w:val="20"/>
        </w:trPr>
        <w:tc>
          <w:tcPr>
            <w:tcW w:w="1590" w:type="pct"/>
            <w:tcBorders>
              <w:top w:val="single" w:sz="4" w:space="0" w:color="auto"/>
              <w:bottom w:val="single" w:sz="4" w:space="0" w:color="auto"/>
            </w:tcBorders>
            <w:tcMar>
              <w:top w:w="0" w:type="dxa"/>
              <w:left w:w="60" w:type="dxa"/>
              <w:bottom w:w="0" w:type="dxa"/>
              <w:right w:w="60" w:type="dxa"/>
            </w:tcMar>
            <w:vAlign w:val="center"/>
          </w:tcPr>
          <w:p w:rsidR="00D161AC" w:rsidRPr="00D161AC" w:rsidRDefault="00D161AC" w:rsidP="00D161AC">
            <w:pPr>
              <w:spacing w:before="40" w:after="40"/>
              <w:jc w:val="center"/>
              <w:rPr>
                <w:rFonts w:eastAsia="Times New Roman"/>
                <w:b/>
                <w:szCs w:val="17"/>
                <w:lang w:val="en-US"/>
              </w:rPr>
            </w:pPr>
            <w:r w:rsidRPr="00D161AC">
              <w:rPr>
                <w:rFonts w:eastAsia="Times New Roman"/>
                <w:b/>
                <w:szCs w:val="17"/>
                <w:lang w:val="en-US"/>
              </w:rPr>
              <w:t>Address of Premises</w:t>
            </w:r>
          </w:p>
        </w:tc>
        <w:tc>
          <w:tcPr>
            <w:tcW w:w="1439" w:type="pct"/>
            <w:tcBorders>
              <w:top w:val="single" w:sz="4" w:space="0" w:color="auto"/>
              <w:bottom w:val="single" w:sz="4" w:space="0" w:color="auto"/>
            </w:tcBorders>
            <w:tcMar>
              <w:top w:w="0" w:type="dxa"/>
              <w:left w:w="60" w:type="dxa"/>
              <w:bottom w:w="0" w:type="dxa"/>
              <w:right w:w="60" w:type="dxa"/>
            </w:tcMar>
            <w:vAlign w:val="center"/>
          </w:tcPr>
          <w:p w:rsidR="00D161AC" w:rsidRPr="00D161AC" w:rsidRDefault="00D161AC" w:rsidP="00D161AC">
            <w:pPr>
              <w:spacing w:before="40" w:after="40"/>
              <w:jc w:val="center"/>
              <w:rPr>
                <w:rFonts w:eastAsia="Times New Roman"/>
                <w:b/>
                <w:szCs w:val="17"/>
                <w:lang w:val="en-US"/>
              </w:rPr>
            </w:pPr>
            <w:r w:rsidRPr="00D161AC">
              <w:rPr>
                <w:rFonts w:eastAsia="Times New Roman"/>
                <w:b/>
                <w:szCs w:val="17"/>
                <w:lang w:val="en-US"/>
              </w:rPr>
              <w:t>Allotment Section</w:t>
            </w:r>
          </w:p>
        </w:tc>
        <w:tc>
          <w:tcPr>
            <w:tcW w:w="985" w:type="pct"/>
            <w:tcBorders>
              <w:top w:val="single" w:sz="4" w:space="0" w:color="auto"/>
              <w:bottom w:val="single" w:sz="4" w:space="0" w:color="auto"/>
            </w:tcBorders>
            <w:tcMar>
              <w:top w:w="0" w:type="dxa"/>
              <w:left w:w="60" w:type="dxa"/>
              <w:bottom w:w="0" w:type="dxa"/>
              <w:right w:w="60" w:type="dxa"/>
            </w:tcMar>
            <w:vAlign w:val="center"/>
          </w:tcPr>
          <w:p w:rsidR="00D161AC" w:rsidRPr="00D161AC" w:rsidRDefault="00D161AC" w:rsidP="00D161AC">
            <w:pPr>
              <w:spacing w:before="40" w:after="40"/>
              <w:jc w:val="center"/>
              <w:rPr>
                <w:rFonts w:eastAsia="Times New Roman"/>
                <w:b/>
                <w:szCs w:val="17"/>
                <w:lang w:val="en-US"/>
              </w:rPr>
            </w:pPr>
            <w:r w:rsidRPr="00D161AC">
              <w:rPr>
                <w:rFonts w:eastAsia="Times New Roman"/>
                <w:b/>
                <w:szCs w:val="17"/>
                <w:u w:val="single"/>
                <w:lang w:val="en-US"/>
              </w:rPr>
              <w:t>Certificate of Title</w:t>
            </w:r>
          </w:p>
          <w:p w:rsidR="00D161AC" w:rsidRPr="00D161AC" w:rsidRDefault="00D161AC" w:rsidP="00D161AC">
            <w:pPr>
              <w:spacing w:before="40" w:after="40"/>
              <w:jc w:val="center"/>
              <w:rPr>
                <w:rFonts w:eastAsia="Times New Roman"/>
                <w:b/>
                <w:szCs w:val="17"/>
                <w:lang w:val="en-US"/>
              </w:rPr>
            </w:pPr>
            <w:r w:rsidRPr="00D161AC">
              <w:rPr>
                <w:rFonts w:eastAsia="Times New Roman"/>
                <w:b/>
                <w:szCs w:val="17"/>
                <w:lang w:val="en-US"/>
              </w:rPr>
              <w:t>Volume/Folio</w:t>
            </w:r>
          </w:p>
        </w:tc>
        <w:tc>
          <w:tcPr>
            <w:tcW w:w="986" w:type="pct"/>
            <w:tcBorders>
              <w:top w:val="single" w:sz="4" w:space="0" w:color="auto"/>
              <w:bottom w:val="single" w:sz="4" w:space="0" w:color="auto"/>
            </w:tcBorders>
            <w:vAlign w:val="center"/>
          </w:tcPr>
          <w:p w:rsidR="00D161AC" w:rsidRPr="00D161AC" w:rsidRDefault="00D161AC" w:rsidP="00D161AC">
            <w:pPr>
              <w:spacing w:before="40" w:after="40"/>
              <w:jc w:val="center"/>
              <w:rPr>
                <w:rFonts w:eastAsia="Times New Roman"/>
                <w:b/>
                <w:szCs w:val="17"/>
                <w:u w:val="single"/>
                <w:lang w:val="en-US"/>
              </w:rPr>
            </w:pPr>
            <w:r w:rsidRPr="00D161AC">
              <w:rPr>
                <w:rFonts w:eastAsia="Times New Roman"/>
                <w:b/>
                <w:szCs w:val="17"/>
                <w:lang w:val="en-US"/>
              </w:rPr>
              <w:t xml:space="preserve">Maximum Rental </w:t>
            </w:r>
            <w:r w:rsidRPr="00D161AC">
              <w:rPr>
                <w:rFonts w:eastAsia="Times New Roman"/>
                <w:b/>
                <w:szCs w:val="17"/>
                <w:lang w:val="en-US"/>
              </w:rPr>
              <w:br/>
              <w:t>per Week Payable</w:t>
            </w:r>
          </w:p>
        </w:tc>
      </w:tr>
      <w:tr w:rsidR="00D161AC" w:rsidRPr="00D161AC" w:rsidTr="00046B75">
        <w:trPr>
          <w:trHeight w:val="20"/>
        </w:trPr>
        <w:tc>
          <w:tcPr>
            <w:tcW w:w="1590" w:type="pct"/>
            <w:tcBorders>
              <w:top w:val="single" w:sz="4" w:space="0" w:color="auto"/>
              <w:bottom w:val="single" w:sz="4" w:space="0" w:color="auto"/>
            </w:tcBorders>
            <w:shd w:val="clear" w:color="auto" w:fill="auto"/>
            <w:tcMar>
              <w:top w:w="0" w:type="dxa"/>
              <w:left w:w="60" w:type="dxa"/>
              <w:bottom w:w="0" w:type="dxa"/>
              <w:right w:w="60" w:type="dxa"/>
            </w:tcMar>
          </w:tcPr>
          <w:p w:rsidR="00D161AC" w:rsidRPr="00D161AC" w:rsidRDefault="00D161AC" w:rsidP="00D161AC">
            <w:pPr>
              <w:spacing w:before="40" w:after="40"/>
              <w:jc w:val="left"/>
            </w:pPr>
            <w:r w:rsidRPr="00D161AC">
              <w:rPr>
                <w:lang w:val="en-US"/>
              </w:rPr>
              <w:t>34 Grundel Street, Whyalla SA 5600</w:t>
            </w:r>
          </w:p>
        </w:tc>
        <w:tc>
          <w:tcPr>
            <w:tcW w:w="1439" w:type="pct"/>
            <w:tcBorders>
              <w:top w:val="single" w:sz="4" w:space="0" w:color="auto"/>
              <w:bottom w:val="single" w:sz="4" w:space="0" w:color="auto"/>
            </w:tcBorders>
            <w:shd w:val="clear" w:color="auto" w:fill="auto"/>
            <w:tcMar>
              <w:top w:w="0" w:type="dxa"/>
              <w:left w:w="60" w:type="dxa"/>
              <w:bottom w:w="0" w:type="dxa"/>
              <w:right w:w="60" w:type="dxa"/>
            </w:tcMar>
          </w:tcPr>
          <w:p w:rsidR="00D161AC" w:rsidRPr="00D161AC" w:rsidRDefault="00D161AC" w:rsidP="00D161AC">
            <w:pPr>
              <w:spacing w:before="40" w:after="40"/>
              <w:ind w:left="83"/>
              <w:jc w:val="left"/>
            </w:pPr>
            <w:r w:rsidRPr="00D161AC">
              <w:rPr>
                <w:lang w:val="en-US"/>
              </w:rPr>
              <w:t>Allotment 3151 Hundred of Randell</w:t>
            </w:r>
          </w:p>
        </w:tc>
        <w:tc>
          <w:tcPr>
            <w:tcW w:w="985" w:type="pct"/>
            <w:tcBorders>
              <w:top w:val="single" w:sz="4" w:space="0" w:color="auto"/>
              <w:bottom w:val="single" w:sz="4" w:space="0" w:color="auto"/>
            </w:tcBorders>
            <w:shd w:val="clear" w:color="auto" w:fill="auto"/>
            <w:tcMar>
              <w:top w:w="0" w:type="dxa"/>
              <w:left w:w="60" w:type="dxa"/>
              <w:bottom w:w="0" w:type="dxa"/>
              <w:right w:w="60" w:type="dxa"/>
            </w:tcMar>
          </w:tcPr>
          <w:p w:rsidR="00D161AC" w:rsidRPr="00D161AC" w:rsidRDefault="00D161AC" w:rsidP="00D161AC">
            <w:pPr>
              <w:spacing w:before="40" w:after="0"/>
              <w:jc w:val="center"/>
            </w:pPr>
            <w:r w:rsidRPr="00D161AC">
              <w:t>CT5420/696</w:t>
            </w:r>
          </w:p>
        </w:tc>
        <w:tc>
          <w:tcPr>
            <w:tcW w:w="986" w:type="pct"/>
            <w:tcBorders>
              <w:top w:val="single" w:sz="4" w:space="0" w:color="auto"/>
              <w:bottom w:val="single" w:sz="4" w:space="0" w:color="auto"/>
            </w:tcBorders>
          </w:tcPr>
          <w:p w:rsidR="00D161AC" w:rsidRPr="00D161AC" w:rsidRDefault="00D161AC" w:rsidP="00D161AC">
            <w:pPr>
              <w:spacing w:before="40" w:after="20"/>
              <w:jc w:val="center"/>
            </w:pPr>
            <w:r w:rsidRPr="00D161AC">
              <w:rPr>
                <w:lang w:val="en-US"/>
              </w:rPr>
              <w:t>$65.00</w:t>
            </w:r>
          </w:p>
        </w:tc>
      </w:tr>
    </w:tbl>
    <w:p w:rsidR="00D161AC" w:rsidRPr="00D161AC" w:rsidRDefault="00D161AC" w:rsidP="00D161AC">
      <w:pPr>
        <w:pBdr>
          <w:top w:val="nil"/>
          <w:left w:val="nil"/>
          <w:bottom w:val="nil"/>
          <w:right w:val="nil"/>
        </w:pBdr>
        <w:spacing w:before="80" w:after="0"/>
        <w:ind w:right="62"/>
        <w:rPr>
          <w:rFonts w:eastAsia="Times New Roman"/>
          <w:szCs w:val="17"/>
          <w:lang w:val="en-US"/>
        </w:rPr>
      </w:pPr>
      <w:r w:rsidRPr="00D161AC">
        <w:rPr>
          <w:rFonts w:eastAsia="Times New Roman"/>
          <w:szCs w:val="17"/>
          <w:lang w:val="en-US"/>
        </w:rPr>
        <w:t>Dated: 17 December 2020</w:t>
      </w:r>
    </w:p>
    <w:p w:rsidR="00D161AC" w:rsidRPr="00D161AC" w:rsidRDefault="00D161AC" w:rsidP="00D161AC">
      <w:pPr>
        <w:spacing w:after="0"/>
        <w:ind w:right="62"/>
        <w:jc w:val="right"/>
        <w:rPr>
          <w:rFonts w:eastAsia="Times New Roman"/>
          <w:smallCaps/>
          <w:szCs w:val="17"/>
          <w:lang w:val="en-US"/>
        </w:rPr>
      </w:pPr>
      <w:r w:rsidRPr="00D161AC">
        <w:rPr>
          <w:rFonts w:eastAsia="Times New Roman"/>
          <w:smallCaps/>
          <w:szCs w:val="17"/>
          <w:lang w:val="en-US"/>
        </w:rPr>
        <w:t>Craig Thompson</w:t>
      </w:r>
    </w:p>
    <w:p w:rsidR="00D161AC" w:rsidRPr="00D161AC" w:rsidRDefault="00D161AC" w:rsidP="00D161AC">
      <w:pPr>
        <w:spacing w:after="0"/>
        <w:ind w:right="62"/>
        <w:jc w:val="right"/>
        <w:rPr>
          <w:rFonts w:eastAsia="Times New Roman"/>
          <w:szCs w:val="17"/>
          <w:lang w:val="en-US"/>
        </w:rPr>
      </w:pPr>
      <w:r w:rsidRPr="00D161AC">
        <w:rPr>
          <w:rFonts w:eastAsia="Times New Roman"/>
          <w:szCs w:val="17"/>
          <w:lang w:val="en-US"/>
        </w:rPr>
        <w:t>Acting Housing Regulator and Registrar</w:t>
      </w:r>
    </w:p>
    <w:p w:rsidR="00D161AC" w:rsidRPr="00D161AC" w:rsidRDefault="00D161AC" w:rsidP="00D161AC">
      <w:pPr>
        <w:spacing w:after="0"/>
        <w:ind w:right="62"/>
        <w:jc w:val="right"/>
        <w:rPr>
          <w:rFonts w:eastAsia="Times New Roman"/>
          <w:szCs w:val="17"/>
          <w:lang w:val="en-US"/>
        </w:rPr>
      </w:pPr>
      <w:r w:rsidRPr="00D161AC">
        <w:rPr>
          <w:rFonts w:eastAsia="Times New Roman"/>
          <w:szCs w:val="17"/>
          <w:lang w:val="en-US"/>
        </w:rPr>
        <w:t>Housing Safety Authority, SAHA</w:t>
      </w:r>
    </w:p>
    <w:p w:rsidR="00D161AC" w:rsidRPr="00D161AC" w:rsidRDefault="00D161AC" w:rsidP="00D161AC">
      <w:pPr>
        <w:spacing w:after="0"/>
        <w:ind w:right="62"/>
        <w:jc w:val="right"/>
        <w:rPr>
          <w:rFonts w:eastAsia="Times New Roman"/>
          <w:szCs w:val="17"/>
          <w:lang w:val="en-US"/>
        </w:rPr>
      </w:pPr>
      <w:r w:rsidRPr="00D161AC">
        <w:rPr>
          <w:rFonts w:eastAsia="Times New Roman"/>
          <w:szCs w:val="17"/>
          <w:lang w:val="en-US"/>
        </w:rPr>
        <w:t>Delegate of Minister for Human Services</w:t>
      </w:r>
    </w:p>
    <w:p w:rsidR="00D161AC" w:rsidRPr="00D161AC" w:rsidRDefault="00D161AC" w:rsidP="00D161AC">
      <w:pPr>
        <w:pBdr>
          <w:top w:val="single" w:sz="4" w:space="1" w:color="auto"/>
        </w:pBdr>
        <w:spacing w:before="100" w:after="0" w:line="14" w:lineRule="exact"/>
        <w:jc w:val="center"/>
        <w:rPr>
          <w:rFonts w:eastAsia="Times New Roman"/>
          <w:szCs w:val="17"/>
          <w:lang w:val="en-US"/>
        </w:rPr>
      </w:pPr>
    </w:p>
    <w:p w:rsidR="00D161AC" w:rsidRPr="00D161AC" w:rsidRDefault="00D161AC" w:rsidP="00D161AC">
      <w:pPr>
        <w:tabs>
          <w:tab w:val="left" w:pos="5760"/>
          <w:tab w:val="left" w:pos="8730"/>
          <w:tab w:val="left" w:pos="9498"/>
          <w:tab w:val="left" w:pos="11520"/>
        </w:tabs>
        <w:spacing w:after="0"/>
        <w:jc w:val="left"/>
        <w:rPr>
          <w:rFonts w:eastAsia="Times New Roman"/>
          <w:szCs w:val="17"/>
          <w:lang w:val="en-US"/>
        </w:rPr>
      </w:pPr>
    </w:p>
    <w:p w:rsidR="00D161AC" w:rsidRPr="00D161AC" w:rsidRDefault="00D161AC" w:rsidP="00D161AC">
      <w:pPr>
        <w:tabs>
          <w:tab w:val="left" w:pos="5760"/>
          <w:tab w:val="left" w:pos="8730"/>
          <w:tab w:val="left" w:pos="9498"/>
          <w:tab w:val="left" w:pos="11520"/>
        </w:tabs>
        <w:jc w:val="center"/>
        <w:rPr>
          <w:rFonts w:eastAsia="Times New Roman"/>
          <w:szCs w:val="17"/>
          <w:lang w:val="en-US"/>
        </w:rPr>
      </w:pPr>
      <w:r w:rsidRPr="00D161AC">
        <w:rPr>
          <w:rFonts w:eastAsia="Times New Roman"/>
          <w:szCs w:val="17"/>
          <w:lang w:val="en-US"/>
        </w:rPr>
        <w:t>HOUSING IMPROVEMENT ACT 2016</w:t>
      </w:r>
    </w:p>
    <w:p w:rsidR="00D161AC" w:rsidRPr="00D161AC" w:rsidRDefault="00D161AC" w:rsidP="00D161AC">
      <w:pPr>
        <w:tabs>
          <w:tab w:val="left" w:pos="5760"/>
          <w:tab w:val="left" w:pos="8730"/>
          <w:tab w:val="left" w:pos="9498"/>
          <w:tab w:val="left" w:pos="11520"/>
        </w:tabs>
        <w:jc w:val="center"/>
        <w:rPr>
          <w:rFonts w:eastAsia="Times New Roman"/>
          <w:i/>
          <w:szCs w:val="17"/>
          <w:lang w:val="en-US"/>
        </w:rPr>
      </w:pPr>
      <w:r w:rsidRPr="00D161AC">
        <w:rPr>
          <w:rFonts w:eastAsia="Times New Roman"/>
          <w:i/>
          <w:szCs w:val="17"/>
          <w:lang w:val="en-US"/>
        </w:rPr>
        <w:t>Rent Control Revocations</w:t>
      </w:r>
    </w:p>
    <w:p w:rsidR="00D161AC" w:rsidRPr="00D161AC" w:rsidRDefault="00D161AC" w:rsidP="00D161AC">
      <w:pPr>
        <w:rPr>
          <w:rFonts w:eastAsia="Times New Roman"/>
          <w:spacing w:val="-2"/>
          <w:szCs w:val="17"/>
          <w:lang w:val="en-US"/>
        </w:rPr>
      </w:pPr>
      <w:r w:rsidRPr="00D161AC">
        <w:rPr>
          <w:rFonts w:eastAsia="Times New Roman"/>
          <w:spacing w:val="-2"/>
          <w:szCs w:val="17"/>
          <w:lang w:val="en-US"/>
        </w:rPr>
        <w:t xml:space="preserve">Whereas the Minister for Human Services Delegate is satisfied that each of the houses described hereunder has ceased to be unsafe or unsuitable for human habitation for the purposes of the </w:t>
      </w:r>
      <w:r w:rsidRPr="00D161AC">
        <w:rPr>
          <w:rFonts w:eastAsia="Times New Roman"/>
          <w:i/>
          <w:spacing w:val="-2"/>
          <w:szCs w:val="17"/>
          <w:lang w:val="en-US"/>
        </w:rPr>
        <w:t>Housing Improvement Act 2016</w:t>
      </w:r>
      <w:r w:rsidRPr="00D161AC">
        <w:rPr>
          <w:rFonts w:eastAsia="Times New Roman"/>
          <w:spacing w:val="-2"/>
          <w:szCs w:val="17"/>
          <w:lang w:val="en-US"/>
        </w:rPr>
        <w:t>, notice is hereby given that, in exercise of the powers conferred by the said Act, the Minister for Human Services Delegate does hereby revoke the said Rent Control in respect of each property.</w:t>
      </w:r>
    </w:p>
    <w:tbl>
      <w:tblPr>
        <w:tblW w:w="5000" w:type="pct"/>
        <w:tblLayout w:type="fixed"/>
        <w:tblCellMar>
          <w:left w:w="0" w:type="dxa"/>
          <w:right w:w="0" w:type="dxa"/>
        </w:tblCellMar>
        <w:tblLook w:val="04A0" w:firstRow="1" w:lastRow="0" w:firstColumn="1" w:lastColumn="0" w:noHBand="0" w:noVBand="1"/>
      </w:tblPr>
      <w:tblGrid>
        <w:gridCol w:w="3684"/>
        <w:gridCol w:w="2832"/>
        <w:gridCol w:w="2838"/>
      </w:tblGrid>
      <w:tr w:rsidR="00D161AC" w:rsidRPr="00D161AC" w:rsidTr="00046B75">
        <w:trPr>
          <w:trHeight w:val="20"/>
          <w:tblHeader/>
        </w:trPr>
        <w:tc>
          <w:tcPr>
            <w:tcW w:w="1969" w:type="pct"/>
            <w:tcBorders>
              <w:top w:val="single" w:sz="4" w:space="0" w:color="auto"/>
              <w:bottom w:val="single" w:sz="4" w:space="0" w:color="auto"/>
            </w:tcBorders>
            <w:tcMar>
              <w:top w:w="0" w:type="dxa"/>
              <w:left w:w="60" w:type="dxa"/>
              <w:bottom w:w="0" w:type="dxa"/>
              <w:right w:w="60" w:type="dxa"/>
            </w:tcMar>
            <w:vAlign w:val="center"/>
          </w:tcPr>
          <w:p w:rsidR="00D161AC" w:rsidRPr="00D161AC" w:rsidRDefault="00D161AC" w:rsidP="00D161AC">
            <w:pPr>
              <w:spacing w:before="20" w:after="20"/>
              <w:jc w:val="center"/>
              <w:rPr>
                <w:rFonts w:eastAsia="Times New Roman"/>
                <w:b/>
                <w:szCs w:val="17"/>
                <w:lang w:val="en-US"/>
              </w:rPr>
            </w:pPr>
            <w:r w:rsidRPr="00D161AC">
              <w:rPr>
                <w:rFonts w:eastAsia="Times New Roman"/>
                <w:b/>
                <w:szCs w:val="17"/>
                <w:lang w:val="en-US"/>
              </w:rPr>
              <w:t>Address of Premises</w:t>
            </w:r>
          </w:p>
        </w:tc>
        <w:tc>
          <w:tcPr>
            <w:tcW w:w="1514" w:type="pct"/>
            <w:tcBorders>
              <w:top w:val="single" w:sz="4" w:space="0" w:color="auto"/>
              <w:bottom w:val="single" w:sz="4" w:space="0" w:color="auto"/>
            </w:tcBorders>
            <w:tcMar>
              <w:top w:w="0" w:type="dxa"/>
              <w:left w:w="60" w:type="dxa"/>
              <w:bottom w:w="0" w:type="dxa"/>
              <w:right w:w="60" w:type="dxa"/>
            </w:tcMar>
            <w:vAlign w:val="center"/>
          </w:tcPr>
          <w:p w:rsidR="00D161AC" w:rsidRPr="00D161AC" w:rsidRDefault="00D161AC" w:rsidP="00D161AC">
            <w:pPr>
              <w:spacing w:before="20" w:after="20"/>
              <w:jc w:val="center"/>
              <w:rPr>
                <w:rFonts w:eastAsia="Times New Roman"/>
                <w:b/>
                <w:szCs w:val="17"/>
                <w:lang w:val="en-US"/>
              </w:rPr>
            </w:pPr>
            <w:r w:rsidRPr="00D161AC">
              <w:rPr>
                <w:rFonts w:eastAsia="Times New Roman"/>
                <w:b/>
                <w:szCs w:val="17"/>
                <w:lang w:val="en-US"/>
              </w:rPr>
              <w:t>Allotment</w:t>
            </w:r>
            <w:r w:rsidRPr="00D161AC">
              <w:rPr>
                <w:rFonts w:eastAsia="Times New Roman"/>
                <w:b/>
                <w:szCs w:val="17"/>
                <w:lang w:val="en-US"/>
              </w:rPr>
              <w:br/>
              <w:t>Section</w:t>
            </w:r>
          </w:p>
        </w:tc>
        <w:tc>
          <w:tcPr>
            <w:tcW w:w="1517" w:type="pct"/>
            <w:tcBorders>
              <w:top w:val="single" w:sz="4" w:space="0" w:color="auto"/>
              <w:bottom w:val="single" w:sz="4" w:space="0" w:color="auto"/>
            </w:tcBorders>
            <w:tcMar>
              <w:top w:w="0" w:type="dxa"/>
              <w:left w:w="60" w:type="dxa"/>
              <w:bottom w:w="0" w:type="dxa"/>
              <w:right w:w="60" w:type="dxa"/>
            </w:tcMar>
            <w:vAlign w:val="center"/>
          </w:tcPr>
          <w:p w:rsidR="00D161AC" w:rsidRPr="00D161AC" w:rsidRDefault="00D161AC" w:rsidP="00D161AC">
            <w:pPr>
              <w:spacing w:before="20" w:after="20"/>
              <w:jc w:val="center"/>
              <w:rPr>
                <w:rFonts w:eastAsia="Times New Roman"/>
                <w:b/>
                <w:szCs w:val="17"/>
                <w:lang w:val="en-US"/>
              </w:rPr>
            </w:pPr>
            <w:r w:rsidRPr="00D161AC">
              <w:rPr>
                <w:rFonts w:eastAsia="Times New Roman"/>
                <w:b/>
                <w:szCs w:val="17"/>
                <w:u w:val="single"/>
                <w:lang w:val="en-US"/>
              </w:rPr>
              <w:t>Certificate of Title</w:t>
            </w:r>
          </w:p>
          <w:p w:rsidR="00D161AC" w:rsidRPr="00D161AC" w:rsidRDefault="00D161AC" w:rsidP="00D161AC">
            <w:pPr>
              <w:spacing w:before="20" w:after="20"/>
              <w:jc w:val="center"/>
              <w:rPr>
                <w:rFonts w:eastAsia="Times New Roman"/>
                <w:b/>
                <w:szCs w:val="17"/>
                <w:lang w:val="en-US"/>
              </w:rPr>
            </w:pPr>
            <w:r w:rsidRPr="00D161AC">
              <w:rPr>
                <w:rFonts w:eastAsia="Times New Roman"/>
                <w:b/>
                <w:szCs w:val="17"/>
                <w:lang w:val="en-US"/>
              </w:rPr>
              <w:t>Volume/Folio</w:t>
            </w:r>
          </w:p>
        </w:tc>
      </w:tr>
      <w:tr w:rsidR="00D161AC" w:rsidRPr="00D161AC" w:rsidTr="00046B75">
        <w:trPr>
          <w:trHeight w:val="45"/>
          <w:tblHeader/>
        </w:trPr>
        <w:tc>
          <w:tcPr>
            <w:tcW w:w="1969" w:type="pct"/>
            <w:tcBorders>
              <w:top w:val="single" w:sz="4" w:space="0" w:color="auto"/>
            </w:tcBorders>
            <w:tcMar>
              <w:top w:w="0" w:type="dxa"/>
              <w:left w:w="60" w:type="dxa"/>
              <w:bottom w:w="0" w:type="dxa"/>
              <w:right w:w="60" w:type="dxa"/>
            </w:tcMar>
            <w:vAlign w:val="center"/>
          </w:tcPr>
          <w:p w:rsidR="00D161AC" w:rsidRPr="00D161AC" w:rsidRDefault="00D161AC" w:rsidP="00D161AC">
            <w:pPr>
              <w:spacing w:after="0" w:line="80" w:lineRule="exact"/>
              <w:jc w:val="center"/>
              <w:rPr>
                <w:rFonts w:eastAsia="Times New Roman"/>
                <w:b/>
                <w:szCs w:val="17"/>
                <w:lang w:val="en-US"/>
              </w:rPr>
            </w:pPr>
          </w:p>
        </w:tc>
        <w:tc>
          <w:tcPr>
            <w:tcW w:w="1514" w:type="pct"/>
            <w:tcBorders>
              <w:top w:val="single" w:sz="4" w:space="0" w:color="auto"/>
            </w:tcBorders>
            <w:tcMar>
              <w:top w:w="0" w:type="dxa"/>
              <w:left w:w="60" w:type="dxa"/>
              <w:bottom w:w="0" w:type="dxa"/>
              <w:right w:w="60" w:type="dxa"/>
            </w:tcMar>
            <w:vAlign w:val="center"/>
          </w:tcPr>
          <w:p w:rsidR="00D161AC" w:rsidRPr="00D161AC" w:rsidRDefault="00D161AC" w:rsidP="00D161AC">
            <w:pPr>
              <w:spacing w:after="0" w:line="80" w:lineRule="exact"/>
              <w:jc w:val="center"/>
              <w:rPr>
                <w:rFonts w:eastAsia="Times New Roman"/>
                <w:b/>
                <w:szCs w:val="17"/>
                <w:lang w:val="en-US"/>
              </w:rPr>
            </w:pPr>
          </w:p>
        </w:tc>
        <w:tc>
          <w:tcPr>
            <w:tcW w:w="1517" w:type="pct"/>
            <w:tcBorders>
              <w:top w:val="single" w:sz="4" w:space="0" w:color="auto"/>
            </w:tcBorders>
            <w:tcMar>
              <w:top w:w="0" w:type="dxa"/>
              <w:left w:w="60" w:type="dxa"/>
              <w:bottom w:w="0" w:type="dxa"/>
              <w:right w:w="60" w:type="dxa"/>
            </w:tcMar>
            <w:vAlign w:val="center"/>
          </w:tcPr>
          <w:p w:rsidR="00D161AC" w:rsidRPr="00D161AC" w:rsidRDefault="00D161AC" w:rsidP="00D161AC">
            <w:pPr>
              <w:spacing w:after="0" w:line="80" w:lineRule="exact"/>
              <w:jc w:val="center"/>
              <w:rPr>
                <w:rFonts w:eastAsia="Times New Roman"/>
                <w:b/>
                <w:szCs w:val="17"/>
                <w:u w:val="single"/>
                <w:lang w:val="en-US"/>
              </w:rPr>
            </w:pPr>
          </w:p>
        </w:tc>
      </w:tr>
      <w:tr w:rsidR="00D161AC" w:rsidRPr="00D161AC" w:rsidTr="00046B75">
        <w:trPr>
          <w:trHeight w:val="20"/>
        </w:trPr>
        <w:tc>
          <w:tcPr>
            <w:tcW w:w="1969" w:type="pct"/>
            <w:shd w:val="clear" w:color="auto" w:fill="auto"/>
            <w:tcMar>
              <w:top w:w="0" w:type="dxa"/>
              <w:left w:w="60" w:type="dxa"/>
              <w:bottom w:w="0" w:type="dxa"/>
              <w:right w:w="60" w:type="dxa"/>
            </w:tcMar>
          </w:tcPr>
          <w:p w:rsidR="00D161AC" w:rsidRPr="00D161AC" w:rsidRDefault="00D161AC" w:rsidP="00D161AC">
            <w:pPr>
              <w:jc w:val="left"/>
            </w:pPr>
            <w:r w:rsidRPr="00D161AC">
              <w:t>6 Malcolm Street, Flinders Park SA 5025</w:t>
            </w:r>
          </w:p>
        </w:tc>
        <w:tc>
          <w:tcPr>
            <w:tcW w:w="1514" w:type="pct"/>
            <w:shd w:val="clear" w:color="auto" w:fill="auto"/>
            <w:tcMar>
              <w:top w:w="0" w:type="dxa"/>
              <w:left w:w="60" w:type="dxa"/>
              <w:bottom w:w="0" w:type="dxa"/>
              <w:right w:w="60" w:type="dxa"/>
            </w:tcMar>
          </w:tcPr>
          <w:p w:rsidR="00D161AC" w:rsidRPr="00D161AC" w:rsidRDefault="00D161AC" w:rsidP="00D161AC">
            <w:pPr>
              <w:jc w:val="left"/>
            </w:pPr>
            <w:r w:rsidRPr="00D161AC">
              <w:t>Allotment 258 Deposited Plan 4671 Hundred of Yatala</w:t>
            </w:r>
          </w:p>
        </w:tc>
        <w:tc>
          <w:tcPr>
            <w:tcW w:w="1517" w:type="pct"/>
            <w:shd w:val="clear" w:color="auto" w:fill="auto"/>
            <w:tcMar>
              <w:top w:w="0" w:type="dxa"/>
              <w:left w:w="60" w:type="dxa"/>
              <w:bottom w:w="0" w:type="dxa"/>
              <w:right w:w="60" w:type="dxa"/>
            </w:tcMar>
          </w:tcPr>
          <w:p w:rsidR="00D161AC" w:rsidRPr="00D161AC" w:rsidRDefault="00D161AC" w:rsidP="00D161AC">
            <w:pPr>
              <w:ind w:left="933"/>
              <w:jc w:val="left"/>
            </w:pPr>
            <w:r w:rsidRPr="00D161AC">
              <w:t>CT5686/429</w:t>
            </w:r>
          </w:p>
        </w:tc>
      </w:tr>
      <w:tr w:rsidR="00D161AC" w:rsidRPr="00D161AC" w:rsidTr="00046B75">
        <w:trPr>
          <w:trHeight w:val="20"/>
        </w:trPr>
        <w:tc>
          <w:tcPr>
            <w:tcW w:w="1969" w:type="pct"/>
            <w:shd w:val="clear" w:color="auto" w:fill="auto"/>
            <w:tcMar>
              <w:top w:w="0" w:type="dxa"/>
              <w:left w:w="60" w:type="dxa"/>
              <w:bottom w:w="0" w:type="dxa"/>
              <w:right w:w="60" w:type="dxa"/>
            </w:tcMar>
          </w:tcPr>
          <w:p w:rsidR="00D161AC" w:rsidRPr="00D161AC" w:rsidRDefault="00D161AC" w:rsidP="00D161AC">
            <w:pPr>
              <w:jc w:val="left"/>
            </w:pPr>
            <w:r w:rsidRPr="00D161AC">
              <w:t>26 Catherine Street, Ethelton SA 5015</w:t>
            </w:r>
          </w:p>
        </w:tc>
        <w:tc>
          <w:tcPr>
            <w:tcW w:w="1514" w:type="pct"/>
            <w:shd w:val="clear" w:color="auto" w:fill="auto"/>
            <w:tcMar>
              <w:top w:w="0" w:type="dxa"/>
              <w:left w:w="60" w:type="dxa"/>
              <w:bottom w:w="0" w:type="dxa"/>
              <w:right w:w="60" w:type="dxa"/>
            </w:tcMar>
          </w:tcPr>
          <w:p w:rsidR="00D161AC" w:rsidRPr="00D161AC" w:rsidRDefault="00D161AC" w:rsidP="00D161AC">
            <w:pPr>
              <w:jc w:val="left"/>
            </w:pPr>
            <w:r w:rsidRPr="00D161AC">
              <w:t>Allotment 90 &amp; 91 Filed Plan 3001 Hundred of Port Adelaide</w:t>
            </w:r>
          </w:p>
        </w:tc>
        <w:tc>
          <w:tcPr>
            <w:tcW w:w="1517" w:type="pct"/>
            <w:shd w:val="clear" w:color="auto" w:fill="auto"/>
            <w:tcMar>
              <w:top w:w="0" w:type="dxa"/>
              <w:left w:w="60" w:type="dxa"/>
              <w:bottom w:w="0" w:type="dxa"/>
              <w:right w:w="60" w:type="dxa"/>
            </w:tcMar>
          </w:tcPr>
          <w:p w:rsidR="00D161AC" w:rsidRPr="00D161AC" w:rsidRDefault="00D161AC" w:rsidP="00D161AC">
            <w:pPr>
              <w:ind w:left="933"/>
              <w:jc w:val="left"/>
            </w:pPr>
            <w:r w:rsidRPr="00D161AC">
              <w:t xml:space="preserve">CT4139/574, </w:t>
            </w:r>
            <w:r w:rsidRPr="00D161AC">
              <w:br/>
              <w:t xml:space="preserve">CT5505/335, </w:t>
            </w:r>
            <w:r w:rsidRPr="00D161AC">
              <w:br/>
              <w:t>CT5505/336</w:t>
            </w:r>
          </w:p>
        </w:tc>
      </w:tr>
      <w:tr w:rsidR="00D161AC" w:rsidRPr="00D161AC" w:rsidTr="00046B75">
        <w:trPr>
          <w:trHeight w:val="20"/>
        </w:trPr>
        <w:tc>
          <w:tcPr>
            <w:tcW w:w="1969" w:type="pct"/>
            <w:shd w:val="clear" w:color="auto" w:fill="auto"/>
            <w:tcMar>
              <w:top w:w="0" w:type="dxa"/>
              <w:left w:w="60" w:type="dxa"/>
              <w:bottom w:w="0" w:type="dxa"/>
              <w:right w:w="60" w:type="dxa"/>
            </w:tcMar>
          </w:tcPr>
          <w:p w:rsidR="00D161AC" w:rsidRPr="00D161AC" w:rsidRDefault="00D161AC" w:rsidP="00D161AC">
            <w:pPr>
              <w:jc w:val="left"/>
            </w:pPr>
            <w:r w:rsidRPr="00D161AC">
              <w:t>191 Young Street, Unley SA 5061</w:t>
            </w:r>
          </w:p>
        </w:tc>
        <w:tc>
          <w:tcPr>
            <w:tcW w:w="1514" w:type="pct"/>
            <w:shd w:val="clear" w:color="auto" w:fill="auto"/>
            <w:tcMar>
              <w:top w:w="0" w:type="dxa"/>
              <w:left w:w="60" w:type="dxa"/>
              <w:bottom w:w="0" w:type="dxa"/>
              <w:right w:w="60" w:type="dxa"/>
            </w:tcMar>
          </w:tcPr>
          <w:p w:rsidR="00D161AC" w:rsidRPr="00D161AC" w:rsidRDefault="00D161AC" w:rsidP="00D161AC">
            <w:pPr>
              <w:jc w:val="left"/>
            </w:pPr>
            <w:r w:rsidRPr="00D161AC">
              <w:t>Allotment 178 Filed Plan 12870 Hundred of Adelaide</w:t>
            </w:r>
          </w:p>
        </w:tc>
        <w:tc>
          <w:tcPr>
            <w:tcW w:w="1517" w:type="pct"/>
            <w:shd w:val="clear" w:color="auto" w:fill="auto"/>
            <w:tcMar>
              <w:top w:w="0" w:type="dxa"/>
              <w:left w:w="60" w:type="dxa"/>
              <w:bottom w:w="0" w:type="dxa"/>
              <w:right w:w="60" w:type="dxa"/>
            </w:tcMar>
          </w:tcPr>
          <w:p w:rsidR="00D161AC" w:rsidRPr="00D161AC" w:rsidRDefault="00D161AC" w:rsidP="00D161AC">
            <w:pPr>
              <w:ind w:left="933"/>
              <w:jc w:val="left"/>
            </w:pPr>
            <w:r w:rsidRPr="00D161AC">
              <w:t>CT5150/830</w:t>
            </w:r>
          </w:p>
        </w:tc>
      </w:tr>
      <w:tr w:rsidR="00D161AC" w:rsidRPr="00D161AC" w:rsidTr="00046B75">
        <w:trPr>
          <w:trHeight w:val="20"/>
        </w:trPr>
        <w:tc>
          <w:tcPr>
            <w:tcW w:w="1969" w:type="pct"/>
            <w:shd w:val="clear" w:color="auto" w:fill="auto"/>
            <w:tcMar>
              <w:top w:w="0" w:type="dxa"/>
              <w:left w:w="60" w:type="dxa"/>
              <w:bottom w:w="0" w:type="dxa"/>
              <w:right w:w="60" w:type="dxa"/>
            </w:tcMar>
          </w:tcPr>
          <w:p w:rsidR="00D161AC" w:rsidRPr="00D161AC" w:rsidRDefault="00D161AC" w:rsidP="00D161AC">
            <w:pPr>
              <w:jc w:val="left"/>
            </w:pPr>
            <w:r w:rsidRPr="00D161AC">
              <w:t>8 Stockwell Road, Stockwell SA 5355</w:t>
            </w:r>
          </w:p>
        </w:tc>
        <w:tc>
          <w:tcPr>
            <w:tcW w:w="1514" w:type="pct"/>
            <w:shd w:val="clear" w:color="auto" w:fill="auto"/>
            <w:tcMar>
              <w:top w:w="0" w:type="dxa"/>
              <w:left w:w="60" w:type="dxa"/>
              <w:bottom w:w="0" w:type="dxa"/>
              <w:right w:w="60" w:type="dxa"/>
            </w:tcMar>
          </w:tcPr>
          <w:p w:rsidR="00D161AC" w:rsidRPr="00D161AC" w:rsidRDefault="00D161AC" w:rsidP="00D161AC">
            <w:pPr>
              <w:jc w:val="left"/>
            </w:pPr>
            <w:r w:rsidRPr="00D161AC">
              <w:t>Allotment 30 Deposited Plan 59475 Hundred of Moorooroo</w:t>
            </w:r>
          </w:p>
        </w:tc>
        <w:tc>
          <w:tcPr>
            <w:tcW w:w="1517" w:type="pct"/>
            <w:shd w:val="clear" w:color="auto" w:fill="auto"/>
            <w:tcMar>
              <w:top w:w="0" w:type="dxa"/>
              <w:left w:w="60" w:type="dxa"/>
              <w:bottom w:w="0" w:type="dxa"/>
              <w:right w:w="60" w:type="dxa"/>
            </w:tcMar>
          </w:tcPr>
          <w:p w:rsidR="00D161AC" w:rsidRPr="00D161AC" w:rsidRDefault="00D161AC" w:rsidP="00D161AC">
            <w:pPr>
              <w:ind w:left="933"/>
              <w:jc w:val="left"/>
            </w:pPr>
            <w:r w:rsidRPr="00D161AC">
              <w:t xml:space="preserve">CT5877/172, </w:t>
            </w:r>
            <w:r w:rsidRPr="00D161AC">
              <w:br/>
              <w:t>CT6213/352</w:t>
            </w:r>
          </w:p>
        </w:tc>
      </w:tr>
      <w:tr w:rsidR="00D161AC" w:rsidRPr="00D161AC" w:rsidTr="00046B75">
        <w:trPr>
          <w:trHeight w:val="20"/>
        </w:trPr>
        <w:tc>
          <w:tcPr>
            <w:tcW w:w="1969" w:type="pct"/>
            <w:shd w:val="clear" w:color="auto" w:fill="auto"/>
            <w:tcMar>
              <w:top w:w="0" w:type="dxa"/>
              <w:left w:w="60" w:type="dxa"/>
              <w:bottom w:w="0" w:type="dxa"/>
              <w:right w:w="60" w:type="dxa"/>
            </w:tcMar>
          </w:tcPr>
          <w:p w:rsidR="00D161AC" w:rsidRPr="00D161AC" w:rsidRDefault="00D161AC" w:rsidP="00D161AC">
            <w:pPr>
              <w:jc w:val="left"/>
            </w:pPr>
            <w:r w:rsidRPr="00D161AC">
              <w:t>10 Grundy Terrace, Christies Beach SA 5165</w:t>
            </w:r>
          </w:p>
        </w:tc>
        <w:tc>
          <w:tcPr>
            <w:tcW w:w="1514" w:type="pct"/>
            <w:shd w:val="clear" w:color="auto" w:fill="auto"/>
            <w:tcMar>
              <w:top w:w="0" w:type="dxa"/>
              <w:left w:w="60" w:type="dxa"/>
              <w:bottom w:w="0" w:type="dxa"/>
              <w:right w:w="60" w:type="dxa"/>
            </w:tcMar>
          </w:tcPr>
          <w:p w:rsidR="00D161AC" w:rsidRPr="00D161AC" w:rsidRDefault="00D161AC" w:rsidP="00D161AC">
            <w:pPr>
              <w:jc w:val="left"/>
            </w:pPr>
            <w:r w:rsidRPr="00D161AC">
              <w:t>Allotment 110 Deposited Plan 87040 Hundred of Noarlunga</w:t>
            </w:r>
          </w:p>
        </w:tc>
        <w:tc>
          <w:tcPr>
            <w:tcW w:w="1517" w:type="pct"/>
            <w:shd w:val="clear" w:color="auto" w:fill="auto"/>
            <w:tcMar>
              <w:top w:w="0" w:type="dxa"/>
              <w:left w:w="60" w:type="dxa"/>
              <w:bottom w:w="0" w:type="dxa"/>
              <w:right w:w="60" w:type="dxa"/>
            </w:tcMar>
          </w:tcPr>
          <w:p w:rsidR="00D161AC" w:rsidRPr="00D161AC" w:rsidRDefault="00D161AC" w:rsidP="00D161AC">
            <w:pPr>
              <w:ind w:left="933"/>
              <w:jc w:val="left"/>
            </w:pPr>
            <w:r w:rsidRPr="00D161AC">
              <w:t>CT 6247/652</w:t>
            </w:r>
          </w:p>
        </w:tc>
      </w:tr>
      <w:tr w:rsidR="00D161AC" w:rsidRPr="00D161AC" w:rsidTr="00046B75">
        <w:trPr>
          <w:trHeight w:val="20"/>
        </w:trPr>
        <w:tc>
          <w:tcPr>
            <w:tcW w:w="1969" w:type="pct"/>
            <w:tcBorders>
              <w:bottom w:val="single" w:sz="4" w:space="0" w:color="auto"/>
            </w:tcBorders>
            <w:shd w:val="clear" w:color="auto" w:fill="auto"/>
            <w:tcMar>
              <w:top w:w="0" w:type="dxa"/>
              <w:left w:w="60" w:type="dxa"/>
              <w:bottom w:w="0" w:type="dxa"/>
              <w:right w:w="60" w:type="dxa"/>
            </w:tcMar>
          </w:tcPr>
          <w:p w:rsidR="00D161AC" w:rsidRPr="00D161AC" w:rsidRDefault="00D161AC" w:rsidP="00D161AC">
            <w:pPr>
              <w:jc w:val="left"/>
            </w:pPr>
            <w:r w:rsidRPr="00D161AC">
              <w:t>188 Norton Summit Road, Teringie SA 5072</w:t>
            </w:r>
          </w:p>
        </w:tc>
        <w:tc>
          <w:tcPr>
            <w:tcW w:w="1514" w:type="pct"/>
            <w:tcBorders>
              <w:bottom w:val="single" w:sz="4" w:space="0" w:color="auto"/>
            </w:tcBorders>
            <w:shd w:val="clear" w:color="auto" w:fill="auto"/>
            <w:tcMar>
              <w:top w:w="0" w:type="dxa"/>
              <w:left w:w="60" w:type="dxa"/>
              <w:bottom w:w="0" w:type="dxa"/>
              <w:right w:w="60" w:type="dxa"/>
            </w:tcMar>
          </w:tcPr>
          <w:p w:rsidR="00D161AC" w:rsidRPr="00D161AC" w:rsidRDefault="00D161AC" w:rsidP="00D161AC">
            <w:pPr>
              <w:jc w:val="left"/>
            </w:pPr>
            <w:r w:rsidRPr="00D161AC">
              <w:t>Allotment 59 Filed Plan 130313 Hundred of Adelaide</w:t>
            </w:r>
          </w:p>
        </w:tc>
        <w:tc>
          <w:tcPr>
            <w:tcW w:w="1517" w:type="pct"/>
            <w:tcBorders>
              <w:bottom w:val="single" w:sz="4" w:space="0" w:color="auto"/>
            </w:tcBorders>
            <w:shd w:val="clear" w:color="auto" w:fill="auto"/>
            <w:tcMar>
              <w:top w:w="0" w:type="dxa"/>
              <w:left w:w="60" w:type="dxa"/>
              <w:bottom w:w="0" w:type="dxa"/>
              <w:right w:w="60" w:type="dxa"/>
            </w:tcMar>
          </w:tcPr>
          <w:p w:rsidR="00D161AC" w:rsidRPr="00D161AC" w:rsidRDefault="00D161AC" w:rsidP="00D161AC">
            <w:pPr>
              <w:ind w:left="933"/>
              <w:jc w:val="left"/>
            </w:pPr>
            <w:r w:rsidRPr="00D161AC">
              <w:t>CT5891/903</w:t>
            </w:r>
          </w:p>
        </w:tc>
      </w:tr>
    </w:tbl>
    <w:p w:rsidR="00D161AC" w:rsidRPr="00D161AC" w:rsidRDefault="00D161AC" w:rsidP="00D161AC">
      <w:pPr>
        <w:pBdr>
          <w:top w:val="nil"/>
          <w:left w:val="nil"/>
          <w:bottom w:val="nil"/>
          <w:right w:val="nil"/>
        </w:pBdr>
        <w:spacing w:before="80" w:after="0"/>
        <w:ind w:right="62"/>
        <w:rPr>
          <w:rFonts w:eastAsia="Times New Roman"/>
          <w:szCs w:val="17"/>
          <w:lang w:val="en-US"/>
        </w:rPr>
      </w:pPr>
      <w:r w:rsidRPr="00D161AC">
        <w:rPr>
          <w:rFonts w:eastAsia="Times New Roman"/>
          <w:szCs w:val="17"/>
          <w:lang w:val="en-US"/>
        </w:rPr>
        <w:t>Dated: 17 December 2020</w:t>
      </w:r>
    </w:p>
    <w:p w:rsidR="00D161AC" w:rsidRPr="00D161AC" w:rsidRDefault="00D161AC" w:rsidP="00D161AC">
      <w:pPr>
        <w:spacing w:after="0"/>
        <w:ind w:right="62"/>
        <w:jc w:val="right"/>
        <w:rPr>
          <w:rFonts w:eastAsia="Times New Roman"/>
          <w:smallCaps/>
          <w:szCs w:val="17"/>
          <w:lang w:val="en-US"/>
        </w:rPr>
      </w:pPr>
      <w:r w:rsidRPr="00D161AC">
        <w:rPr>
          <w:rFonts w:eastAsia="Times New Roman"/>
          <w:smallCaps/>
          <w:szCs w:val="17"/>
          <w:lang w:val="en-US"/>
        </w:rPr>
        <w:t>Craig Thompson</w:t>
      </w:r>
    </w:p>
    <w:p w:rsidR="00D161AC" w:rsidRPr="00D161AC" w:rsidRDefault="00D161AC" w:rsidP="00D161AC">
      <w:pPr>
        <w:spacing w:after="0"/>
        <w:ind w:right="62"/>
        <w:jc w:val="right"/>
        <w:rPr>
          <w:rFonts w:eastAsia="Times New Roman"/>
          <w:szCs w:val="17"/>
          <w:lang w:val="en-US"/>
        </w:rPr>
      </w:pPr>
      <w:r w:rsidRPr="00D161AC">
        <w:rPr>
          <w:rFonts w:eastAsia="Times New Roman"/>
          <w:szCs w:val="17"/>
          <w:lang w:val="en-US"/>
        </w:rPr>
        <w:t>Acting Housing Regulator and Registrar</w:t>
      </w:r>
    </w:p>
    <w:p w:rsidR="00D161AC" w:rsidRPr="00D161AC" w:rsidRDefault="00D161AC" w:rsidP="00D161AC">
      <w:pPr>
        <w:spacing w:after="0"/>
        <w:ind w:right="62"/>
        <w:jc w:val="right"/>
        <w:rPr>
          <w:rFonts w:eastAsia="Times New Roman"/>
          <w:szCs w:val="17"/>
          <w:lang w:val="en-US"/>
        </w:rPr>
      </w:pPr>
      <w:r w:rsidRPr="00D161AC">
        <w:rPr>
          <w:rFonts w:eastAsia="Times New Roman"/>
          <w:szCs w:val="17"/>
          <w:lang w:val="en-US"/>
        </w:rPr>
        <w:t>Housing Safety Authority, SAHA</w:t>
      </w:r>
    </w:p>
    <w:p w:rsidR="00D04E71" w:rsidRDefault="00D161AC" w:rsidP="00D161AC">
      <w:pPr>
        <w:spacing w:after="0"/>
        <w:ind w:right="62"/>
        <w:jc w:val="right"/>
        <w:rPr>
          <w:rFonts w:eastAsia="Times New Roman"/>
          <w:szCs w:val="17"/>
          <w:lang w:val="en-US"/>
        </w:rPr>
      </w:pPr>
      <w:r w:rsidRPr="00D161AC">
        <w:rPr>
          <w:rFonts w:eastAsia="Times New Roman"/>
          <w:szCs w:val="17"/>
          <w:lang w:val="en-US"/>
        </w:rPr>
        <w:t>Delegate of Minister for Human Services</w:t>
      </w:r>
    </w:p>
    <w:p w:rsidR="00D161AC" w:rsidRDefault="00D161AC" w:rsidP="00D161AC">
      <w:pPr>
        <w:pBdr>
          <w:bottom w:val="single" w:sz="4" w:space="1" w:color="auto"/>
        </w:pBdr>
        <w:spacing w:after="0" w:line="52" w:lineRule="exact"/>
        <w:jc w:val="center"/>
        <w:rPr>
          <w:lang w:val="en-US"/>
        </w:rPr>
      </w:pPr>
    </w:p>
    <w:p w:rsidR="00D161AC" w:rsidRDefault="00D161AC" w:rsidP="00D161AC">
      <w:pPr>
        <w:pBdr>
          <w:top w:val="single" w:sz="4" w:space="1" w:color="auto"/>
        </w:pBdr>
        <w:spacing w:before="34" w:after="0" w:line="14" w:lineRule="exact"/>
        <w:jc w:val="center"/>
        <w:rPr>
          <w:lang w:val="en-US"/>
        </w:rPr>
      </w:pPr>
    </w:p>
    <w:p w:rsidR="00D161AC" w:rsidRDefault="00D161AC" w:rsidP="00D161A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9D5EF7" w:rsidRPr="00136E8D" w:rsidRDefault="009D5EF7" w:rsidP="005549E6">
      <w:pPr>
        <w:pStyle w:val="Heading2"/>
      </w:pPr>
      <w:bookmarkStart w:id="113" w:name="_Toc59098952"/>
      <w:r w:rsidRPr="00136E8D">
        <w:t>Liquor Licensing Act 1997</w:t>
      </w:r>
      <w:bookmarkEnd w:id="113"/>
    </w:p>
    <w:p w:rsidR="009D5EF7" w:rsidRPr="00136E8D" w:rsidRDefault="009D5EF7" w:rsidP="009D5EF7">
      <w:pPr>
        <w:pStyle w:val="GG-Title3"/>
        <w:spacing w:after="60"/>
      </w:pPr>
      <w:r w:rsidRPr="00136E8D">
        <w:t>Ministerial Notice</w:t>
      </w:r>
    </w:p>
    <w:p w:rsidR="009D5EF7" w:rsidRPr="00136E8D" w:rsidRDefault="009D5EF7" w:rsidP="009D5EF7">
      <w:pPr>
        <w:spacing w:after="60"/>
        <w:rPr>
          <w:rFonts w:eastAsia="Times New Roman"/>
          <w:szCs w:val="17"/>
        </w:rPr>
      </w:pPr>
      <w:r w:rsidRPr="00136E8D">
        <w:rPr>
          <w:rFonts w:eastAsia="Times New Roman"/>
          <w:szCs w:val="17"/>
        </w:rPr>
        <w:t xml:space="preserve">I, VICKIE CHAPMAN, Attorney-General, pursuant to section 131AA(2) of the </w:t>
      </w:r>
      <w:r w:rsidRPr="00136E8D">
        <w:rPr>
          <w:rFonts w:eastAsia="Times New Roman"/>
          <w:i/>
          <w:szCs w:val="17"/>
        </w:rPr>
        <w:t>Liquor Licensing Act 1997</w:t>
      </w:r>
      <w:r w:rsidRPr="00136E8D">
        <w:rPr>
          <w:rFonts w:eastAsia="Times New Roman"/>
          <w:szCs w:val="17"/>
        </w:rPr>
        <w:t xml:space="preserve"> declare that the liquor product known as ‘Emodka’ is prohibited.</w:t>
      </w:r>
    </w:p>
    <w:p w:rsidR="009D5EF7" w:rsidRPr="00136E8D" w:rsidRDefault="009D5EF7" w:rsidP="009D5EF7">
      <w:pPr>
        <w:spacing w:after="60"/>
        <w:rPr>
          <w:rFonts w:eastAsia="Times New Roman"/>
          <w:szCs w:val="17"/>
        </w:rPr>
      </w:pPr>
      <w:r w:rsidRPr="00136E8D">
        <w:rPr>
          <w:rFonts w:eastAsia="Times New Roman"/>
          <w:szCs w:val="17"/>
        </w:rPr>
        <w:t xml:space="preserve">I am satisfied under subsection 131AA(3)(a) of the </w:t>
      </w:r>
      <w:r w:rsidRPr="00136E8D">
        <w:rPr>
          <w:rFonts w:eastAsia="Times New Roman"/>
          <w:i/>
          <w:szCs w:val="17"/>
        </w:rPr>
        <w:t>Liquor Licensing Act 1997</w:t>
      </w:r>
      <w:r w:rsidRPr="00136E8D">
        <w:rPr>
          <w:rFonts w:eastAsia="Times New Roman"/>
          <w:szCs w:val="17"/>
        </w:rPr>
        <w:t xml:space="preserve"> that the liquor is likely to have a special appeal to minors.</w:t>
      </w:r>
    </w:p>
    <w:p w:rsidR="009D5EF7" w:rsidRPr="00136E8D" w:rsidRDefault="009D5EF7" w:rsidP="009D5EF7">
      <w:pPr>
        <w:spacing w:after="60"/>
        <w:rPr>
          <w:rFonts w:eastAsia="Times New Roman"/>
          <w:szCs w:val="17"/>
        </w:rPr>
      </w:pPr>
      <w:r w:rsidRPr="00136E8D">
        <w:rPr>
          <w:rFonts w:eastAsia="Times New Roman"/>
          <w:szCs w:val="17"/>
        </w:rPr>
        <w:t xml:space="preserve">The effect of this Notice is the prohibition of manufacture, sale or supply of Emodka for a period of 42 days. </w:t>
      </w:r>
    </w:p>
    <w:p w:rsidR="009D5EF7" w:rsidRPr="00136E8D" w:rsidRDefault="009D5EF7" w:rsidP="009D5EF7">
      <w:pPr>
        <w:spacing w:after="60"/>
        <w:rPr>
          <w:rFonts w:eastAsia="Times New Roman"/>
          <w:szCs w:val="17"/>
        </w:rPr>
      </w:pPr>
      <w:r w:rsidRPr="00136E8D">
        <w:rPr>
          <w:rFonts w:eastAsia="Times New Roman"/>
          <w:szCs w:val="17"/>
        </w:rPr>
        <w:t>This Notice commences with immediate effect on 7 January 2021.</w:t>
      </w:r>
    </w:p>
    <w:p w:rsidR="009D5EF7" w:rsidRPr="00136E8D" w:rsidRDefault="009D5EF7" w:rsidP="009D5EF7">
      <w:pPr>
        <w:spacing w:after="0"/>
        <w:rPr>
          <w:rFonts w:eastAsia="Times New Roman"/>
          <w:szCs w:val="17"/>
        </w:rPr>
      </w:pPr>
      <w:r w:rsidRPr="00136E8D">
        <w:rPr>
          <w:rFonts w:eastAsia="Times New Roman"/>
          <w:szCs w:val="17"/>
        </w:rPr>
        <w:t>Dated: 15 December 2020</w:t>
      </w:r>
    </w:p>
    <w:p w:rsidR="009D5EF7" w:rsidRPr="00136E8D" w:rsidRDefault="009D5EF7" w:rsidP="009D5EF7">
      <w:pPr>
        <w:spacing w:after="0"/>
        <w:jc w:val="right"/>
        <w:rPr>
          <w:rFonts w:eastAsia="Times New Roman"/>
          <w:smallCaps/>
          <w:szCs w:val="20"/>
        </w:rPr>
      </w:pPr>
      <w:r w:rsidRPr="00136E8D">
        <w:rPr>
          <w:rFonts w:eastAsia="Times New Roman"/>
          <w:smallCaps/>
          <w:szCs w:val="20"/>
        </w:rPr>
        <w:t>Vickie Chapman</w:t>
      </w:r>
    </w:p>
    <w:p w:rsidR="009D5EF7" w:rsidRPr="00136E8D" w:rsidRDefault="009D5EF7" w:rsidP="009D5EF7">
      <w:pPr>
        <w:spacing w:after="0"/>
        <w:jc w:val="right"/>
        <w:rPr>
          <w:rFonts w:eastAsia="Times New Roman"/>
          <w:szCs w:val="17"/>
        </w:rPr>
      </w:pPr>
      <w:r w:rsidRPr="00136E8D">
        <w:rPr>
          <w:rFonts w:eastAsia="Times New Roman"/>
          <w:szCs w:val="17"/>
        </w:rPr>
        <w:t>Attorney-General</w:t>
      </w:r>
    </w:p>
    <w:p w:rsidR="009D5EF7" w:rsidRPr="00136E8D" w:rsidRDefault="009D5EF7" w:rsidP="009D5EF7">
      <w:pPr>
        <w:pBdr>
          <w:top w:val="single" w:sz="4" w:space="1" w:color="auto"/>
        </w:pBdr>
        <w:spacing w:before="100" w:after="0" w:line="14" w:lineRule="exact"/>
        <w:jc w:val="center"/>
        <w:rPr>
          <w:rFonts w:eastAsia="Times New Roman"/>
          <w:szCs w:val="17"/>
        </w:rPr>
      </w:pPr>
    </w:p>
    <w:p w:rsidR="00351EBD" w:rsidRPr="00351EBD" w:rsidRDefault="00351EBD" w:rsidP="00351EBD">
      <w:pPr>
        <w:jc w:val="center"/>
        <w:rPr>
          <w:caps/>
          <w:szCs w:val="17"/>
        </w:rPr>
      </w:pPr>
      <w:r w:rsidRPr="00351EBD">
        <w:rPr>
          <w:caps/>
          <w:szCs w:val="17"/>
        </w:rPr>
        <w:lastRenderedPageBreak/>
        <w:t>Liquor Licensing Act 1997</w:t>
      </w:r>
    </w:p>
    <w:p w:rsidR="00351EBD" w:rsidRPr="00351EBD" w:rsidRDefault="00351EBD" w:rsidP="00351EBD">
      <w:pPr>
        <w:keepLines/>
        <w:autoSpaceDE w:val="0"/>
        <w:autoSpaceDN w:val="0"/>
        <w:adjustRightInd w:val="0"/>
        <w:spacing w:before="240" w:after="0" w:line="240" w:lineRule="auto"/>
        <w:jc w:val="left"/>
        <w:rPr>
          <w:rFonts w:eastAsia="Times New Roman"/>
          <w:color w:val="000000"/>
          <w:sz w:val="28"/>
          <w:szCs w:val="28"/>
          <w:lang w:eastAsia="en-AU"/>
        </w:rPr>
      </w:pPr>
      <w:r w:rsidRPr="00351EBD">
        <w:rPr>
          <w:rFonts w:eastAsia="Times New Roman"/>
          <w:color w:val="000000"/>
          <w:sz w:val="28"/>
          <w:szCs w:val="28"/>
          <w:lang w:eastAsia="en-AU"/>
        </w:rPr>
        <w:t>South Australia</w:t>
      </w:r>
    </w:p>
    <w:p w:rsidR="00351EBD" w:rsidRPr="00351EBD" w:rsidRDefault="00351EBD" w:rsidP="00351EBD">
      <w:pPr>
        <w:keepLines/>
        <w:autoSpaceDE w:val="0"/>
        <w:autoSpaceDN w:val="0"/>
        <w:adjustRightInd w:val="0"/>
        <w:spacing w:before="120" w:after="200" w:line="240" w:lineRule="auto"/>
        <w:jc w:val="left"/>
        <w:rPr>
          <w:rFonts w:eastAsia="Times New Roman"/>
          <w:b/>
          <w:bCs/>
          <w:color w:val="000000"/>
          <w:sz w:val="36"/>
          <w:szCs w:val="36"/>
          <w:lang w:eastAsia="en-AU"/>
        </w:rPr>
      </w:pPr>
      <w:r w:rsidRPr="00351EBD">
        <w:rPr>
          <w:rFonts w:eastAsia="Times New Roman"/>
          <w:b/>
          <w:bCs/>
          <w:color w:val="000000"/>
          <w:sz w:val="36"/>
          <w:szCs w:val="36"/>
          <w:lang w:eastAsia="en-AU"/>
        </w:rPr>
        <w:t>Liquor Licensing (Dry Areas) Notice 2020</w:t>
      </w:r>
    </w:p>
    <w:p w:rsidR="00351EBD" w:rsidRPr="00351EBD" w:rsidRDefault="00351EBD" w:rsidP="00351EBD">
      <w:pPr>
        <w:keepLines/>
        <w:autoSpaceDE w:val="0"/>
        <w:autoSpaceDN w:val="0"/>
        <w:adjustRightInd w:val="0"/>
        <w:spacing w:before="80" w:after="240" w:line="240" w:lineRule="auto"/>
        <w:jc w:val="left"/>
        <w:rPr>
          <w:rFonts w:eastAsia="Times New Roman"/>
          <w:color w:val="000000"/>
          <w:sz w:val="24"/>
          <w:szCs w:val="24"/>
          <w:lang w:eastAsia="en-AU"/>
        </w:rPr>
      </w:pPr>
      <w:r w:rsidRPr="00351EBD">
        <w:rPr>
          <w:rFonts w:eastAsia="Times New Roman"/>
          <w:color w:val="000000"/>
          <w:sz w:val="24"/>
          <w:szCs w:val="24"/>
          <w:lang w:eastAsia="en-AU"/>
        </w:rPr>
        <w:t xml:space="preserve">under section 131(1a) of the </w:t>
      </w:r>
      <w:r w:rsidRPr="00351EBD">
        <w:rPr>
          <w:rFonts w:eastAsia="Times New Roman"/>
          <w:i/>
          <w:iCs/>
          <w:color w:val="000000"/>
          <w:sz w:val="24"/>
          <w:szCs w:val="24"/>
          <w:lang w:eastAsia="en-AU"/>
        </w:rPr>
        <w:t>Liquor Licensing Act 1997</w:t>
      </w:r>
    </w:p>
    <w:p w:rsidR="00351EBD" w:rsidRPr="00351EBD" w:rsidRDefault="00351EBD" w:rsidP="00351EBD">
      <w:pPr>
        <w:keepNext/>
        <w:keepLines/>
        <w:autoSpaceDE w:val="0"/>
        <w:autoSpaceDN w:val="0"/>
        <w:adjustRightInd w:val="0"/>
        <w:spacing w:before="240" w:after="0" w:line="240" w:lineRule="auto"/>
        <w:ind w:left="567" w:hanging="567"/>
        <w:jc w:val="left"/>
        <w:rPr>
          <w:rFonts w:eastAsia="Times New Roman"/>
          <w:b/>
          <w:bCs/>
          <w:color w:val="000000"/>
          <w:sz w:val="26"/>
          <w:szCs w:val="26"/>
          <w:lang w:eastAsia="en-AU"/>
        </w:rPr>
      </w:pPr>
      <w:r w:rsidRPr="00351EBD">
        <w:rPr>
          <w:rFonts w:eastAsia="Times New Roman"/>
          <w:b/>
          <w:bCs/>
          <w:color w:val="000000"/>
          <w:sz w:val="26"/>
          <w:szCs w:val="26"/>
          <w:lang w:eastAsia="en-AU"/>
        </w:rPr>
        <w:t>1—Short title</w:t>
      </w:r>
    </w:p>
    <w:p w:rsidR="00351EBD" w:rsidRPr="00351EBD" w:rsidRDefault="00351EBD" w:rsidP="00351EBD">
      <w:pPr>
        <w:keepLines/>
        <w:autoSpaceDE w:val="0"/>
        <w:autoSpaceDN w:val="0"/>
        <w:adjustRightInd w:val="0"/>
        <w:spacing w:before="120" w:after="0" w:line="240" w:lineRule="auto"/>
        <w:ind w:left="794"/>
        <w:jc w:val="left"/>
        <w:rPr>
          <w:rFonts w:eastAsia="Times New Roman"/>
          <w:color w:val="000000"/>
          <w:sz w:val="23"/>
          <w:szCs w:val="23"/>
          <w:lang w:eastAsia="en-AU"/>
        </w:rPr>
      </w:pPr>
      <w:r w:rsidRPr="00351EBD">
        <w:rPr>
          <w:rFonts w:eastAsia="Times New Roman"/>
          <w:color w:val="000000"/>
          <w:sz w:val="23"/>
          <w:szCs w:val="23"/>
          <w:lang w:eastAsia="en-AU"/>
        </w:rPr>
        <w:t xml:space="preserve">This notice may be cited as the </w:t>
      </w:r>
      <w:hyperlink r:id="rId90" w:history="1">
        <w:r w:rsidRPr="00351EBD">
          <w:rPr>
            <w:rFonts w:eastAsia="Times New Roman"/>
            <w:i/>
            <w:iCs/>
            <w:color w:val="000000"/>
            <w:sz w:val="23"/>
            <w:szCs w:val="23"/>
            <w:lang w:eastAsia="en-AU"/>
          </w:rPr>
          <w:t>Liquor Licensing (Dry Areas) Notice 20</w:t>
        </w:r>
      </w:hyperlink>
      <w:r w:rsidRPr="00351EBD">
        <w:rPr>
          <w:rFonts w:eastAsia="Times New Roman"/>
          <w:i/>
          <w:iCs/>
          <w:color w:val="000000"/>
          <w:sz w:val="23"/>
          <w:szCs w:val="23"/>
          <w:lang w:eastAsia="en-AU"/>
        </w:rPr>
        <w:t>20</w:t>
      </w:r>
      <w:r w:rsidRPr="00351EBD">
        <w:rPr>
          <w:rFonts w:eastAsia="Times New Roman"/>
          <w:color w:val="000000"/>
          <w:sz w:val="23"/>
          <w:szCs w:val="23"/>
          <w:lang w:eastAsia="en-AU"/>
        </w:rPr>
        <w:t>.</w:t>
      </w:r>
    </w:p>
    <w:p w:rsidR="00351EBD" w:rsidRPr="00351EBD" w:rsidRDefault="00351EBD" w:rsidP="00351EBD">
      <w:pPr>
        <w:keepNext/>
        <w:keepLines/>
        <w:autoSpaceDE w:val="0"/>
        <w:autoSpaceDN w:val="0"/>
        <w:adjustRightInd w:val="0"/>
        <w:spacing w:before="240" w:after="0" w:line="240" w:lineRule="auto"/>
        <w:ind w:left="567" w:hanging="567"/>
        <w:jc w:val="left"/>
        <w:rPr>
          <w:rFonts w:eastAsia="Times New Roman"/>
          <w:b/>
          <w:bCs/>
          <w:color w:val="000000"/>
          <w:sz w:val="26"/>
          <w:szCs w:val="26"/>
          <w:lang w:eastAsia="en-AU"/>
        </w:rPr>
      </w:pPr>
      <w:r w:rsidRPr="00351EBD">
        <w:rPr>
          <w:rFonts w:eastAsia="Times New Roman"/>
          <w:b/>
          <w:bCs/>
          <w:color w:val="000000"/>
          <w:sz w:val="26"/>
          <w:szCs w:val="26"/>
          <w:lang w:eastAsia="en-AU"/>
        </w:rPr>
        <w:t>2—Commencement</w:t>
      </w:r>
    </w:p>
    <w:p w:rsidR="00351EBD" w:rsidRPr="00351EBD" w:rsidRDefault="00351EBD" w:rsidP="00351EBD">
      <w:pPr>
        <w:keepLines/>
        <w:autoSpaceDE w:val="0"/>
        <w:autoSpaceDN w:val="0"/>
        <w:adjustRightInd w:val="0"/>
        <w:spacing w:before="120" w:after="0" w:line="240" w:lineRule="auto"/>
        <w:ind w:left="794"/>
        <w:jc w:val="left"/>
        <w:rPr>
          <w:rFonts w:eastAsia="Times New Roman"/>
          <w:color w:val="000000"/>
          <w:sz w:val="23"/>
          <w:szCs w:val="23"/>
          <w:lang w:eastAsia="en-AU"/>
        </w:rPr>
      </w:pPr>
      <w:r w:rsidRPr="00351EBD">
        <w:rPr>
          <w:rFonts w:eastAsia="Times New Roman"/>
          <w:color w:val="000000"/>
          <w:sz w:val="23"/>
          <w:szCs w:val="23"/>
          <w:lang w:eastAsia="en-AU"/>
        </w:rPr>
        <w:t>This notice comes into operation on 30 December 2020.</w:t>
      </w:r>
    </w:p>
    <w:p w:rsidR="00351EBD" w:rsidRPr="00351EBD" w:rsidRDefault="00351EBD" w:rsidP="00351EBD">
      <w:pPr>
        <w:keepNext/>
        <w:keepLines/>
        <w:autoSpaceDE w:val="0"/>
        <w:autoSpaceDN w:val="0"/>
        <w:adjustRightInd w:val="0"/>
        <w:spacing w:before="240" w:after="0" w:line="240" w:lineRule="auto"/>
        <w:ind w:left="567" w:hanging="567"/>
        <w:jc w:val="left"/>
        <w:rPr>
          <w:rFonts w:eastAsia="Times New Roman"/>
          <w:b/>
          <w:bCs/>
          <w:color w:val="000000"/>
          <w:sz w:val="26"/>
          <w:szCs w:val="26"/>
          <w:lang w:eastAsia="en-AU"/>
        </w:rPr>
      </w:pPr>
      <w:r w:rsidRPr="00351EBD">
        <w:rPr>
          <w:rFonts w:eastAsia="Times New Roman"/>
          <w:b/>
          <w:bCs/>
          <w:color w:val="000000"/>
          <w:sz w:val="26"/>
          <w:szCs w:val="26"/>
          <w:lang w:eastAsia="en-AU"/>
        </w:rPr>
        <w:t>3—Interpretation</w:t>
      </w:r>
    </w:p>
    <w:p w:rsidR="00351EBD" w:rsidRPr="00351EBD" w:rsidRDefault="00351EBD" w:rsidP="00351EBD">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351EBD">
        <w:rPr>
          <w:rFonts w:eastAsia="Times New Roman"/>
          <w:color w:val="000000"/>
          <w:sz w:val="23"/>
          <w:szCs w:val="23"/>
          <w:lang w:eastAsia="en-AU"/>
        </w:rPr>
        <w:tab/>
        <w:t>(1)</w:t>
      </w:r>
      <w:r w:rsidRPr="00351EBD">
        <w:rPr>
          <w:rFonts w:eastAsia="Times New Roman"/>
          <w:color w:val="000000"/>
          <w:sz w:val="23"/>
          <w:szCs w:val="23"/>
          <w:lang w:eastAsia="en-AU"/>
        </w:rPr>
        <w:tab/>
        <w:t>In this notice—</w:t>
      </w:r>
    </w:p>
    <w:p w:rsidR="00351EBD" w:rsidRPr="00351EBD" w:rsidRDefault="00351EBD" w:rsidP="00351EBD">
      <w:pPr>
        <w:keepLines/>
        <w:autoSpaceDE w:val="0"/>
        <w:autoSpaceDN w:val="0"/>
        <w:adjustRightInd w:val="0"/>
        <w:spacing w:before="120" w:after="0" w:line="240" w:lineRule="auto"/>
        <w:ind w:left="794"/>
        <w:jc w:val="left"/>
        <w:rPr>
          <w:rFonts w:eastAsia="Times New Roman"/>
          <w:color w:val="000000"/>
          <w:sz w:val="23"/>
          <w:szCs w:val="23"/>
          <w:lang w:eastAsia="en-AU"/>
        </w:rPr>
      </w:pPr>
      <w:r w:rsidRPr="00351EBD">
        <w:rPr>
          <w:rFonts w:eastAsia="Times New Roman"/>
          <w:b/>
          <w:bCs/>
          <w:i/>
          <w:iCs/>
          <w:color w:val="000000"/>
          <w:sz w:val="23"/>
          <w:szCs w:val="23"/>
          <w:lang w:eastAsia="en-AU"/>
        </w:rPr>
        <w:t>principal notice</w:t>
      </w:r>
      <w:r w:rsidRPr="00351EBD">
        <w:rPr>
          <w:rFonts w:eastAsia="Times New Roman"/>
          <w:color w:val="000000"/>
          <w:sz w:val="23"/>
          <w:szCs w:val="23"/>
          <w:lang w:eastAsia="en-AU"/>
        </w:rPr>
        <w:t xml:space="preserve"> means the </w:t>
      </w:r>
      <w:hyperlink r:id="rId91" w:history="1">
        <w:r w:rsidRPr="00351EBD">
          <w:rPr>
            <w:rFonts w:eastAsia="Times New Roman"/>
            <w:i/>
            <w:iCs/>
            <w:color w:val="000000"/>
            <w:sz w:val="23"/>
            <w:szCs w:val="23"/>
            <w:lang w:eastAsia="en-AU"/>
          </w:rPr>
          <w:t>Liquor Licensing (Dry Areas) Notice 2015</w:t>
        </w:r>
      </w:hyperlink>
      <w:r w:rsidRPr="00351EBD">
        <w:rPr>
          <w:rFonts w:eastAsia="Times New Roman"/>
          <w:color w:val="000000"/>
          <w:sz w:val="23"/>
          <w:szCs w:val="23"/>
          <w:lang w:eastAsia="en-AU"/>
        </w:rPr>
        <w:t xml:space="preserve"> published in the Gazette on 5.1.15, as in force from time to time.</w:t>
      </w:r>
    </w:p>
    <w:p w:rsidR="00351EBD" w:rsidRPr="00351EBD" w:rsidRDefault="00351EBD" w:rsidP="00351EBD">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351EBD">
        <w:rPr>
          <w:rFonts w:eastAsia="Times New Roman"/>
          <w:color w:val="000000"/>
          <w:sz w:val="23"/>
          <w:szCs w:val="23"/>
          <w:lang w:eastAsia="en-AU"/>
        </w:rPr>
        <w:tab/>
        <w:t>(2)</w:t>
      </w:r>
      <w:r w:rsidRPr="00351EBD">
        <w:rPr>
          <w:rFonts w:eastAsia="Times New Roman"/>
          <w:color w:val="000000"/>
          <w:sz w:val="23"/>
          <w:szCs w:val="23"/>
          <w:lang w:eastAsia="en-AU"/>
        </w:rPr>
        <w:tab/>
        <w:t>Clause 3 of the principal notice applies to this notice as if it were the principal notice.</w:t>
      </w:r>
    </w:p>
    <w:p w:rsidR="00351EBD" w:rsidRPr="00351EBD" w:rsidRDefault="00351EBD" w:rsidP="00351EBD">
      <w:pPr>
        <w:keepNext/>
        <w:keepLines/>
        <w:autoSpaceDE w:val="0"/>
        <w:autoSpaceDN w:val="0"/>
        <w:adjustRightInd w:val="0"/>
        <w:spacing w:before="240" w:after="0" w:line="240" w:lineRule="auto"/>
        <w:ind w:left="567" w:hanging="567"/>
        <w:jc w:val="left"/>
        <w:rPr>
          <w:rFonts w:eastAsia="Times New Roman"/>
          <w:b/>
          <w:bCs/>
          <w:color w:val="000000"/>
          <w:sz w:val="26"/>
          <w:szCs w:val="26"/>
          <w:lang w:eastAsia="en-AU"/>
        </w:rPr>
      </w:pPr>
      <w:bookmarkStart w:id="114" w:name="idad8a963f_d8ce_41c7_9f91_4e3b2596ed1d_9"/>
      <w:r w:rsidRPr="00351EBD">
        <w:rPr>
          <w:rFonts w:eastAsia="Times New Roman"/>
          <w:b/>
          <w:bCs/>
          <w:color w:val="000000"/>
          <w:sz w:val="26"/>
          <w:szCs w:val="26"/>
          <w:lang w:eastAsia="en-AU"/>
        </w:rPr>
        <w:t>4—Consumption etc of liquor prohibited in dry areas</w:t>
      </w:r>
      <w:bookmarkEnd w:id="114"/>
    </w:p>
    <w:p w:rsidR="00351EBD" w:rsidRPr="00351EBD" w:rsidRDefault="00351EBD" w:rsidP="00351EBD">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351EBD">
        <w:rPr>
          <w:rFonts w:eastAsia="Times New Roman"/>
          <w:color w:val="000000"/>
          <w:sz w:val="23"/>
          <w:szCs w:val="23"/>
          <w:lang w:eastAsia="en-AU"/>
        </w:rPr>
        <w:tab/>
        <w:t>(1)</w:t>
      </w:r>
      <w:r w:rsidRPr="00351EBD">
        <w:rPr>
          <w:rFonts w:eastAsia="Times New Roman"/>
          <w:color w:val="000000"/>
          <w:sz w:val="23"/>
          <w:szCs w:val="23"/>
          <w:lang w:eastAsia="en-AU"/>
        </w:rPr>
        <w:tab/>
        <w:t>Pursuant to section 131 of the Act, the consumption and possession of liquor in the area described in the Schedule is prohibited in accordance with the provisions of the Schedule.</w:t>
      </w:r>
    </w:p>
    <w:p w:rsidR="00351EBD" w:rsidRPr="00351EBD" w:rsidRDefault="00351EBD" w:rsidP="00351EBD">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351EBD">
        <w:rPr>
          <w:rFonts w:eastAsia="Times New Roman"/>
          <w:color w:val="000000"/>
          <w:sz w:val="23"/>
          <w:szCs w:val="23"/>
          <w:lang w:eastAsia="en-AU"/>
        </w:rPr>
        <w:tab/>
        <w:t>(2)</w:t>
      </w:r>
      <w:r w:rsidRPr="00351EBD">
        <w:rPr>
          <w:rFonts w:eastAsia="Times New Roman"/>
          <w:color w:val="000000"/>
          <w:sz w:val="23"/>
          <w:szCs w:val="23"/>
          <w:lang w:eastAsia="en-AU"/>
        </w:rPr>
        <w:tab/>
        <w:t>The prohibition has effect during the periods specified in the Schedule.</w:t>
      </w:r>
    </w:p>
    <w:p w:rsidR="00351EBD" w:rsidRPr="00351EBD" w:rsidRDefault="00351EBD" w:rsidP="00351EBD">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15" w:name="id0360abe6_b82b_4f1b_9fcc_04ef4d766f3d_b"/>
      <w:r w:rsidRPr="00351EBD">
        <w:rPr>
          <w:rFonts w:eastAsia="Times New Roman"/>
          <w:color w:val="000000"/>
          <w:sz w:val="23"/>
          <w:szCs w:val="23"/>
          <w:lang w:eastAsia="en-AU"/>
        </w:rPr>
        <w:tab/>
        <w:t>(3)</w:t>
      </w:r>
      <w:r w:rsidRPr="00351EBD">
        <w:rPr>
          <w:rFonts w:eastAsia="Times New Roman"/>
          <w:color w:val="000000"/>
          <w:sz w:val="23"/>
          <w:szCs w:val="23"/>
          <w:lang w:eastAsia="en-AU"/>
        </w:rPr>
        <w:tab/>
        <w:t>The prohibition does not extend to private land in the area described in the Schedule.</w:t>
      </w:r>
      <w:bookmarkEnd w:id="115"/>
    </w:p>
    <w:p w:rsidR="00351EBD" w:rsidRPr="00351EBD" w:rsidRDefault="00351EBD" w:rsidP="00351EBD">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16" w:name="id83667c64_d9ad_4285_8aa7_1227a7c6636a_7"/>
      <w:r w:rsidRPr="00351EBD">
        <w:rPr>
          <w:rFonts w:eastAsia="Times New Roman"/>
          <w:color w:val="000000"/>
          <w:sz w:val="23"/>
          <w:szCs w:val="23"/>
          <w:lang w:eastAsia="en-AU"/>
        </w:rPr>
        <w:tab/>
        <w:t>(4)</w:t>
      </w:r>
      <w:r w:rsidRPr="00351EBD">
        <w:rPr>
          <w:rFonts w:eastAsia="Times New Roman"/>
          <w:color w:val="000000"/>
          <w:sz w:val="23"/>
          <w:szCs w:val="23"/>
          <w:lang w:eastAsia="en-AU"/>
        </w:rPr>
        <w:tab/>
        <w:t>Unless the contrary intention appears, the prohibition of the possession of liquor in the area does not extend to—</w:t>
      </w:r>
      <w:bookmarkEnd w:id="116"/>
    </w:p>
    <w:p w:rsidR="00351EBD" w:rsidRPr="00351EBD" w:rsidRDefault="00351EBD" w:rsidP="00351EB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117" w:name="ide3819bcf_6993_4b9e_8e62_334ccadf6192_4"/>
      <w:r w:rsidRPr="00351EBD">
        <w:rPr>
          <w:rFonts w:eastAsia="Times New Roman"/>
          <w:color w:val="000000"/>
          <w:sz w:val="23"/>
          <w:szCs w:val="23"/>
          <w:lang w:eastAsia="en-AU"/>
        </w:rPr>
        <w:tab/>
        <w:t>(a)</w:t>
      </w:r>
      <w:r w:rsidRPr="00351EBD">
        <w:rPr>
          <w:rFonts w:eastAsia="Times New Roman"/>
          <w:color w:val="000000"/>
          <w:sz w:val="23"/>
          <w:szCs w:val="23"/>
          <w:lang w:eastAsia="en-AU"/>
        </w:rPr>
        <w:tab/>
        <w:t>a person who is genuinely passing through the area if—</w:t>
      </w:r>
      <w:bookmarkEnd w:id="117"/>
    </w:p>
    <w:p w:rsidR="00351EBD" w:rsidRPr="00351EBD" w:rsidRDefault="00351EBD" w:rsidP="00351EBD">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351EBD">
        <w:rPr>
          <w:rFonts w:eastAsia="Times New Roman"/>
          <w:color w:val="000000"/>
          <w:sz w:val="23"/>
          <w:szCs w:val="23"/>
          <w:lang w:eastAsia="en-AU"/>
        </w:rPr>
        <w:tab/>
        <w:t>(i)</w:t>
      </w:r>
      <w:r w:rsidRPr="00351EBD">
        <w:rPr>
          <w:rFonts w:eastAsia="Times New Roman"/>
          <w:color w:val="000000"/>
          <w:sz w:val="23"/>
          <w:szCs w:val="23"/>
          <w:lang w:eastAsia="en-AU"/>
        </w:rPr>
        <w:tab/>
        <w:t>the liquor is in the original container in which it was purchased from licensed premises; and</w:t>
      </w:r>
    </w:p>
    <w:p w:rsidR="00351EBD" w:rsidRPr="00351EBD" w:rsidRDefault="00351EBD" w:rsidP="00351EBD">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351EBD">
        <w:rPr>
          <w:rFonts w:eastAsia="Times New Roman"/>
          <w:color w:val="000000"/>
          <w:sz w:val="23"/>
          <w:szCs w:val="23"/>
          <w:lang w:eastAsia="en-AU"/>
        </w:rPr>
        <w:tab/>
        <w:t>(ii)</w:t>
      </w:r>
      <w:r w:rsidRPr="00351EBD">
        <w:rPr>
          <w:rFonts w:eastAsia="Times New Roman"/>
          <w:color w:val="000000"/>
          <w:sz w:val="23"/>
          <w:szCs w:val="23"/>
          <w:lang w:eastAsia="en-AU"/>
        </w:rPr>
        <w:tab/>
        <w:t>the container has not been opened; or</w:t>
      </w:r>
    </w:p>
    <w:p w:rsidR="00351EBD" w:rsidRPr="00351EBD" w:rsidRDefault="00351EBD" w:rsidP="00351EB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118" w:name="ida1e00c62_7f84_4f3e_afc5_77eb983d38cd_d"/>
      <w:r w:rsidRPr="00351EBD">
        <w:rPr>
          <w:rFonts w:eastAsia="Times New Roman"/>
          <w:color w:val="000000"/>
          <w:sz w:val="23"/>
          <w:szCs w:val="23"/>
          <w:lang w:eastAsia="en-AU"/>
        </w:rPr>
        <w:tab/>
        <w:t>(b)</w:t>
      </w:r>
      <w:r w:rsidRPr="00351EBD">
        <w:rPr>
          <w:rFonts w:eastAsia="Times New Roman"/>
          <w:color w:val="000000"/>
          <w:sz w:val="23"/>
          <w:szCs w:val="23"/>
          <w:lang w:eastAsia="en-AU"/>
        </w:rPr>
        <w:tab/>
        <w:t>a person who has possession of the liquor in the course of carrying on a business or in the course of his or her employment by another person in the course of carrying on a business; or</w:t>
      </w:r>
      <w:bookmarkEnd w:id="118"/>
    </w:p>
    <w:p w:rsidR="00351EBD" w:rsidRPr="00351EBD" w:rsidRDefault="00351EBD" w:rsidP="00351EB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351EBD">
        <w:rPr>
          <w:rFonts w:eastAsia="Times New Roman"/>
          <w:color w:val="000000"/>
          <w:sz w:val="23"/>
          <w:szCs w:val="23"/>
          <w:lang w:eastAsia="en-AU"/>
        </w:rPr>
        <w:tab/>
        <w:t>(c)</w:t>
      </w:r>
      <w:r w:rsidRPr="00351EBD">
        <w:rPr>
          <w:rFonts w:eastAsia="Times New Roman"/>
          <w:color w:val="000000"/>
          <w:sz w:val="23"/>
          <w:szCs w:val="23"/>
          <w:lang w:eastAsia="en-AU"/>
        </w:rPr>
        <w:tab/>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rsidR="00351EBD" w:rsidRPr="00351EBD" w:rsidRDefault="00351EBD" w:rsidP="00351EBD">
      <w:pPr>
        <w:keepLines/>
        <w:tabs>
          <w:tab w:val="center" w:pos="1191"/>
          <w:tab w:val="left" w:pos="1588"/>
        </w:tabs>
        <w:autoSpaceDE w:val="0"/>
        <w:autoSpaceDN w:val="0"/>
        <w:adjustRightInd w:val="0"/>
        <w:spacing w:before="120" w:after="0" w:line="240" w:lineRule="auto"/>
        <w:ind w:left="1588" w:hanging="794"/>
        <w:jc w:val="left"/>
        <w:rPr>
          <w:rFonts w:eastAsia="Times New Roman"/>
          <w:b/>
          <w:bCs/>
          <w:color w:val="000000"/>
          <w:sz w:val="32"/>
          <w:szCs w:val="32"/>
          <w:lang w:eastAsia="en-AU"/>
        </w:rPr>
      </w:pPr>
      <w:r w:rsidRPr="00351EBD">
        <w:rPr>
          <w:rFonts w:eastAsia="Times New Roman"/>
          <w:b/>
          <w:bCs/>
          <w:color w:val="000000"/>
          <w:sz w:val="32"/>
          <w:szCs w:val="32"/>
          <w:lang w:eastAsia="en-AU"/>
        </w:rPr>
        <w:br w:type="page"/>
      </w:r>
    </w:p>
    <w:p w:rsidR="00351EBD" w:rsidRPr="00351EBD" w:rsidRDefault="00351EBD" w:rsidP="00351EBD">
      <w:pPr>
        <w:spacing w:after="240" w:line="240" w:lineRule="auto"/>
        <w:rPr>
          <w:rFonts w:eastAsia="Times New Roman"/>
          <w:b/>
          <w:bCs/>
          <w:color w:val="000000"/>
          <w:sz w:val="32"/>
          <w:szCs w:val="32"/>
          <w:lang w:eastAsia="en-AU"/>
        </w:rPr>
      </w:pPr>
      <w:r w:rsidRPr="00351EBD">
        <w:rPr>
          <w:rFonts w:eastAsia="Times New Roman"/>
          <w:b/>
          <w:bCs/>
          <w:color w:val="000000"/>
          <w:sz w:val="32"/>
          <w:szCs w:val="32"/>
          <w:lang w:eastAsia="en-AU"/>
        </w:rPr>
        <w:lastRenderedPageBreak/>
        <w:t>Schedule—Basham Beach Area 1</w:t>
      </w:r>
    </w:p>
    <w:p w:rsidR="00351EBD" w:rsidRPr="00351EBD" w:rsidRDefault="00351EBD" w:rsidP="00351EBD">
      <w:pPr>
        <w:keepNext/>
        <w:keepLines/>
        <w:autoSpaceDE w:val="0"/>
        <w:autoSpaceDN w:val="0"/>
        <w:adjustRightInd w:val="0"/>
        <w:spacing w:before="120" w:after="0" w:line="240" w:lineRule="auto"/>
        <w:jc w:val="left"/>
        <w:rPr>
          <w:rFonts w:eastAsia="Times New Roman"/>
          <w:b/>
          <w:bCs/>
          <w:color w:val="000000"/>
          <w:sz w:val="23"/>
          <w:szCs w:val="23"/>
          <w:lang w:eastAsia="en-AU"/>
        </w:rPr>
      </w:pPr>
      <w:r w:rsidRPr="00351EBD">
        <w:rPr>
          <w:rFonts w:eastAsia="Times New Roman"/>
          <w:b/>
          <w:bCs/>
          <w:color w:val="000000"/>
          <w:sz w:val="23"/>
          <w:szCs w:val="23"/>
          <w:lang w:eastAsia="en-AU"/>
        </w:rPr>
        <w:t>1—Extent of prohibition</w:t>
      </w:r>
    </w:p>
    <w:p w:rsidR="00351EBD" w:rsidRPr="00351EBD" w:rsidRDefault="00351EBD" w:rsidP="00351EBD">
      <w:pPr>
        <w:keepLines/>
        <w:autoSpaceDE w:val="0"/>
        <w:autoSpaceDN w:val="0"/>
        <w:adjustRightInd w:val="0"/>
        <w:spacing w:before="120" w:after="240" w:line="240" w:lineRule="auto"/>
        <w:ind w:left="709"/>
        <w:jc w:val="left"/>
        <w:rPr>
          <w:rFonts w:eastAsia="Times New Roman"/>
          <w:color w:val="000000"/>
          <w:sz w:val="23"/>
          <w:szCs w:val="23"/>
          <w:lang w:eastAsia="en-AU"/>
        </w:rPr>
      </w:pPr>
      <w:r w:rsidRPr="00351EBD">
        <w:rPr>
          <w:rFonts w:eastAsia="Times New Roman"/>
          <w:color w:val="000000"/>
          <w:sz w:val="23"/>
          <w:szCs w:val="23"/>
          <w:lang w:eastAsia="en-AU"/>
        </w:rPr>
        <w:t>The consumption of liquor is prohibited and the possession of liquor is prohibited.</w:t>
      </w:r>
    </w:p>
    <w:p w:rsidR="00351EBD" w:rsidRPr="00351EBD" w:rsidRDefault="00351EBD" w:rsidP="00351EBD">
      <w:pPr>
        <w:keepNext/>
        <w:keepLines/>
        <w:autoSpaceDE w:val="0"/>
        <w:autoSpaceDN w:val="0"/>
        <w:adjustRightInd w:val="0"/>
        <w:spacing w:before="120" w:after="0" w:line="240" w:lineRule="auto"/>
        <w:jc w:val="left"/>
        <w:rPr>
          <w:rFonts w:eastAsia="Times New Roman"/>
          <w:b/>
          <w:bCs/>
          <w:color w:val="000000"/>
          <w:sz w:val="23"/>
          <w:szCs w:val="23"/>
          <w:lang w:eastAsia="en-AU"/>
        </w:rPr>
      </w:pPr>
      <w:r w:rsidRPr="00351EBD">
        <w:rPr>
          <w:rFonts w:eastAsia="Times New Roman"/>
          <w:b/>
          <w:bCs/>
          <w:color w:val="000000"/>
          <w:sz w:val="23"/>
          <w:szCs w:val="23"/>
          <w:lang w:eastAsia="en-AU"/>
        </w:rPr>
        <w:t>2—Period of prohibition</w:t>
      </w:r>
    </w:p>
    <w:p w:rsidR="00351EBD" w:rsidRPr="00351EBD" w:rsidRDefault="00351EBD" w:rsidP="00351EBD">
      <w:pPr>
        <w:keepLines/>
        <w:autoSpaceDE w:val="0"/>
        <w:autoSpaceDN w:val="0"/>
        <w:adjustRightInd w:val="0"/>
        <w:spacing w:before="120" w:after="240" w:line="240" w:lineRule="auto"/>
        <w:ind w:left="709"/>
        <w:jc w:val="left"/>
        <w:rPr>
          <w:rFonts w:eastAsia="Times New Roman"/>
          <w:color w:val="000000"/>
          <w:sz w:val="23"/>
          <w:szCs w:val="23"/>
          <w:lang w:eastAsia="en-AU"/>
        </w:rPr>
      </w:pPr>
      <w:r w:rsidRPr="00351EBD">
        <w:rPr>
          <w:rFonts w:eastAsia="Times New Roman"/>
          <w:color w:val="000000"/>
          <w:sz w:val="23"/>
          <w:szCs w:val="23"/>
          <w:lang w:eastAsia="en-AU"/>
        </w:rPr>
        <w:t>From 6pm on Wednesday 30 December 2020 to 6am on Saturday 2 January 2021.</w:t>
      </w:r>
    </w:p>
    <w:p w:rsidR="00351EBD" w:rsidRPr="00351EBD" w:rsidRDefault="00351EBD" w:rsidP="00351EBD">
      <w:pPr>
        <w:keepNext/>
        <w:keepLines/>
        <w:autoSpaceDE w:val="0"/>
        <w:autoSpaceDN w:val="0"/>
        <w:adjustRightInd w:val="0"/>
        <w:spacing w:before="120" w:after="120" w:line="240" w:lineRule="auto"/>
        <w:jc w:val="left"/>
        <w:rPr>
          <w:rFonts w:eastAsia="Times New Roman"/>
          <w:b/>
          <w:bCs/>
          <w:color w:val="000000"/>
          <w:sz w:val="23"/>
          <w:szCs w:val="23"/>
          <w:lang w:eastAsia="en-AU"/>
        </w:rPr>
      </w:pPr>
      <w:r w:rsidRPr="00351EBD">
        <w:rPr>
          <w:rFonts w:eastAsia="Times New Roman"/>
          <w:b/>
          <w:bCs/>
          <w:color w:val="000000"/>
          <w:sz w:val="23"/>
          <w:szCs w:val="23"/>
          <w:lang w:eastAsia="en-AU"/>
        </w:rPr>
        <w:t>3—Description of area</w:t>
      </w:r>
    </w:p>
    <w:p w:rsidR="00351EBD" w:rsidRPr="00351EBD" w:rsidRDefault="00351EBD" w:rsidP="00351EBD">
      <w:pPr>
        <w:keepLines/>
        <w:autoSpaceDE w:val="0"/>
        <w:autoSpaceDN w:val="0"/>
        <w:adjustRightInd w:val="0"/>
        <w:spacing w:after="240" w:line="240" w:lineRule="auto"/>
        <w:ind w:left="709"/>
        <w:rPr>
          <w:rFonts w:eastAsia="Times New Roman"/>
          <w:sz w:val="22"/>
          <w:lang w:eastAsia="en-AU"/>
        </w:rPr>
      </w:pPr>
      <w:r w:rsidRPr="00351EBD">
        <w:rPr>
          <w:rFonts w:eastAsia="Times New Roman"/>
          <w:sz w:val="22"/>
          <w:lang w:eastAsia="en-AU"/>
        </w:rPr>
        <w:t>Commencing at the point at which the western boundary of Basham Beach Road, Middleton, intersects the southern boundary of the railway reserve for the Victor Harbor Tourist Railway, then south</w:t>
      </w:r>
      <w:r w:rsidRPr="00351EBD">
        <w:rPr>
          <w:rFonts w:eastAsia="Times New Roman"/>
          <w:sz w:val="22"/>
          <w:lang w:eastAsia="en-AU"/>
        </w:rPr>
        <w:noBreakHyphen/>
        <w:t>easterly along that boundary of Basham Beach Road to the northern boundary of Lot 96 FP 166155, then south</w:t>
      </w:r>
      <w:r w:rsidRPr="00351EBD">
        <w:rPr>
          <w:rFonts w:eastAsia="Times New Roman"/>
          <w:sz w:val="22"/>
          <w:lang w:eastAsia="en-AU"/>
        </w:rPr>
        <w:noBreakHyphen/>
        <w:t>westerly, south</w:t>
      </w:r>
      <w:r w:rsidRPr="00351EBD">
        <w:rPr>
          <w:rFonts w:eastAsia="Times New Roman"/>
          <w:sz w:val="22"/>
          <w:lang w:eastAsia="en-AU"/>
        </w:rPr>
        <w:noBreakHyphen/>
        <w:t>easterly and north</w:t>
      </w:r>
      <w:r w:rsidRPr="00351EBD">
        <w:rPr>
          <w:rFonts w:eastAsia="Times New Roman"/>
          <w:sz w:val="22"/>
          <w:lang w:eastAsia="en-AU"/>
        </w:rPr>
        <w:noBreakHyphen/>
        <w:t>easterly along the northern, western and southern boundaries of Lot 96 to the western boundary of Basham Beach Road, then south</w:t>
      </w:r>
      <w:r w:rsidRPr="00351EBD">
        <w:rPr>
          <w:rFonts w:eastAsia="Times New Roman"/>
          <w:sz w:val="22"/>
          <w:lang w:eastAsia="en-AU"/>
        </w:rPr>
        <w:noBreakHyphen/>
        <w:t>easterly along that boundary of Basham Beach Road and the prolongation in a straight line of that boundary to the low water mark of Encounter Bay, then generally south</w:t>
      </w:r>
      <w:r w:rsidRPr="00351EBD">
        <w:rPr>
          <w:rFonts w:eastAsia="Times New Roman"/>
          <w:sz w:val="22"/>
          <w:lang w:eastAsia="en-AU"/>
        </w:rPr>
        <w:noBreakHyphen/>
        <w:t>westerly, southerly, south</w:t>
      </w:r>
      <w:r w:rsidRPr="00351EBD">
        <w:rPr>
          <w:rFonts w:eastAsia="Times New Roman"/>
          <w:sz w:val="22"/>
          <w:lang w:eastAsia="en-AU"/>
        </w:rPr>
        <w:noBreakHyphen/>
        <w:t>easterly, easterly, southerly, south</w:t>
      </w:r>
      <w:r w:rsidRPr="00351EBD">
        <w:rPr>
          <w:rFonts w:eastAsia="Times New Roman"/>
          <w:sz w:val="22"/>
          <w:lang w:eastAsia="en-AU"/>
        </w:rPr>
        <w:noBreakHyphen/>
        <w:t>westerly and north</w:t>
      </w:r>
      <w:r w:rsidRPr="00351EBD">
        <w:rPr>
          <w:rFonts w:eastAsia="Times New Roman"/>
          <w:sz w:val="22"/>
          <w:lang w:eastAsia="en-AU"/>
        </w:rPr>
        <w:noBreakHyphen/>
        <w:t>westerly along the low water mark to the prolongation in a straight line of the western boundary of Lot 2 DP 52281, then northerly along that prolongation and boundary of Lot 2 to the southern boundary of Lot 1 DP 52281 (the southern boundary of the Port Elliot Caravan Park), then generally easterly, south</w:t>
      </w:r>
      <w:r w:rsidRPr="00351EBD">
        <w:rPr>
          <w:rFonts w:eastAsia="Times New Roman"/>
          <w:sz w:val="22"/>
          <w:lang w:eastAsia="en-AU"/>
        </w:rPr>
        <w:noBreakHyphen/>
        <w:t>easterly, north</w:t>
      </w:r>
      <w:r w:rsidRPr="00351EBD">
        <w:rPr>
          <w:rFonts w:eastAsia="Times New Roman"/>
          <w:sz w:val="22"/>
          <w:lang w:eastAsia="en-AU"/>
        </w:rPr>
        <w:noBreakHyphen/>
        <w:t>easterly and northerly along that boundary of Lot 1 and the eastern boundary of Lot 858 FP 166107 to the northern boundary of Lot 858, then south</w:t>
      </w:r>
      <w:r w:rsidRPr="00351EBD">
        <w:rPr>
          <w:rFonts w:eastAsia="Times New Roman"/>
          <w:sz w:val="22"/>
          <w:lang w:eastAsia="en-AU"/>
        </w:rPr>
        <w:noBreakHyphen/>
        <w:t>westerly along the northern boundary of Lot 858 and the northern boundaries of the adjoining allotments to the eastern boundary of the railway reserve for the Victor Harbor Tourist Railway, then generally north</w:t>
      </w:r>
      <w:r w:rsidRPr="00351EBD">
        <w:rPr>
          <w:rFonts w:eastAsia="Times New Roman"/>
          <w:sz w:val="22"/>
          <w:lang w:eastAsia="en-AU"/>
        </w:rPr>
        <w:noBreakHyphen/>
        <w:t>easterly along that boundary of the railway reserve to the point of commencement.</w:t>
      </w:r>
    </w:p>
    <w:p w:rsidR="00351EBD" w:rsidRPr="00351EBD" w:rsidRDefault="00351EBD" w:rsidP="00351EBD">
      <w:pPr>
        <w:rPr>
          <w:rFonts w:eastAsia="Times New Roman"/>
          <w:szCs w:val="17"/>
          <w:lang w:eastAsia="en-AU"/>
        </w:rPr>
      </w:pPr>
      <w:r w:rsidRPr="00351EBD">
        <w:rPr>
          <w:rFonts w:eastAsia="Times New Roman"/>
          <w:szCs w:val="17"/>
          <w:lang w:eastAsia="en-AU"/>
        </w:rPr>
        <w:br w:type="page"/>
      </w:r>
    </w:p>
    <w:p w:rsidR="00351EBD" w:rsidRPr="00351EBD" w:rsidRDefault="00351EBD" w:rsidP="00351EBD">
      <w:pPr>
        <w:keepLines/>
        <w:autoSpaceDE w:val="0"/>
        <w:autoSpaceDN w:val="0"/>
        <w:adjustRightInd w:val="0"/>
        <w:spacing w:before="240" w:after="0" w:line="240" w:lineRule="auto"/>
        <w:jc w:val="left"/>
        <w:rPr>
          <w:rFonts w:eastAsia="Times New Roman"/>
          <w:b/>
          <w:bCs/>
          <w:color w:val="000000"/>
          <w:sz w:val="26"/>
          <w:szCs w:val="26"/>
          <w:lang w:eastAsia="en-AU"/>
        </w:rPr>
      </w:pPr>
      <w:r w:rsidRPr="00351EBD">
        <w:rPr>
          <w:rFonts w:ascii="Calibri" w:eastAsia="Times New Roman" w:hAnsi="Calibri"/>
          <w:noProof/>
          <w:sz w:val="22"/>
          <w:lang w:eastAsia="en-AU"/>
        </w:rPr>
        <w:lastRenderedPageBreak/>
        <w:drawing>
          <wp:anchor distT="0" distB="0" distL="114300" distR="114300" simplePos="0" relativeHeight="251665920" behindDoc="0" locked="0" layoutInCell="1" allowOverlap="1" wp14:anchorId="4E86327B" wp14:editId="0D4B82DC">
            <wp:simplePos x="0" y="0"/>
            <wp:positionH relativeFrom="margin">
              <wp:align>center</wp:align>
            </wp:positionH>
            <wp:positionV relativeFrom="paragraph">
              <wp:posOffset>177</wp:posOffset>
            </wp:positionV>
            <wp:extent cx="4533265" cy="6591300"/>
            <wp:effectExtent l="0" t="0" r="63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533265" cy="6591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1EBD">
        <w:rPr>
          <w:rFonts w:eastAsia="Times New Roman"/>
          <w:b/>
          <w:bCs/>
          <w:color w:val="000000"/>
          <w:sz w:val="23"/>
          <w:szCs w:val="23"/>
          <w:lang w:eastAsia="en-AU"/>
        </w:rPr>
        <w:t>M</w:t>
      </w:r>
      <w:r w:rsidRPr="00351EBD">
        <w:rPr>
          <w:rFonts w:eastAsia="Times New Roman"/>
          <w:b/>
          <w:bCs/>
          <w:color w:val="000000"/>
          <w:sz w:val="26"/>
          <w:szCs w:val="26"/>
          <w:lang w:eastAsia="en-AU"/>
        </w:rPr>
        <w:t>ade on behalf of the Liquor and Gambling Commissioner</w:t>
      </w:r>
    </w:p>
    <w:p w:rsidR="00351EBD" w:rsidRPr="00351EBD" w:rsidRDefault="00351EBD" w:rsidP="00351EBD">
      <w:pPr>
        <w:keepLines/>
        <w:autoSpaceDE w:val="0"/>
        <w:autoSpaceDN w:val="0"/>
        <w:adjustRightInd w:val="0"/>
        <w:spacing w:before="120" w:line="240" w:lineRule="auto"/>
        <w:jc w:val="left"/>
        <w:rPr>
          <w:rFonts w:eastAsia="Times New Roman"/>
          <w:color w:val="000000"/>
          <w:sz w:val="23"/>
          <w:szCs w:val="23"/>
          <w:lang w:eastAsia="en-AU"/>
        </w:rPr>
      </w:pPr>
      <w:r w:rsidRPr="00351EBD">
        <w:rPr>
          <w:rFonts w:eastAsia="Times New Roman"/>
          <w:color w:val="000000"/>
          <w:sz w:val="23"/>
          <w:szCs w:val="23"/>
          <w:lang w:eastAsia="en-AU"/>
        </w:rPr>
        <w:t>on 14 December 2020</w:t>
      </w:r>
    </w:p>
    <w:p w:rsidR="00351EBD" w:rsidRPr="00351EBD" w:rsidRDefault="00351EBD" w:rsidP="00351EBD">
      <w:pPr>
        <w:pBdr>
          <w:top w:val="single" w:sz="4" w:space="1" w:color="auto"/>
        </w:pBdr>
        <w:autoSpaceDE w:val="0"/>
        <w:autoSpaceDN w:val="0"/>
        <w:adjustRightInd w:val="0"/>
        <w:spacing w:before="100" w:after="0" w:line="14" w:lineRule="exact"/>
        <w:jc w:val="center"/>
        <w:rPr>
          <w:rFonts w:eastAsia="Times New Roman"/>
          <w:color w:val="000000"/>
          <w:sz w:val="23"/>
          <w:szCs w:val="23"/>
          <w:lang w:eastAsia="en-AU"/>
        </w:rPr>
      </w:pPr>
    </w:p>
    <w:p w:rsidR="00351EBD" w:rsidRPr="00351EBD" w:rsidRDefault="00351EBD" w:rsidP="00351EBD">
      <w:pPr>
        <w:rPr>
          <w:rFonts w:eastAsia="Times New Roman"/>
          <w:szCs w:val="17"/>
        </w:rPr>
      </w:pPr>
    </w:p>
    <w:p w:rsidR="00351EBD" w:rsidRDefault="00351EBD">
      <w:pPr>
        <w:spacing w:after="0" w:line="240" w:lineRule="auto"/>
        <w:jc w:val="left"/>
        <w:rPr>
          <w:lang w:val="en-US"/>
        </w:rPr>
      </w:pPr>
      <w:r>
        <w:rPr>
          <w:lang w:val="en-US"/>
        </w:rPr>
        <w:br w:type="page"/>
      </w:r>
    </w:p>
    <w:p w:rsidR="00351EBD" w:rsidRPr="00351EBD" w:rsidRDefault="00351EBD" w:rsidP="00351EBD">
      <w:pPr>
        <w:jc w:val="center"/>
        <w:rPr>
          <w:caps/>
          <w:szCs w:val="17"/>
        </w:rPr>
      </w:pPr>
      <w:r w:rsidRPr="00351EBD">
        <w:rPr>
          <w:caps/>
          <w:szCs w:val="17"/>
        </w:rPr>
        <w:lastRenderedPageBreak/>
        <w:t>Liquor Licensing Act 1997</w:t>
      </w:r>
    </w:p>
    <w:p w:rsidR="00351EBD" w:rsidRPr="00351EBD" w:rsidRDefault="00351EBD" w:rsidP="00351EBD">
      <w:pPr>
        <w:keepLines/>
        <w:autoSpaceDE w:val="0"/>
        <w:autoSpaceDN w:val="0"/>
        <w:adjustRightInd w:val="0"/>
        <w:spacing w:before="240" w:after="0" w:line="240" w:lineRule="auto"/>
        <w:jc w:val="left"/>
        <w:rPr>
          <w:rFonts w:eastAsia="Times New Roman"/>
          <w:color w:val="000000"/>
          <w:sz w:val="28"/>
          <w:szCs w:val="28"/>
          <w:lang w:eastAsia="en-AU"/>
        </w:rPr>
      </w:pPr>
      <w:r w:rsidRPr="00351EBD">
        <w:rPr>
          <w:rFonts w:eastAsia="Times New Roman"/>
          <w:color w:val="000000"/>
          <w:sz w:val="28"/>
          <w:szCs w:val="28"/>
          <w:lang w:eastAsia="en-AU"/>
        </w:rPr>
        <w:t>South Australia</w:t>
      </w:r>
    </w:p>
    <w:p w:rsidR="00351EBD" w:rsidRPr="00351EBD" w:rsidRDefault="00351EBD" w:rsidP="00351EBD">
      <w:pPr>
        <w:keepLines/>
        <w:autoSpaceDE w:val="0"/>
        <w:autoSpaceDN w:val="0"/>
        <w:adjustRightInd w:val="0"/>
        <w:spacing w:before="120" w:after="200" w:line="240" w:lineRule="auto"/>
        <w:jc w:val="left"/>
        <w:rPr>
          <w:rFonts w:eastAsia="Times New Roman"/>
          <w:b/>
          <w:bCs/>
          <w:color w:val="000000"/>
          <w:sz w:val="36"/>
          <w:szCs w:val="36"/>
          <w:lang w:eastAsia="en-AU"/>
        </w:rPr>
      </w:pPr>
      <w:r w:rsidRPr="00351EBD">
        <w:rPr>
          <w:rFonts w:eastAsia="Times New Roman"/>
          <w:b/>
          <w:bCs/>
          <w:color w:val="000000"/>
          <w:sz w:val="36"/>
          <w:szCs w:val="36"/>
          <w:lang w:eastAsia="en-AU"/>
        </w:rPr>
        <w:t>Liquor Licensing (Dry Areas) Notice 2020</w:t>
      </w:r>
    </w:p>
    <w:p w:rsidR="00351EBD" w:rsidRPr="00351EBD" w:rsidRDefault="00351EBD" w:rsidP="00351EBD">
      <w:pPr>
        <w:keepLines/>
        <w:autoSpaceDE w:val="0"/>
        <w:autoSpaceDN w:val="0"/>
        <w:adjustRightInd w:val="0"/>
        <w:spacing w:before="80" w:after="240" w:line="240" w:lineRule="auto"/>
        <w:jc w:val="left"/>
        <w:rPr>
          <w:rFonts w:eastAsia="Times New Roman"/>
          <w:color w:val="000000"/>
          <w:sz w:val="24"/>
          <w:szCs w:val="24"/>
          <w:lang w:eastAsia="en-AU"/>
        </w:rPr>
      </w:pPr>
      <w:r w:rsidRPr="00351EBD">
        <w:rPr>
          <w:rFonts w:eastAsia="Times New Roman"/>
          <w:color w:val="000000"/>
          <w:sz w:val="24"/>
          <w:szCs w:val="24"/>
          <w:lang w:eastAsia="en-AU"/>
        </w:rPr>
        <w:t xml:space="preserve">under section 131(1a) of the </w:t>
      </w:r>
      <w:r w:rsidRPr="00351EBD">
        <w:rPr>
          <w:rFonts w:eastAsia="Times New Roman"/>
          <w:i/>
          <w:iCs/>
          <w:color w:val="000000"/>
          <w:sz w:val="24"/>
          <w:szCs w:val="24"/>
          <w:lang w:eastAsia="en-AU"/>
        </w:rPr>
        <w:t>Liquor Licensing Act 1997</w:t>
      </w:r>
    </w:p>
    <w:p w:rsidR="00351EBD" w:rsidRPr="00351EBD" w:rsidRDefault="00351EBD" w:rsidP="00351EBD">
      <w:pPr>
        <w:keepNext/>
        <w:keepLines/>
        <w:autoSpaceDE w:val="0"/>
        <w:autoSpaceDN w:val="0"/>
        <w:adjustRightInd w:val="0"/>
        <w:spacing w:before="240" w:after="0" w:line="240" w:lineRule="auto"/>
        <w:ind w:left="567" w:hanging="567"/>
        <w:jc w:val="left"/>
        <w:rPr>
          <w:rFonts w:eastAsia="Times New Roman"/>
          <w:b/>
          <w:bCs/>
          <w:color w:val="000000"/>
          <w:sz w:val="26"/>
          <w:szCs w:val="26"/>
          <w:lang w:eastAsia="en-AU"/>
        </w:rPr>
      </w:pPr>
      <w:r w:rsidRPr="00351EBD">
        <w:rPr>
          <w:rFonts w:eastAsia="Times New Roman"/>
          <w:b/>
          <w:bCs/>
          <w:color w:val="000000"/>
          <w:sz w:val="26"/>
          <w:szCs w:val="26"/>
          <w:lang w:eastAsia="en-AU"/>
        </w:rPr>
        <w:t>1—Short title</w:t>
      </w:r>
    </w:p>
    <w:p w:rsidR="00351EBD" w:rsidRPr="00351EBD" w:rsidRDefault="00351EBD" w:rsidP="00351EBD">
      <w:pPr>
        <w:keepLines/>
        <w:autoSpaceDE w:val="0"/>
        <w:autoSpaceDN w:val="0"/>
        <w:adjustRightInd w:val="0"/>
        <w:spacing w:before="120" w:after="0" w:line="240" w:lineRule="auto"/>
        <w:ind w:left="794"/>
        <w:jc w:val="left"/>
        <w:rPr>
          <w:rFonts w:eastAsia="Times New Roman"/>
          <w:color w:val="000000"/>
          <w:sz w:val="23"/>
          <w:szCs w:val="23"/>
          <w:lang w:eastAsia="en-AU"/>
        </w:rPr>
      </w:pPr>
      <w:r w:rsidRPr="00351EBD">
        <w:rPr>
          <w:rFonts w:eastAsia="Times New Roman"/>
          <w:color w:val="000000"/>
          <w:sz w:val="23"/>
          <w:szCs w:val="23"/>
          <w:lang w:eastAsia="en-AU"/>
        </w:rPr>
        <w:t xml:space="preserve">This notice may be cited as the </w:t>
      </w:r>
      <w:hyperlink r:id="rId93" w:history="1">
        <w:r w:rsidRPr="00351EBD">
          <w:rPr>
            <w:rFonts w:eastAsia="Times New Roman"/>
            <w:i/>
            <w:iCs/>
            <w:color w:val="000000"/>
            <w:sz w:val="23"/>
            <w:szCs w:val="23"/>
            <w:lang w:eastAsia="en-AU"/>
          </w:rPr>
          <w:t>Liquor Licensing (Dry Areas) Notice 20</w:t>
        </w:r>
      </w:hyperlink>
      <w:r w:rsidRPr="00351EBD">
        <w:rPr>
          <w:rFonts w:eastAsia="Times New Roman"/>
          <w:i/>
          <w:iCs/>
          <w:color w:val="000000"/>
          <w:sz w:val="23"/>
          <w:szCs w:val="23"/>
          <w:lang w:eastAsia="en-AU"/>
        </w:rPr>
        <w:t>20</w:t>
      </w:r>
      <w:r w:rsidRPr="00351EBD">
        <w:rPr>
          <w:rFonts w:eastAsia="Times New Roman"/>
          <w:color w:val="000000"/>
          <w:sz w:val="23"/>
          <w:szCs w:val="23"/>
          <w:lang w:eastAsia="en-AU"/>
        </w:rPr>
        <w:t>.</w:t>
      </w:r>
    </w:p>
    <w:p w:rsidR="00351EBD" w:rsidRPr="00351EBD" w:rsidRDefault="00351EBD" w:rsidP="00351EBD">
      <w:pPr>
        <w:keepNext/>
        <w:keepLines/>
        <w:autoSpaceDE w:val="0"/>
        <w:autoSpaceDN w:val="0"/>
        <w:adjustRightInd w:val="0"/>
        <w:spacing w:before="240" w:after="0" w:line="240" w:lineRule="auto"/>
        <w:ind w:left="567" w:hanging="567"/>
        <w:jc w:val="left"/>
        <w:rPr>
          <w:rFonts w:eastAsia="Times New Roman"/>
          <w:b/>
          <w:bCs/>
          <w:color w:val="000000"/>
          <w:sz w:val="26"/>
          <w:szCs w:val="26"/>
          <w:lang w:eastAsia="en-AU"/>
        </w:rPr>
      </w:pPr>
      <w:r w:rsidRPr="00351EBD">
        <w:rPr>
          <w:rFonts w:eastAsia="Times New Roman"/>
          <w:b/>
          <w:bCs/>
          <w:color w:val="000000"/>
          <w:sz w:val="26"/>
          <w:szCs w:val="26"/>
          <w:lang w:eastAsia="en-AU"/>
        </w:rPr>
        <w:t>2—Commencement</w:t>
      </w:r>
    </w:p>
    <w:p w:rsidR="00351EBD" w:rsidRPr="00351EBD" w:rsidRDefault="00351EBD" w:rsidP="00351EBD">
      <w:pPr>
        <w:keepLines/>
        <w:autoSpaceDE w:val="0"/>
        <w:autoSpaceDN w:val="0"/>
        <w:adjustRightInd w:val="0"/>
        <w:spacing w:before="120" w:after="0" w:line="240" w:lineRule="auto"/>
        <w:ind w:left="794"/>
        <w:jc w:val="left"/>
        <w:rPr>
          <w:rFonts w:eastAsia="Times New Roman"/>
          <w:color w:val="000000"/>
          <w:sz w:val="23"/>
          <w:szCs w:val="23"/>
          <w:lang w:eastAsia="en-AU"/>
        </w:rPr>
      </w:pPr>
      <w:r w:rsidRPr="00351EBD">
        <w:rPr>
          <w:rFonts w:eastAsia="Times New Roman"/>
          <w:color w:val="000000"/>
          <w:sz w:val="23"/>
          <w:szCs w:val="23"/>
          <w:lang w:eastAsia="en-AU"/>
        </w:rPr>
        <w:t>This notice comes into operation on 30 December 2020.</w:t>
      </w:r>
    </w:p>
    <w:p w:rsidR="00351EBD" w:rsidRPr="00351EBD" w:rsidRDefault="00351EBD" w:rsidP="00351EBD">
      <w:pPr>
        <w:keepNext/>
        <w:keepLines/>
        <w:autoSpaceDE w:val="0"/>
        <w:autoSpaceDN w:val="0"/>
        <w:adjustRightInd w:val="0"/>
        <w:spacing w:before="240" w:after="0" w:line="240" w:lineRule="auto"/>
        <w:ind w:left="567" w:hanging="567"/>
        <w:jc w:val="left"/>
        <w:rPr>
          <w:rFonts w:eastAsia="Times New Roman"/>
          <w:b/>
          <w:bCs/>
          <w:color w:val="000000"/>
          <w:sz w:val="26"/>
          <w:szCs w:val="26"/>
          <w:lang w:eastAsia="en-AU"/>
        </w:rPr>
      </w:pPr>
      <w:r w:rsidRPr="00351EBD">
        <w:rPr>
          <w:rFonts w:eastAsia="Times New Roman"/>
          <w:b/>
          <w:bCs/>
          <w:color w:val="000000"/>
          <w:sz w:val="26"/>
          <w:szCs w:val="26"/>
          <w:lang w:eastAsia="en-AU"/>
        </w:rPr>
        <w:t>3—Interpretation</w:t>
      </w:r>
    </w:p>
    <w:p w:rsidR="00351EBD" w:rsidRPr="00351EBD" w:rsidRDefault="00351EBD" w:rsidP="00351EBD">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351EBD">
        <w:rPr>
          <w:rFonts w:eastAsia="Times New Roman"/>
          <w:color w:val="000000"/>
          <w:sz w:val="23"/>
          <w:szCs w:val="23"/>
          <w:lang w:eastAsia="en-AU"/>
        </w:rPr>
        <w:tab/>
        <w:t>(1)</w:t>
      </w:r>
      <w:r w:rsidRPr="00351EBD">
        <w:rPr>
          <w:rFonts w:eastAsia="Times New Roman"/>
          <w:color w:val="000000"/>
          <w:sz w:val="23"/>
          <w:szCs w:val="23"/>
          <w:lang w:eastAsia="en-AU"/>
        </w:rPr>
        <w:tab/>
        <w:t>In this notice—</w:t>
      </w:r>
    </w:p>
    <w:p w:rsidR="00351EBD" w:rsidRPr="00351EBD" w:rsidRDefault="00351EBD" w:rsidP="00351EBD">
      <w:pPr>
        <w:keepLines/>
        <w:autoSpaceDE w:val="0"/>
        <w:autoSpaceDN w:val="0"/>
        <w:adjustRightInd w:val="0"/>
        <w:spacing w:before="120" w:after="0" w:line="240" w:lineRule="auto"/>
        <w:ind w:left="794"/>
        <w:jc w:val="left"/>
        <w:rPr>
          <w:rFonts w:eastAsia="Times New Roman"/>
          <w:color w:val="000000"/>
          <w:sz w:val="23"/>
          <w:szCs w:val="23"/>
          <w:lang w:eastAsia="en-AU"/>
        </w:rPr>
      </w:pPr>
      <w:r w:rsidRPr="00351EBD">
        <w:rPr>
          <w:rFonts w:eastAsia="Times New Roman"/>
          <w:b/>
          <w:bCs/>
          <w:i/>
          <w:iCs/>
          <w:color w:val="000000"/>
          <w:sz w:val="23"/>
          <w:szCs w:val="23"/>
          <w:lang w:eastAsia="en-AU"/>
        </w:rPr>
        <w:t>principal notice</w:t>
      </w:r>
      <w:r w:rsidRPr="00351EBD">
        <w:rPr>
          <w:rFonts w:eastAsia="Times New Roman"/>
          <w:color w:val="000000"/>
          <w:sz w:val="23"/>
          <w:szCs w:val="23"/>
          <w:lang w:eastAsia="en-AU"/>
        </w:rPr>
        <w:t xml:space="preserve"> means the </w:t>
      </w:r>
      <w:hyperlink r:id="rId94" w:history="1">
        <w:r w:rsidRPr="00351EBD">
          <w:rPr>
            <w:rFonts w:eastAsia="Times New Roman"/>
            <w:i/>
            <w:iCs/>
            <w:color w:val="000000"/>
            <w:sz w:val="23"/>
            <w:szCs w:val="23"/>
            <w:lang w:eastAsia="en-AU"/>
          </w:rPr>
          <w:t>Liquor Licensing (Dry Areas) Notice 2015</w:t>
        </w:r>
      </w:hyperlink>
      <w:r w:rsidRPr="00351EBD">
        <w:rPr>
          <w:rFonts w:eastAsia="Times New Roman"/>
          <w:color w:val="000000"/>
          <w:sz w:val="23"/>
          <w:szCs w:val="23"/>
          <w:lang w:eastAsia="en-AU"/>
        </w:rPr>
        <w:t xml:space="preserve"> published in the Gazette on 5.1.15, as in force from time to time.</w:t>
      </w:r>
    </w:p>
    <w:p w:rsidR="00351EBD" w:rsidRPr="00351EBD" w:rsidRDefault="00351EBD" w:rsidP="00351EBD">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351EBD">
        <w:rPr>
          <w:rFonts w:eastAsia="Times New Roman"/>
          <w:color w:val="000000"/>
          <w:sz w:val="23"/>
          <w:szCs w:val="23"/>
          <w:lang w:eastAsia="en-AU"/>
        </w:rPr>
        <w:tab/>
        <w:t>(2)</w:t>
      </w:r>
      <w:r w:rsidRPr="00351EBD">
        <w:rPr>
          <w:rFonts w:eastAsia="Times New Roman"/>
          <w:color w:val="000000"/>
          <w:sz w:val="23"/>
          <w:szCs w:val="23"/>
          <w:lang w:eastAsia="en-AU"/>
        </w:rPr>
        <w:tab/>
        <w:t>Clause 3 of the principal notice applies to this notice as if it were the principal notice.</w:t>
      </w:r>
    </w:p>
    <w:p w:rsidR="00351EBD" w:rsidRPr="00351EBD" w:rsidRDefault="00351EBD" w:rsidP="00351EBD">
      <w:pPr>
        <w:keepNext/>
        <w:keepLines/>
        <w:autoSpaceDE w:val="0"/>
        <w:autoSpaceDN w:val="0"/>
        <w:adjustRightInd w:val="0"/>
        <w:spacing w:before="240" w:after="0" w:line="240" w:lineRule="auto"/>
        <w:ind w:left="567" w:hanging="567"/>
        <w:jc w:val="left"/>
        <w:rPr>
          <w:rFonts w:eastAsia="Times New Roman"/>
          <w:b/>
          <w:bCs/>
          <w:color w:val="000000"/>
          <w:sz w:val="26"/>
          <w:szCs w:val="26"/>
          <w:lang w:eastAsia="en-AU"/>
        </w:rPr>
      </w:pPr>
      <w:r w:rsidRPr="00351EBD">
        <w:rPr>
          <w:rFonts w:eastAsia="Times New Roman"/>
          <w:b/>
          <w:bCs/>
          <w:color w:val="000000"/>
          <w:sz w:val="26"/>
          <w:szCs w:val="26"/>
          <w:lang w:eastAsia="en-AU"/>
        </w:rPr>
        <w:t>4—Consumption etc of liquor prohibited in dry areas</w:t>
      </w:r>
    </w:p>
    <w:p w:rsidR="00351EBD" w:rsidRPr="00351EBD" w:rsidRDefault="00351EBD" w:rsidP="00351EBD">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351EBD">
        <w:rPr>
          <w:rFonts w:eastAsia="Times New Roman"/>
          <w:color w:val="000000"/>
          <w:sz w:val="23"/>
          <w:szCs w:val="23"/>
          <w:lang w:eastAsia="en-AU"/>
        </w:rPr>
        <w:tab/>
        <w:t>(1)</w:t>
      </w:r>
      <w:r w:rsidRPr="00351EBD">
        <w:rPr>
          <w:rFonts w:eastAsia="Times New Roman"/>
          <w:color w:val="000000"/>
          <w:sz w:val="23"/>
          <w:szCs w:val="23"/>
          <w:lang w:eastAsia="en-AU"/>
        </w:rPr>
        <w:tab/>
        <w:t>Pursuant to section 131 of the Act, the consumption and possession of liquor in the area described in the Schedule is prohibited in accordance with the provisions of the Schedule.</w:t>
      </w:r>
    </w:p>
    <w:p w:rsidR="00351EBD" w:rsidRPr="00351EBD" w:rsidRDefault="00351EBD" w:rsidP="00351EBD">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351EBD">
        <w:rPr>
          <w:rFonts w:eastAsia="Times New Roman"/>
          <w:color w:val="000000"/>
          <w:sz w:val="23"/>
          <w:szCs w:val="23"/>
          <w:lang w:eastAsia="en-AU"/>
        </w:rPr>
        <w:tab/>
        <w:t>(2)</w:t>
      </w:r>
      <w:r w:rsidRPr="00351EBD">
        <w:rPr>
          <w:rFonts w:eastAsia="Times New Roman"/>
          <w:color w:val="000000"/>
          <w:sz w:val="23"/>
          <w:szCs w:val="23"/>
          <w:lang w:eastAsia="en-AU"/>
        </w:rPr>
        <w:tab/>
        <w:t>The prohibition has effect during the periods specified in the Schedule.</w:t>
      </w:r>
    </w:p>
    <w:p w:rsidR="00351EBD" w:rsidRPr="00351EBD" w:rsidRDefault="00351EBD" w:rsidP="00351EBD">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351EBD">
        <w:rPr>
          <w:rFonts w:eastAsia="Times New Roman"/>
          <w:color w:val="000000"/>
          <w:sz w:val="23"/>
          <w:szCs w:val="23"/>
          <w:lang w:eastAsia="en-AU"/>
        </w:rPr>
        <w:tab/>
        <w:t>(3)</w:t>
      </w:r>
      <w:r w:rsidRPr="00351EBD">
        <w:rPr>
          <w:rFonts w:eastAsia="Times New Roman"/>
          <w:color w:val="000000"/>
          <w:sz w:val="23"/>
          <w:szCs w:val="23"/>
          <w:lang w:eastAsia="en-AU"/>
        </w:rPr>
        <w:tab/>
        <w:t>The prohibition does not extend to private land in the area described in the Schedule.</w:t>
      </w:r>
    </w:p>
    <w:p w:rsidR="00351EBD" w:rsidRPr="00351EBD" w:rsidRDefault="00351EBD" w:rsidP="00351EBD">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351EBD">
        <w:rPr>
          <w:rFonts w:eastAsia="Times New Roman"/>
          <w:color w:val="000000"/>
          <w:sz w:val="23"/>
          <w:szCs w:val="23"/>
          <w:lang w:eastAsia="en-AU"/>
        </w:rPr>
        <w:tab/>
        <w:t>(4)</w:t>
      </w:r>
      <w:r w:rsidRPr="00351EBD">
        <w:rPr>
          <w:rFonts w:eastAsia="Times New Roman"/>
          <w:color w:val="000000"/>
          <w:sz w:val="23"/>
          <w:szCs w:val="23"/>
          <w:lang w:eastAsia="en-AU"/>
        </w:rPr>
        <w:tab/>
        <w:t>Unless the contrary intention appears, the prohibition of the possession of liquor in the area does not extend to—</w:t>
      </w:r>
    </w:p>
    <w:p w:rsidR="00351EBD" w:rsidRPr="00351EBD" w:rsidRDefault="00351EBD" w:rsidP="00351EB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351EBD">
        <w:rPr>
          <w:rFonts w:eastAsia="Times New Roman"/>
          <w:color w:val="000000"/>
          <w:sz w:val="23"/>
          <w:szCs w:val="23"/>
          <w:lang w:eastAsia="en-AU"/>
        </w:rPr>
        <w:tab/>
        <w:t>(a)</w:t>
      </w:r>
      <w:r w:rsidRPr="00351EBD">
        <w:rPr>
          <w:rFonts w:eastAsia="Times New Roman"/>
          <w:color w:val="000000"/>
          <w:sz w:val="23"/>
          <w:szCs w:val="23"/>
          <w:lang w:eastAsia="en-AU"/>
        </w:rPr>
        <w:tab/>
        <w:t>a person who is genuinely passing through the area if—</w:t>
      </w:r>
    </w:p>
    <w:p w:rsidR="00351EBD" w:rsidRPr="00351EBD" w:rsidRDefault="00351EBD" w:rsidP="00351EBD">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351EBD">
        <w:rPr>
          <w:rFonts w:eastAsia="Times New Roman"/>
          <w:color w:val="000000"/>
          <w:sz w:val="23"/>
          <w:szCs w:val="23"/>
          <w:lang w:eastAsia="en-AU"/>
        </w:rPr>
        <w:tab/>
        <w:t>(i)</w:t>
      </w:r>
      <w:r w:rsidRPr="00351EBD">
        <w:rPr>
          <w:rFonts w:eastAsia="Times New Roman"/>
          <w:color w:val="000000"/>
          <w:sz w:val="23"/>
          <w:szCs w:val="23"/>
          <w:lang w:eastAsia="en-AU"/>
        </w:rPr>
        <w:tab/>
        <w:t>the liquor is in the original container in which it was purchased from licensed premises; and</w:t>
      </w:r>
    </w:p>
    <w:p w:rsidR="00351EBD" w:rsidRPr="00351EBD" w:rsidRDefault="00351EBD" w:rsidP="00351EBD">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351EBD">
        <w:rPr>
          <w:rFonts w:eastAsia="Times New Roman"/>
          <w:color w:val="000000"/>
          <w:sz w:val="23"/>
          <w:szCs w:val="23"/>
          <w:lang w:eastAsia="en-AU"/>
        </w:rPr>
        <w:tab/>
        <w:t>(ii)</w:t>
      </w:r>
      <w:r w:rsidRPr="00351EBD">
        <w:rPr>
          <w:rFonts w:eastAsia="Times New Roman"/>
          <w:color w:val="000000"/>
          <w:sz w:val="23"/>
          <w:szCs w:val="23"/>
          <w:lang w:eastAsia="en-AU"/>
        </w:rPr>
        <w:tab/>
        <w:t>the container has not been opened; or</w:t>
      </w:r>
    </w:p>
    <w:p w:rsidR="00351EBD" w:rsidRPr="00351EBD" w:rsidRDefault="00351EBD" w:rsidP="00351EB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351EBD">
        <w:rPr>
          <w:rFonts w:eastAsia="Times New Roman"/>
          <w:color w:val="000000"/>
          <w:sz w:val="23"/>
          <w:szCs w:val="23"/>
          <w:lang w:eastAsia="en-AU"/>
        </w:rPr>
        <w:tab/>
        <w:t>(b)</w:t>
      </w:r>
      <w:r w:rsidRPr="00351EBD">
        <w:rPr>
          <w:rFonts w:eastAsia="Times New Roman"/>
          <w:color w:val="000000"/>
          <w:sz w:val="23"/>
          <w:szCs w:val="23"/>
          <w:lang w:eastAsia="en-AU"/>
        </w:rPr>
        <w:tab/>
        <w:t>a person who has possession of the liquor in the course of carrying on a business or in the course of his or her employment by another person in the course of carrying on a business; or</w:t>
      </w:r>
    </w:p>
    <w:p w:rsidR="00351EBD" w:rsidRPr="00351EBD" w:rsidRDefault="00351EBD" w:rsidP="00351EB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351EBD">
        <w:rPr>
          <w:rFonts w:eastAsia="Times New Roman"/>
          <w:color w:val="000000"/>
          <w:sz w:val="23"/>
          <w:szCs w:val="23"/>
          <w:lang w:eastAsia="en-AU"/>
        </w:rPr>
        <w:tab/>
        <w:t>(c)</w:t>
      </w:r>
      <w:r w:rsidRPr="00351EBD">
        <w:rPr>
          <w:rFonts w:eastAsia="Times New Roman"/>
          <w:color w:val="000000"/>
          <w:sz w:val="23"/>
          <w:szCs w:val="23"/>
          <w:lang w:eastAsia="en-AU"/>
        </w:rPr>
        <w:tab/>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rsidR="00351EBD" w:rsidRPr="00351EBD" w:rsidRDefault="00351EBD" w:rsidP="00351EBD">
      <w:pPr>
        <w:spacing w:after="240" w:line="240" w:lineRule="auto"/>
        <w:jc w:val="left"/>
        <w:rPr>
          <w:rFonts w:ascii="Calibri" w:eastAsia="Times New Roman" w:hAnsi="Calibri"/>
          <w:b/>
          <w:sz w:val="22"/>
          <w:lang w:eastAsia="en-AU"/>
        </w:rPr>
      </w:pPr>
      <w:r w:rsidRPr="00351EBD">
        <w:rPr>
          <w:rFonts w:eastAsia="Times New Roman"/>
          <w:b/>
          <w:bCs/>
          <w:color w:val="000000"/>
          <w:sz w:val="32"/>
          <w:szCs w:val="32"/>
          <w:lang w:eastAsia="en-AU"/>
        </w:rPr>
        <w:br w:type="page"/>
      </w:r>
      <w:r w:rsidRPr="00351EBD">
        <w:rPr>
          <w:rFonts w:eastAsia="Times New Roman"/>
          <w:b/>
          <w:bCs/>
          <w:color w:val="000000"/>
          <w:sz w:val="32"/>
          <w:szCs w:val="32"/>
          <w:lang w:eastAsia="en-AU"/>
        </w:rPr>
        <w:lastRenderedPageBreak/>
        <w:t>Schedule—Chiton Rocks Car Park (Hayborough Area 1)</w:t>
      </w:r>
    </w:p>
    <w:tbl>
      <w:tblPr>
        <w:tblW w:w="0" w:type="auto"/>
        <w:tblLayout w:type="fixed"/>
        <w:tblCellMar>
          <w:left w:w="0" w:type="dxa"/>
          <w:right w:w="0" w:type="dxa"/>
        </w:tblCellMar>
        <w:tblLook w:val="0000" w:firstRow="0" w:lastRow="0" w:firstColumn="0" w:lastColumn="0" w:noHBand="0" w:noVBand="0"/>
      </w:tblPr>
      <w:tblGrid>
        <w:gridCol w:w="709"/>
        <w:gridCol w:w="8077"/>
      </w:tblGrid>
      <w:tr w:rsidR="00351EBD" w:rsidRPr="00351EBD" w:rsidTr="00046B75">
        <w:tc>
          <w:tcPr>
            <w:tcW w:w="8786" w:type="dxa"/>
            <w:gridSpan w:val="2"/>
            <w:tcBorders>
              <w:top w:val="nil"/>
              <w:left w:val="nil"/>
              <w:bottom w:val="nil"/>
              <w:right w:val="nil"/>
            </w:tcBorders>
            <w:vAlign w:val="center"/>
          </w:tcPr>
          <w:p w:rsidR="00351EBD" w:rsidRPr="00351EBD" w:rsidRDefault="00351EBD" w:rsidP="00351EBD">
            <w:pPr>
              <w:keepNext/>
              <w:keepLines/>
              <w:autoSpaceDE w:val="0"/>
              <w:autoSpaceDN w:val="0"/>
              <w:adjustRightInd w:val="0"/>
              <w:spacing w:before="120" w:after="0" w:line="240" w:lineRule="auto"/>
              <w:jc w:val="left"/>
              <w:rPr>
                <w:rFonts w:eastAsia="Times New Roman"/>
                <w:color w:val="000000"/>
                <w:sz w:val="23"/>
                <w:szCs w:val="23"/>
                <w:lang w:eastAsia="en-AU"/>
              </w:rPr>
            </w:pPr>
            <w:r w:rsidRPr="00351EBD">
              <w:rPr>
                <w:rFonts w:eastAsia="Times New Roman"/>
                <w:b/>
                <w:bCs/>
                <w:color w:val="000000"/>
                <w:sz w:val="23"/>
                <w:szCs w:val="23"/>
                <w:lang w:eastAsia="en-AU"/>
              </w:rPr>
              <w:t>1—Extent of prohibition</w:t>
            </w:r>
          </w:p>
        </w:tc>
      </w:tr>
      <w:tr w:rsidR="00351EBD" w:rsidRPr="00351EBD" w:rsidTr="00046B75">
        <w:tc>
          <w:tcPr>
            <w:tcW w:w="709" w:type="dxa"/>
            <w:tcBorders>
              <w:top w:val="nil"/>
              <w:left w:val="nil"/>
              <w:bottom w:val="nil"/>
              <w:right w:val="nil"/>
            </w:tcBorders>
            <w:vAlign w:val="center"/>
          </w:tcPr>
          <w:p w:rsidR="00351EBD" w:rsidRPr="00351EBD" w:rsidRDefault="00351EBD" w:rsidP="00351EBD">
            <w:pPr>
              <w:keepLines/>
              <w:autoSpaceDE w:val="0"/>
              <w:autoSpaceDN w:val="0"/>
              <w:adjustRightInd w:val="0"/>
              <w:spacing w:before="120" w:after="0" w:line="240" w:lineRule="auto"/>
              <w:jc w:val="left"/>
              <w:rPr>
                <w:rFonts w:eastAsia="Times New Roman"/>
                <w:color w:val="000000"/>
                <w:sz w:val="23"/>
                <w:szCs w:val="23"/>
                <w:lang w:eastAsia="en-AU"/>
              </w:rPr>
            </w:pPr>
          </w:p>
        </w:tc>
        <w:tc>
          <w:tcPr>
            <w:tcW w:w="8077" w:type="dxa"/>
            <w:tcBorders>
              <w:top w:val="nil"/>
              <w:left w:val="nil"/>
              <w:bottom w:val="nil"/>
              <w:right w:val="nil"/>
            </w:tcBorders>
            <w:vAlign w:val="center"/>
          </w:tcPr>
          <w:p w:rsidR="00351EBD" w:rsidRPr="00351EBD" w:rsidRDefault="00351EBD" w:rsidP="00351EBD">
            <w:pPr>
              <w:keepLines/>
              <w:autoSpaceDE w:val="0"/>
              <w:autoSpaceDN w:val="0"/>
              <w:adjustRightInd w:val="0"/>
              <w:spacing w:before="120" w:after="240" w:line="240" w:lineRule="auto"/>
              <w:jc w:val="left"/>
              <w:rPr>
                <w:rFonts w:eastAsia="Times New Roman"/>
                <w:color w:val="000000"/>
                <w:sz w:val="23"/>
                <w:szCs w:val="23"/>
                <w:lang w:eastAsia="en-AU"/>
              </w:rPr>
            </w:pPr>
            <w:r w:rsidRPr="00351EBD">
              <w:rPr>
                <w:rFonts w:eastAsia="Times New Roman"/>
                <w:color w:val="000000"/>
                <w:sz w:val="23"/>
                <w:szCs w:val="23"/>
                <w:lang w:eastAsia="en-AU"/>
              </w:rPr>
              <w:t>The consumption of liquor is prohibited and the possession of liquor is prohibited.</w:t>
            </w:r>
          </w:p>
        </w:tc>
      </w:tr>
      <w:tr w:rsidR="00351EBD" w:rsidRPr="00351EBD" w:rsidTr="00046B75">
        <w:tc>
          <w:tcPr>
            <w:tcW w:w="8786" w:type="dxa"/>
            <w:gridSpan w:val="2"/>
            <w:tcBorders>
              <w:top w:val="nil"/>
              <w:left w:val="nil"/>
              <w:bottom w:val="nil"/>
              <w:right w:val="nil"/>
            </w:tcBorders>
            <w:vAlign w:val="center"/>
          </w:tcPr>
          <w:p w:rsidR="00351EBD" w:rsidRPr="00351EBD" w:rsidRDefault="00351EBD" w:rsidP="00351EBD">
            <w:pPr>
              <w:keepNext/>
              <w:keepLines/>
              <w:autoSpaceDE w:val="0"/>
              <w:autoSpaceDN w:val="0"/>
              <w:adjustRightInd w:val="0"/>
              <w:spacing w:before="120" w:after="0" w:line="240" w:lineRule="auto"/>
              <w:jc w:val="left"/>
              <w:rPr>
                <w:rFonts w:eastAsia="Times New Roman"/>
                <w:color w:val="000000"/>
                <w:sz w:val="23"/>
                <w:szCs w:val="23"/>
                <w:lang w:eastAsia="en-AU"/>
              </w:rPr>
            </w:pPr>
            <w:r w:rsidRPr="00351EBD">
              <w:rPr>
                <w:rFonts w:eastAsia="Times New Roman"/>
                <w:b/>
                <w:bCs/>
                <w:color w:val="000000"/>
                <w:sz w:val="23"/>
                <w:szCs w:val="23"/>
                <w:lang w:eastAsia="en-AU"/>
              </w:rPr>
              <w:t>2—Period of prohibition</w:t>
            </w:r>
          </w:p>
        </w:tc>
      </w:tr>
      <w:tr w:rsidR="00351EBD" w:rsidRPr="00351EBD" w:rsidTr="00046B75">
        <w:tc>
          <w:tcPr>
            <w:tcW w:w="709" w:type="dxa"/>
            <w:tcBorders>
              <w:top w:val="nil"/>
              <w:left w:val="nil"/>
              <w:bottom w:val="nil"/>
              <w:right w:val="nil"/>
            </w:tcBorders>
            <w:vAlign w:val="center"/>
          </w:tcPr>
          <w:p w:rsidR="00351EBD" w:rsidRPr="00351EBD" w:rsidRDefault="00351EBD" w:rsidP="00351EBD">
            <w:pPr>
              <w:keepLines/>
              <w:autoSpaceDE w:val="0"/>
              <w:autoSpaceDN w:val="0"/>
              <w:adjustRightInd w:val="0"/>
              <w:spacing w:before="120" w:after="0" w:line="240" w:lineRule="auto"/>
              <w:jc w:val="left"/>
              <w:rPr>
                <w:rFonts w:eastAsia="Times New Roman"/>
                <w:color w:val="000000"/>
                <w:sz w:val="23"/>
                <w:szCs w:val="23"/>
                <w:lang w:eastAsia="en-AU"/>
              </w:rPr>
            </w:pPr>
          </w:p>
        </w:tc>
        <w:tc>
          <w:tcPr>
            <w:tcW w:w="8077" w:type="dxa"/>
            <w:tcBorders>
              <w:top w:val="nil"/>
              <w:left w:val="nil"/>
              <w:bottom w:val="nil"/>
              <w:right w:val="nil"/>
            </w:tcBorders>
            <w:vAlign w:val="center"/>
          </w:tcPr>
          <w:p w:rsidR="00351EBD" w:rsidRPr="00351EBD" w:rsidRDefault="00351EBD" w:rsidP="00351EBD">
            <w:pPr>
              <w:keepLines/>
              <w:autoSpaceDE w:val="0"/>
              <w:autoSpaceDN w:val="0"/>
              <w:adjustRightInd w:val="0"/>
              <w:spacing w:before="120" w:after="240" w:line="240" w:lineRule="auto"/>
              <w:jc w:val="left"/>
              <w:rPr>
                <w:rFonts w:eastAsia="Times New Roman"/>
                <w:color w:val="000000"/>
                <w:sz w:val="23"/>
                <w:szCs w:val="23"/>
                <w:lang w:eastAsia="en-AU"/>
              </w:rPr>
            </w:pPr>
            <w:r w:rsidRPr="00351EBD">
              <w:rPr>
                <w:rFonts w:eastAsia="Times New Roman"/>
                <w:color w:val="000000"/>
                <w:sz w:val="23"/>
                <w:szCs w:val="23"/>
                <w:lang w:eastAsia="en-AU"/>
              </w:rPr>
              <w:t>From 6pm on Wednesday 30 December 2020 to 6am on Saturday 2 January 2021.</w:t>
            </w:r>
          </w:p>
        </w:tc>
      </w:tr>
      <w:tr w:rsidR="00351EBD" w:rsidRPr="00351EBD" w:rsidTr="00046B75">
        <w:tc>
          <w:tcPr>
            <w:tcW w:w="8786" w:type="dxa"/>
            <w:gridSpan w:val="2"/>
            <w:tcBorders>
              <w:top w:val="nil"/>
              <w:left w:val="nil"/>
              <w:bottom w:val="nil"/>
              <w:right w:val="nil"/>
            </w:tcBorders>
            <w:vAlign w:val="center"/>
          </w:tcPr>
          <w:p w:rsidR="00351EBD" w:rsidRPr="00351EBD" w:rsidRDefault="00351EBD" w:rsidP="00351EBD">
            <w:pPr>
              <w:keepNext/>
              <w:keepLines/>
              <w:autoSpaceDE w:val="0"/>
              <w:autoSpaceDN w:val="0"/>
              <w:adjustRightInd w:val="0"/>
              <w:spacing w:before="120" w:after="0" w:line="240" w:lineRule="auto"/>
              <w:jc w:val="left"/>
              <w:rPr>
                <w:rFonts w:eastAsia="Times New Roman"/>
                <w:b/>
                <w:bCs/>
                <w:color w:val="000000"/>
                <w:sz w:val="23"/>
                <w:szCs w:val="23"/>
                <w:lang w:eastAsia="en-AU"/>
              </w:rPr>
            </w:pPr>
            <w:r w:rsidRPr="00351EBD">
              <w:rPr>
                <w:rFonts w:eastAsia="Times New Roman"/>
                <w:b/>
                <w:bCs/>
                <w:color w:val="000000"/>
                <w:sz w:val="23"/>
                <w:szCs w:val="23"/>
                <w:lang w:eastAsia="en-AU"/>
              </w:rPr>
              <w:t>3—Description of area</w:t>
            </w:r>
          </w:p>
        </w:tc>
      </w:tr>
      <w:tr w:rsidR="00351EBD" w:rsidRPr="00351EBD" w:rsidTr="00046B75">
        <w:tc>
          <w:tcPr>
            <w:tcW w:w="709" w:type="dxa"/>
            <w:tcBorders>
              <w:top w:val="nil"/>
              <w:left w:val="nil"/>
              <w:bottom w:val="nil"/>
              <w:right w:val="nil"/>
            </w:tcBorders>
            <w:vAlign w:val="center"/>
          </w:tcPr>
          <w:p w:rsidR="00351EBD" w:rsidRPr="00351EBD" w:rsidRDefault="00351EBD" w:rsidP="00351EBD">
            <w:pPr>
              <w:keepLines/>
              <w:autoSpaceDE w:val="0"/>
              <w:autoSpaceDN w:val="0"/>
              <w:adjustRightInd w:val="0"/>
              <w:spacing w:before="120" w:after="0" w:line="240" w:lineRule="auto"/>
              <w:jc w:val="left"/>
              <w:rPr>
                <w:rFonts w:eastAsia="Times New Roman"/>
                <w:color w:val="000000"/>
                <w:sz w:val="23"/>
                <w:szCs w:val="23"/>
                <w:lang w:eastAsia="en-AU"/>
              </w:rPr>
            </w:pPr>
          </w:p>
        </w:tc>
        <w:tc>
          <w:tcPr>
            <w:tcW w:w="8077" w:type="dxa"/>
            <w:tcBorders>
              <w:top w:val="nil"/>
              <w:left w:val="nil"/>
              <w:bottom w:val="nil"/>
              <w:right w:val="nil"/>
            </w:tcBorders>
            <w:vAlign w:val="center"/>
          </w:tcPr>
          <w:p w:rsidR="00351EBD" w:rsidRPr="00351EBD" w:rsidRDefault="00351EBD" w:rsidP="00351EBD">
            <w:pPr>
              <w:keepLines/>
              <w:autoSpaceDE w:val="0"/>
              <w:autoSpaceDN w:val="0"/>
              <w:adjustRightInd w:val="0"/>
              <w:spacing w:before="120" w:after="240" w:line="240" w:lineRule="auto"/>
              <w:rPr>
                <w:rFonts w:eastAsia="Times New Roman"/>
                <w:color w:val="000000"/>
                <w:sz w:val="23"/>
                <w:szCs w:val="23"/>
                <w:lang w:eastAsia="en-AU"/>
              </w:rPr>
            </w:pPr>
            <w:r w:rsidRPr="00351EBD">
              <w:rPr>
                <w:rFonts w:eastAsia="Times New Roman"/>
                <w:color w:val="000000"/>
                <w:sz w:val="23"/>
                <w:szCs w:val="23"/>
                <w:lang w:eastAsia="en-AU"/>
              </w:rPr>
              <w:t>Chiton Rocks Surf Life Saving Club - Car Park Area and adjacent beach area to the low water mark. The area adjacent to Victor Harbor generally known as the Chiton Rocks Surf Lifesaving Club car park and the adjacent beach, being the area bounded on the north by the northern boundaries of Lot 469 DP 3482 and Lot 440 DP 3207, on the west by the prolongation in a straight line of the western boundary of Lot 433 DP 3207, on the south by the low water mark on Encounter Bay and on the east by the prolongation in a straight line of the eastern boundary of Lot 463 DP 3482</w:t>
            </w:r>
          </w:p>
          <w:p w:rsidR="00351EBD" w:rsidRPr="00351EBD" w:rsidRDefault="00351EBD" w:rsidP="00351EBD">
            <w:pPr>
              <w:keepLines/>
              <w:tabs>
                <w:tab w:val="center" w:pos="397"/>
                <w:tab w:val="left" w:pos="794"/>
              </w:tabs>
              <w:autoSpaceDE w:val="0"/>
              <w:autoSpaceDN w:val="0"/>
              <w:adjustRightInd w:val="0"/>
              <w:spacing w:before="120" w:after="0" w:line="240" w:lineRule="auto"/>
              <w:jc w:val="left"/>
              <w:rPr>
                <w:rFonts w:eastAsia="Times New Roman"/>
                <w:color w:val="000000"/>
                <w:sz w:val="23"/>
                <w:szCs w:val="23"/>
                <w:lang w:eastAsia="en-AU"/>
              </w:rPr>
            </w:pPr>
            <w:r w:rsidRPr="00351EBD">
              <w:rPr>
                <w:rFonts w:ascii="Calibri" w:eastAsia="Times New Roman" w:hAnsi="Calibri"/>
                <w:noProof/>
                <w:sz w:val="22"/>
                <w:lang w:eastAsia="en-AU"/>
              </w:rPr>
              <w:drawing>
                <wp:inline distT="0" distB="0" distL="0" distR="0" wp14:anchorId="3EC3D99F" wp14:editId="7A808991">
                  <wp:extent cx="5118100" cy="3514725"/>
                  <wp:effectExtent l="0" t="0" r="635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118100" cy="3514725"/>
                          </a:xfrm>
                          <a:prstGeom prst="rect">
                            <a:avLst/>
                          </a:prstGeom>
                          <a:noFill/>
                          <a:ln>
                            <a:noFill/>
                          </a:ln>
                        </pic:spPr>
                      </pic:pic>
                    </a:graphicData>
                  </a:graphic>
                </wp:inline>
              </w:drawing>
            </w:r>
          </w:p>
        </w:tc>
      </w:tr>
    </w:tbl>
    <w:p w:rsidR="00351EBD" w:rsidRPr="00351EBD" w:rsidRDefault="00351EBD" w:rsidP="00351EBD">
      <w:pPr>
        <w:keepLines/>
        <w:autoSpaceDE w:val="0"/>
        <w:autoSpaceDN w:val="0"/>
        <w:adjustRightInd w:val="0"/>
        <w:spacing w:before="240" w:after="0" w:line="240" w:lineRule="auto"/>
        <w:jc w:val="left"/>
        <w:rPr>
          <w:rFonts w:eastAsia="Times New Roman"/>
          <w:b/>
          <w:bCs/>
          <w:color w:val="000000"/>
          <w:sz w:val="26"/>
          <w:szCs w:val="26"/>
          <w:lang w:eastAsia="en-AU"/>
        </w:rPr>
      </w:pPr>
      <w:r w:rsidRPr="00351EBD">
        <w:rPr>
          <w:rFonts w:eastAsia="Times New Roman"/>
          <w:b/>
          <w:bCs/>
          <w:color w:val="000000"/>
          <w:sz w:val="23"/>
          <w:szCs w:val="23"/>
          <w:lang w:eastAsia="en-AU"/>
        </w:rPr>
        <w:t>M</w:t>
      </w:r>
      <w:r w:rsidRPr="00351EBD">
        <w:rPr>
          <w:rFonts w:eastAsia="Times New Roman"/>
          <w:b/>
          <w:bCs/>
          <w:color w:val="000000"/>
          <w:sz w:val="26"/>
          <w:szCs w:val="26"/>
          <w:lang w:eastAsia="en-AU"/>
        </w:rPr>
        <w:t>ade on behalf of the Liquor and Gambling Commissioner</w:t>
      </w:r>
    </w:p>
    <w:p w:rsidR="00351EBD" w:rsidRPr="00351EBD" w:rsidRDefault="00351EBD" w:rsidP="00351EBD">
      <w:pPr>
        <w:keepLines/>
        <w:autoSpaceDE w:val="0"/>
        <w:autoSpaceDN w:val="0"/>
        <w:adjustRightInd w:val="0"/>
        <w:spacing w:before="120" w:line="240" w:lineRule="auto"/>
        <w:jc w:val="left"/>
        <w:rPr>
          <w:rFonts w:eastAsia="Times New Roman"/>
          <w:color w:val="000000"/>
          <w:sz w:val="23"/>
          <w:szCs w:val="23"/>
          <w:lang w:eastAsia="en-AU"/>
        </w:rPr>
      </w:pPr>
      <w:r w:rsidRPr="00351EBD">
        <w:rPr>
          <w:rFonts w:eastAsia="Times New Roman"/>
          <w:color w:val="000000"/>
          <w:sz w:val="23"/>
          <w:szCs w:val="23"/>
          <w:lang w:eastAsia="en-AU"/>
        </w:rPr>
        <w:t>on 14 December 2020</w:t>
      </w:r>
    </w:p>
    <w:p w:rsidR="00351EBD" w:rsidRPr="00351EBD" w:rsidRDefault="00351EBD" w:rsidP="00351EBD">
      <w:pPr>
        <w:pBdr>
          <w:top w:val="single" w:sz="4" w:space="1" w:color="auto"/>
        </w:pBdr>
        <w:autoSpaceDE w:val="0"/>
        <w:autoSpaceDN w:val="0"/>
        <w:adjustRightInd w:val="0"/>
        <w:spacing w:before="100" w:after="0" w:line="14" w:lineRule="exact"/>
        <w:jc w:val="center"/>
        <w:rPr>
          <w:rFonts w:eastAsia="Times New Roman"/>
          <w:color w:val="000000"/>
          <w:sz w:val="23"/>
          <w:szCs w:val="23"/>
          <w:lang w:eastAsia="en-AU"/>
        </w:rPr>
      </w:pPr>
    </w:p>
    <w:p w:rsidR="00351EBD" w:rsidRPr="00351EBD" w:rsidRDefault="00351EBD" w:rsidP="00351EBD">
      <w:pPr>
        <w:rPr>
          <w:rFonts w:eastAsia="Times New Roman"/>
          <w:szCs w:val="17"/>
        </w:rPr>
      </w:pPr>
    </w:p>
    <w:p w:rsidR="00351EBD" w:rsidRDefault="00351EBD">
      <w:pPr>
        <w:spacing w:after="0" w:line="240" w:lineRule="auto"/>
        <w:jc w:val="left"/>
        <w:rPr>
          <w:lang w:val="en-US"/>
        </w:rPr>
      </w:pPr>
      <w:r>
        <w:rPr>
          <w:lang w:val="en-US"/>
        </w:rPr>
        <w:br w:type="page"/>
      </w:r>
    </w:p>
    <w:p w:rsidR="00351EBD" w:rsidRPr="00351EBD" w:rsidRDefault="00351EBD" w:rsidP="00351EBD">
      <w:pPr>
        <w:jc w:val="center"/>
        <w:rPr>
          <w:caps/>
          <w:szCs w:val="17"/>
        </w:rPr>
      </w:pPr>
      <w:r w:rsidRPr="00351EBD">
        <w:rPr>
          <w:caps/>
          <w:szCs w:val="17"/>
        </w:rPr>
        <w:lastRenderedPageBreak/>
        <w:t>Liquor Licensing Act 1997</w:t>
      </w:r>
    </w:p>
    <w:p w:rsidR="00351EBD" w:rsidRPr="00351EBD" w:rsidRDefault="00351EBD" w:rsidP="00351EBD">
      <w:pPr>
        <w:keepLines/>
        <w:autoSpaceDE w:val="0"/>
        <w:autoSpaceDN w:val="0"/>
        <w:adjustRightInd w:val="0"/>
        <w:spacing w:before="240" w:after="0" w:line="240" w:lineRule="auto"/>
        <w:jc w:val="left"/>
        <w:rPr>
          <w:rFonts w:eastAsia="Times New Roman"/>
          <w:color w:val="000000"/>
          <w:sz w:val="28"/>
          <w:szCs w:val="28"/>
          <w:lang w:eastAsia="en-AU"/>
        </w:rPr>
      </w:pPr>
      <w:r w:rsidRPr="00351EBD">
        <w:rPr>
          <w:rFonts w:eastAsia="Times New Roman"/>
          <w:color w:val="000000"/>
          <w:sz w:val="28"/>
          <w:szCs w:val="28"/>
          <w:lang w:eastAsia="en-AU"/>
        </w:rPr>
        <w:t>South Australia</w:t>
      </w:r>
    </w:p>
    <w:p w:rsidR="00351EBD" w:rsidRPr="00351EBD" w:rsidRDefault="00351EBD" w:rsidP="00351EBD">
      <w:pPr>
        <w:keepLines/>
        <w:autoSpaceDE w:val="0"/>
        <w:autoSpaceDN w:val="0"/>
        <w:adjustRightInd w:val="0"/>
        <w:spacing w:before="120" w:after="200" w:line="240" w:lineRule="auto"/>
        <w:jc w:val="left"/>
        <w:rPr>
          <w:rFonts w:eastAsia="Times New Roman"/>
          <w:b/>
          <w:bCs/>
          <w:color w:val="000000"/>
          <w:sz w:val="36"/>
          <w:szCs w:val="36"/>
          <w:lang w:eastAsia="en-AU"/>
        </w:rPr>
      </w:pPr>
      <w:r w:rsidRPr="00351EBD">
        <w:rPr>
          <w:rFonts w:eastAsia="Times New Roman"/>
          <w:b/>
          <w:bCs/>
          <w:color w:val="000000"/>
          <w:sz w:val="36"/>
          <w:szCs w:val="36"/>
          <w:lang w:eastAsia="en-AU"/>
        </w:rPr>
        <w:t>Liquor Licensing (Dry Areas) Notice 2020</w:t>
      </w:r>
    </w:p>
    <w:p w:rsidR="00351EBD" w:rsidRPr="00351EBD" w:rsidRDefault="00351EBD" w:rsidP="00351EBD">
      <w:pPr>
        <w:keepLines/>
        <w:autoSpaceDE w:val="0"/>
        <w:autoSpaceDN w:val="0"/>
        <w:adjustRightInd w:val="0"/>
        <w:spacing w:before="80" w:after="240" w:line="240" w:lineRule="auto"/>
        <w:jc w:val="left"/>
        <w:rPr>
          <w:rFonts w:eastAsia="Times New Roman"/>
          <w:color w:val="000000"/>
          <w:sz w:val="24"/>
          <w:szCs w:val="24"/>
          <w:lang w:eastAsia="en-AU"/>
        </w:rPr>
      </w:pPr>
      <w:r w:rsidRPr="00351EBD">
        <w:rPr>
          <w:rFonts w:eastAsia="Times New Roman"/>
          <w:color w:val="000000"/>
          <w:sz w:val="24"/>
          <w:szCs w:val="24"/>
          <w:lang w:eastAsia="en-AU"/>
        </w:rPr>
        <w:t xml:space="preserve">under section 131(1a) of the </w:t>
      </w:r>
      <w:r w:rsidRPr="00351EBD">
        <w:rPr>
          <w:rFonts w:eastAsia="Times New Roman"/>
          <w:i/>
          <w:iCs/>
          <w:color w:val="000000"/>
          <w:sz w:val="24"/>
          <w:szCs w:val="24"/>
          <w:lang w:eastAsia="en-AU"/>
        </w:rPr>
        <w:t>Liquor Licensing Act 1997</w:t>
      </w:r>
    </w:p>
    <w:p w:rsidR="00351EBD" w:rsidRPr="00351EBD" w:rsidRDefault="00351EBD" w:rsidP="00351EBD">
      <w:pPr>
        <w:keepNext/>
        <w:keepLines/>
        <w:autoSpaceDE w:val="0"/>
        <w:autoSpaceDN w:val="0"/>
        <w:adjustRightInd w:val="0"/>
        <w:spacing w:before="240" w:after="0" w:line="240" w:lineRule="auto"/>
        <w:ind w:left="567" w:hanging="567"/>
        <w:jc w:val="left"/>
        <w:rPr>
          <w:rFonts w:eastAsia="Times New Roman"/>
          <w:b/>
          <w:bCs/>
          <w:color w:val="000000"/>
          <w:sz w:val="26"/>
          <w:szCs w:val="26"/>
          <w:lang w:eastAsia="en-AU"/>
        </w:rPr>
      </w:pPr>
      <w:r w:rsidRPr="00351EBD">
        <w:rPr>
          <w:rFonts w:eastAsia="Times New Roman"/>
          <w:b/>
          <w:bCs/>
          <w:color w:val="000000"/>
          <w:sz w:val="26"/>
          <w:szCs w:val="26"/>
          <w:lang w:eastAsia="en-AU"/>
        </w:rPr>
        <w:t>1—Short title</w:t>
      </w:r>
    </w:p>
    <w:p w:rsidR="00351EBD" w:rsidRPr="00351EBD" w:rsidRDefault="00351EBD" w:rsidP="00351EBD">
      <w:pPr>
        <w:keepLines/>
        <w:autoSpaceDE w:val="0"/>
        <w:autoSpaceDN w:val="0"/>
        <w:adjustRightInd w:val="0"/>
        <w:spacing w:before="120" w:after="0" w:line="240" w:lineRule="auto"/>
        <w:ind w:left="794"/>
        <w:jc w:val="left"/>
        <w:rPr>
          <w:rFonts w:eastAsia="Times New Roman"/>
          <w:color w:val="000000"/>
          <w:sz w:val="23"/>
          <w:szCs w:val="23"/>
          <w:lang w:eastAsia="en-AU"/>
        </w:rPr>
      </w:pPr>
      <w:r w:rsidRPr="00351EBD">
        <w:rPr>
          <w:rFonts w:eastAsia="Times New Roman"/>
          <w:color w:val="000000"/>
          <w:sz w:val="23"/>
          <w:szCs w:val="23"/>
          <w:lang w:eastAsia="en-AU"/>
        </w:rPr>
        <w:t xml:space="preserve">This notice may be cited as the </w:t>
      </w:r>
      <w:hyperlink r:id="rId96" w:history="1">
        <w:r w:rsidRPr="00351EBD">
          <w:rPr>
            <w:rFonts w:eastAsia="Times New Roman"/>
            <w:i/>
            <w:iCs/>
            <w:color w:val="000000"/>
            <w:sz w:val="23"/>
            <w:szCs w:val="23"/>
            <w:lang w:eastAsia="en-AU"/>
          </w:rPr>
          <w:t>Liquor Licensing (Dry Areas) Notice 20</w:t>
        </w:r>
      </w:hyperlink>
      <w:r w:rsidRPr="00351EBD">
        <w:rPr>
          <w:rFonts w:eastAsia="Times New Roman"/>
          <w:i/>
          <w:iCs/>
          <w:color w:val="000000"/>
          <w:sz w:val="23"/>
          <w:szCs w:val="23"/>
          <w:lang w:eastAsia="en-AU"/>
        </w:rPr>
        <w:t>20</w:t>
      </w:r>
      <w:r w:rsidRPr="00351EBD">
        <w:rPr>
          <w:rFonts w:eastAsia="Times New Roman"/>
          <w:color w:val="000000"/>
          <w:sz w:val="23"/>
          <w:szCs w:val="23"/>
          <w:lang w:eastAsia="en-AU"/>
        </w:rPr>
        <w:t>.</w:t>
      </w:r>
    </w:p>
    <w:p w:rsidR="00351EBD" w:rsidRPr="00351EBD" w:rsidRDefault="00351EBD" w:rsidP="00351EBD">
      <w:pPr>
        <w:keepNext/>
        <w:keepLines/>
        <w:autoSpaceDE w:val="0"/>
        <w:autoSpaceDN w:val="0"/>
        <w:adjustRightInd w:val="0"/>
        <w:spacing w:before="240" w:after="0" w:line="240" w:lineRule="auto"/>
        <w:ind w:left="567" w:hanging="567"/>
        <w:jc w:val="left"/>
        <w:rPr>
          <w:rFonts w:eastAsia="Times New Roman"/>
          <w:b/>
          <w:bCs/>
          <w:color w:val="000000"/>
          <w:sz w:val="26"/>
          <w:szCs w:val="26"/>
          <w:lang w:eastAsia="en-AU"/>
        </w:rPr>
      </w:pPr>
      <w:r w:rsidRPr="00351EBD">
        <w:rPr>
          <w:rFonts w:eastAsia="Times New Roman"/>
          <w:b/>
          <w:bCs/>
          <w:color w:val="000000"/>
          <w:sz w:val="26"/>
          <w:szCs w:val="26"/>
          <w:lang w:eastAsia="en-AU"/>
        </w:rPr>
        <w:t>2—Commencement</w:t>
      </w:r>
    </w:p>
    <w:p w:rsidR="00351EBD" w:rsidRPr="00351EBD" w:rsidRDefault="00351EBD" w:rsidP="00351EBD">
      <w:pPr>
        <w:keepLines/>
        <w:autoSpaceDE w:val="0"/>
        <w:autoSpaceDN w:val="0"/>
        <w:adjustRightInd w:val="0"/>
        <w:spacing w:before="120" w:after="0" w:line="240" w:lineRule="auto"/>
        <w:ind w:left="794"/>
        <w:jc w:val="left"/>
        <w:rPr>
          <w:rFonts w:eastAsia="Times New Roman"/>
          <w:color w:val="000000"/>
          <w:sz w:val="23"/>
          <w:szCs w:val="23"/>
          <w:lang w:eastAsia="en-AU"/>
        </w:rPr>
      </w:pPr>
      <w:r w:rsidRPr="00351EBD">
        <w:rPr>
          <w:rFonts w:eastAsia="Times New Roman"/>
          <w:color w:val="000000"/>
          <w:sz w:val="23"/>
          <w:szCs w:val="23"/>
          <w:lang w:eastAsia="en-AU"/>
        </w:rPr>
        <w:t>This notice comes into operation on 30 December 2020.</w:t>
      </w:r>
    </w:p>
    <w:p w:rsidR="00351EBD" w:rsidRPr="00351EBD" w:rsidRDefault="00351EBD" w:rsidP="00351EBD">
      <w:pPr>
        <w:keepNext/>
        <w:keepLines/>
        <w:autoSpaceDE w:val="0"/>
        <w:autoSpaceDN w:val="0"/>
        <w:adjustRightInd w:val="0"/>
        <w:spacing w:before="240" w:after="0" w:line="240" w:lineRule="auto"/>
        <w:ind w:left="567" w:hanging="567"/>
        <w:jc w:val="left"/>
        <w:rPr>
          <w:rFonts w:eastAsia="Times New Roman"/>
          <w:b/>
          <w:bCs/>
          <w:color w:val="000000"/>
          <w:sz w:val="26"/>
          <w:szCs w:val="26"/>
          <w:lang w:eastAsia="en-AU"/>
        </w:rPr>
      </w:pPr>
      <w:r w:rsidRPr="00351EBD">
        <w:rPr>
          <w:rFonts w:eastAsia="Times New Roman"/>
          <w:b/>
          <w:bCs/>
          <w:color w:val="000000"/>
          <w:sz w:val="26"/>
          <w:szCs w:val="26"/>
          <w:lang w:eastAsia="en-AU"/>
        </w:rPr>
        <w:t>3—Interpretation</w:t>
      </w:r>
    </w:p>
    <w:p w:rsidR="00351EBD" w:rsidRPr="00351EBD" w:rsidRDefault="00351EBD" w:rsidP="00351EBD">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351EBD">
        <w:rPr>
          <w:rFonts w:eastAsia="Times New Roman"/>
          <w:color w:val="000000"/>
          <w:sz w:val="23"/>
          <w:szCs w:val="23"/>
          <w:lang w:eastAsia="en-AU"/>
        </w:rPr>
        <w:tab/>
        <w:t>(1)</w:t>
      </w:r>
      <w:r w:rsidRPr="00351EBD">
        <w:rPr>
          <w:rFonts w:eastAsia="Times New Roman"/>
          <w:color w:val="000000"/>
          <w:sz w:val="23"/>
          <w:szCs w:val="23"/>
          <w:lang w:eastAsia="en-AU"/>
        </w:rPr>
        <w:tab/>
        <w:t>In this notice—</w:t>
      </w:r>
    </w:p>
    <w:p w:rsidR="00351EBD" w:rsidRPr="00351EBD" w:rsidRDefault="00351EBD" w:rsidP="00351EBD">
      <w:pPr>
        <w:keepLines/>
        <w:autoSpaceDE w:val="0"/>
        <w:autoSpaceDN w:val="0"/>
        <w:adjustRightInd w:val="0"/>
        <w:spacing w:before="120" w:after="0" w:line="240" w:lineRule="auto"/>
        <w:ind w:left="794"/>
        <w:jc w:val="left"/>
        <w:rPr>
          <w:rFonts w:eastAsia="Times New Roman"/>
          <w:color w:val="000000"/>
          <w:sz w:val="23"/>
          <w:szCs w:val="23"/>
          <w:lang w:eastAsia="en-AU"/>
        </w:rPr>
      </w:pPr>
      <w:r w:rsidRPr="00351EBD">
        <w:rPr>
          <w:rFonts w:eastAsia="Times New Roman"/>
          <w:b/>
          <w:bCs/>
          <w:i/>
          <w:iCs/>
          <w:color w:val="000000"/>
          <w:sz w:val="23"/>
          <w:szCs w:val="23"/>
          <w:lang w:eastAsia="en-AU"/>
        </w:rPr>
        <w:t>principal notice</w:t>
      </w:r>
      <w:r w:rsidRPr="00351EBD">
        <w:rPr>
          <w:rFonts w:eastAsia="Times New Roman"/>
          <w:color w:val="000000"/>
          <w:sz w:val="23"/>
          <w:szCs w:val="23"/>
          <w:lang w:eastAsia="en-AU"/>
        </w:rPr>
        <w:t xml:space="preserve"> means the </w:t>
      </w:r>
      <w:hyperlink r:id="rId97" w:history="1">
        <w:r w:rsidRPr="00351EBD">
          <w:rPr>
            <w:rFonts w:eastAsia="Times New Roman"/>
            <w:i/>
            <w:iCs/>
            <w:color w:val="000000"/>
            <w:sz w:val="23"/>
            <w:szCs w:val="23"/>
            <w:lang w:eastAsia="en-AU"/>
          </w:rPr>
          <w:t>Liquor Licensing (Dry Areas) Notice 2015</w:t>
        </w:r>
      </w:hyperlink>
      <w:r w:rsidRPr="00351EBD">
        <w:rPr>
          <w:rFonts w:eastAsia="Times New Roman"/>
          <w:color w:val="000000"/>
          <w:sz w:val="23"/>
          <w:szCs w:val="23"/>
          <w:lang w:eastAsia="en-AU"/>
        </w:rPr>
        <w:t xml:space="preserve"> published in the Gazette on 5.1.15, as in force from time to time.</w:t>
      </w:r>
    </w:p>
    <w:p w:rsidR="00351EBD" w:rsidRPr="00351EBD" w:rsidRDefault="00351EBD" w:rsidP="00351EBD">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351EBD">
        <w:rPr>
          <w:rFonts w:eastAsia="Times New Roman"/>
          <w:color w:val="000000"/>
          <w:sz w:val="23"/>
          <w:szCs w:val="23"/>
          <w:lang w:eastAsia="en-AU"/>
        </w:rPr>
        <w:tab/>
        <w:t>(2)</w:t>
      </w:r>
      <w:r w:rsidRPr="00351EBD">
        <w:rPr>
          <w:rFonts w:eastAsia="Times New Roman"/>
          <w:color w:val="000000"/>
          <w:sz w:val="23"/>
          <w:szCs w:val="23"/>
          <w:lang w:eastAsia="en-AU"/>
        </w:rPr>
        <w:tab/>
        <w:t>Clause 3 of the principal notice applies to this notice as if it were the principal notice.</w:t>
      </w:r>
    </w:p>
    <w:p w:rsidR="00351EBD" w:rsidRPr="00351EBD" w:rsidRDefault="00351EBD" w:rsidP="00351EBD">
      <w:pPr>
        <w:keepNext/>
        <w:keepLines/>
        <w:autoSpaceDE w:val="0"/>
        <w:autoSpaceDN w:val="0"/>
        <w:adjustRightInd w:val="0"/>
        <w:spacing w:before="240" w:after="0" w:line="240" w:lineRule="auto"/>
        <w:ind w:left="567" w:hanging="567"/>
        <w:jc w:val="left"/>
        <w:rPr>
          <w:rFonts w:eastAsia="Times New Roman"/>
          <w:b/>
          <w:bCs/>
          <w:color w:val="000000"/>
          <w:sz w:val="26"/>
          <w:szCs w:val="26"/>
          <w:lang w:eastAsia="en-AU"/>
        </w:rPr>
      </w:pPr>
      <w:r w:rsidRPr="00351EBD">
        <w:rPr>
          <w:rFonts w:eastAsia="Times New Roman"/>
          <w:b/>
          <w:bCs/>
          <w:color w:val="000000"/>
          <w:sz w:val="26"/>
          <w:szCs w:val="26"/>
          <w:lang w:eastAsia="en-AU"/>
        </w:rPr>
        <w:t>4—Consumption etc of liquor prohibited in dry areas</w:t>
      </w:r>
    </w:p>
    <w:p w:rsidR="00351EBD" w:rsidRPr="00351EBD" w:rsidRDefault="00351EBD" w:rsidP="00351EBD">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351EBD">
        <w:rPr>
          <w:rFonts w:eastAsia="Times New Roman"/>
          <w:color w:val="000000"/>
          <w:sz w:val="23"/>
          <w:szCs w:val="23"/>
          <w:lang w:eastAsia="en-AU"/>
        </w:rPr>
        <w:tab/>
        <w:t>(1)</w:t>
      </w:r>
      <w:r w:rsidRPr="00351EBD">
        <w:rPr>
          <w:rFonts w:eastAsia="Times New Roman"/>
          <w:color w:val="000000"/>
          <w:sz w:val="23"/>
          <w:szCs w:val="23"/>
          <w:lang w:eastAsia="en-AU"/>
        </w:rPr>
        <w:tab/>
        <w:t>Pursuant to section 131 of the Act, the consumption and possession of liquor in the area described in the Schedule is prohibited in accordance with the provisions of the Schedule.</w:t>
      </w:r>
    </w:p>
    <w:p w:rsidR="00351EBD" w:rsidRPr="00351EBD" w:rsidRDefault="00351EBD" w:rsidP="00351EBD">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351EBD">
        <w:rPr>
          <w:rFonts w:eastAsia="Times New Roman"/>
          <w:color w:val="000000"/>
          <w:sz w:val="23"/>
          <w:szCs w:val="23"/>
          <w:lang w:eastAsia="en-AU"/>
        </w:rPr>
        <w:tab/>
        <w:t>(2)</w:t>
      </w:r>
      <w:r w:rsidRPr="00351EBD">
        <w:rPr>
          <w:rFonts w:eastAsia="Times New Roman"/>
          <w:color w:val="000000"/>
          <w:sz w:val="23"/>
          <w:szCs w:val="23"/>
          <w:lang w:eastAsia="en-AU"/>
        </w:rPr>
        <w:tab/>
        <w:t>The prohibition has effect during the periods specified in the Schedule.</w:t>
      </w:r>
    </w:p>
    <w:p w:rsidR="00351EBD" w:rsidRPr="00351EBD" w:rsidRDefault="00351EBD" w:rsidP="00351EBD">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351EBD">
        <w:rPr>
          <w:rFonts w:eastAsia="Times New Roman"/>
          <w:color w:val="000000"/>
          <w:sz w:val="23"/>
          <w:szCs w:val="23"/>
          <w:lang w:eastAsia="en-AU"/>
        </w:rPr>
        <w:tab/>
        <w:t>(3)</w:t>
      </w:r>
      <w:r w:rsidRPr="00351EBD">
        <w:rPr>
          <w:rFonts w:eastAsia="Times New Roman"/>
          <w:color w:val="000000"/>
          <w:sz w:val="23"/>
          <w:szCs w:val="23"/>
          <w:lang w:eastAsia="en-AU"/>
        </w:rPr>
        <w:tab/>
        <w:t>The prohibition does not extend to private land in the area described in the Schedule.</w:t>
      </w:r>
    </w:p>
    <w:p w:rsidR="00351EBD" w:rsidRPr="00351EBD" w:rsidRDefault="00351EBD" w:rsidP="00351EBD">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351EBD">
        <w:rPr>
          <w:rFonts w:eastAsia="Times New Roman"/>
          <w:color w:val="000000"/>
          <w:sz w:val="23"/>
          <w:szCs w:val="23"/>
          <w:lang w:eastAsia="en-AU"/>
        </w:rPr>
        <w:tab/>
        <w:t>(4)</w:t>
      </w:r>
      <w:r w:rsidRPr="00351EBD">
        <w:rPr>
          <w:rFonts w:eastAsia="Times New Roman"/>
          <w:color w:val="000000"/>
          <w:sz w:val="23"/>
          <w:szCs w:val="23"/>
          <w:lang w:eastAsia="en-AU"/>
        </w:rPr>
        <w:tab/>
        <w:t>Unless the contrary intention appears, the prohibition of the possession of liquor in the area does not extend to—</w:t>
      </w:r>
    </w:p>
    <w:p w:rsidR="00351EBD" w:rsidRPr="00351EBD" w:rsidRDefault="00351EBD" w:rsidP="00351EB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351EBD">
        <w:rPr>
          <w:rFonts w:eastAsia="Times New Roman"/>
          <w:color w:val="000000"/>
          <w:sz w:val="23"/>
          <w:szCs w:val="23"/>
          <w:lang w:eastAsia="en-AU"/>
        </w:rPr>
        <w:tab/>
        <w:t>(a)</w:t>
      </w:r>
      <w:r w:rsidRPr="00351EBD">
        <w:rPr>
          <w:rFonts w:eastAsia="Times New Roman"/>
          <w:color w:val="000000"/>
          <w:sz w:val="23"/>
          <w:szCs w:val="23"/>
          <w:lang w:eastAsia="en-AU"/>
        </w:rPr>
        <w:tab/>
        <w:t>a person who is genuinely passing through the area if—</w:t>
      </w:r>
    </w:p>
    <w:p w:rsidR="00351EBD" w:rsidRPr="00351EBD" w:rsidRDefault="00351EBD" w:rsidP="00351EBD">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351EBD">
        <w:rPr>
          <w:rFonts w:eastAsia="Times New Roman"/>
          <w:color w:val="000000"/>
          <w:sz w:val="23"/>
          <w:szCs w:val="23"/>
          <w:lang w:eastAsia="en-AU"/>
        </w:rPr>
        <w:tab/>
        <w:t>(i)</w:t>
      </w:r>
      <w:r w:rsidRPr="00351EBD">
        <w:rPr>
          <w:rFonts w:eastAsia="Times New Roman"/>
          <w:color w:val="000000"/>
          <w:sz w:val="23"/>
          <w:szCs w:val="23"/>
          <w:lang w:eastAsia="en-AU"/>
        </w:rPr>
        <w:tab/>
        <w:t>the liquor is in the original container in which it was purchased from licensed premises; and</w:t>
      </w:r>
    </w:p>
    <w:p w:rsidR="00351EBD" w:rsidRPr="00351EBD" w:rsidRDefault="00351EBD" w:rsidP="00351EBD">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351EBD">
        <w:rPr>
          <w:rFonts w:eastAsia="Times New Roman"/>
          <w:color w:val="000000"/>
          <w:sz w:val="23"/>
          <w:szCs w:val="23"/>
          <w:lang w:eastAsia="en-AU"/>
        </w:rPr>
        <w:tab/>
        <w:t>(ii)</w:t>
      </w:r>
      <w:r w:rsidRPr="00351EBD">
        <w:rPr>
          <w:rFonts w:eastAsia="Times New Roman"/>
          <w:color w:val="000000"/>
          <w:sz w:val="23"/>
          <w:szCs w:val="23"/>
          <w:lang w:eastAsia="en-AU"/>
        </w:rPr>
        <w:tab/>
        <w:t>the container has not been opened; or</w:t>
      </w:r>
    </w:p>
    <w:p w:rsidR="00351EBD" w:rsidRPr="00351EBD" w:rsidRDefault="00351EBD" w:rsidP="00351EB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351EBD">
        <w:rPr>
          <w:rFonts w:eastAsia="Times New Roman"/>
          <w:color w:val="000000"/>
          <w:sz w:val="23"/>
          <w:szCs w:val="23"/>
          <w:lang w:eastAsia="en-AU"/>
        </w:rPr>
        <w:tab/>
        <w:t>(b)</w:t>
      </w:r>
      <w:r w:rsidRPr="00351EBD">
        <w:rPr>
          <w:rFonts w:eastAsia="Times New Roman"/>
          <w:color w:val="000000"/>
          <w:sz w:val="23"/>
          <w:szCs w:val="23"/>
          <w:lang w:eastAsia="en-AU"/>
        </w:rPr>
        <w:tab/>
        <w:t>a person who has possession of the liquor in the course of carrying on a business or in the course of his or her employment by another person in the course of carrying on a business; or</w:t>
      </w:r>
    </w:p>
    <w:p w:rsidR="00351EBD" w:rsidRPr="00351EBD" w:rsidRDefault="00351EBD" w:rsidP="00351EB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351EBD">
        <w:rPr>
          <w:rFonts w:eastAsia="Times New Roman"/>
          <w:color w:val="000000"/>
          <w:sz w:val="23"/>
          <w:szCs w:val="23"/>
          <w:lang w:eastAsia="en-AU"/>
        </w:rPr>
        <w:tab/>
        <w:t>(c)</w:t>
      </w:r>
      <w:r w:rsidRPr="00351EBD">
        <w:rPr>
          <w:rFonts w:eastAsia="Times New Roman"/>
          <w:color w:val="000000"/>
          <w:sz w:val="23"/>
          <w:szCs w:val="23"/>
          <w:lang w:eastAsia="en-AU"/>
        </w:rPr>
        <w:tab/>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rsidR="00351EBD" w:rsidRPr="00351EBD" w:rsidRDefault="00351EBD" w:rsidP="00351EBD">
      <w:pPr>
        <w:spacing w:after="240" w:line="240" w:lineRule="auto"/>
        <w:rPr>
          <w:rFonts w:eastAsia="Times New Roman"/>
          <w:b/>
          <w:bCs/>
          <w:color w:val="000000"/>
          <w:sz w:val="32"/>
          <w:szCs w:val="32"/>
          <w:lang w:eastAsia="en-AU"/>
        </w:rPr>
      </w:pPr>
      <w:r w:rsidRPr="00351EBD">
        <w:rPr>
          <w:rFonts w:eastAsia="Times New Roman"/>
          <w:b/>
          <w:bCs/>
          <w:color w:val="000000"/>
          <w:sz w:val="32"/>
          <w:szCs w:val="32"/>
          <w:lang w:eastAsia="en-AU"/>
        </w:rPr>
        <w:br w:type="page"/>
      </w:r>
      <w:r w:rsidRPr="00351EBD">
        <w:rPr>
          <w:rFonts w:eastAsia="Times New Roman"/>
          <w:b/>
          <w:bCs/>
          <w:color w:val="000000"/>
          <w:sz w:val="32"/>
          <w:szCs w:val="32"/>
          <w:lang w:eastAsia="en-AU"/>
        </w:rPr>
        <w:lastRenderedPageBreak/>
        <w:t>Schedule—Goolwa Beach Area 1</w:t>
      </w:r>
    </w:p>
    <w:p w:rsidR="00351EBD" w:rsidRPr="00351EBD" w:rsidRDefault="00351EBD" w:rsidP="00351EBD">
      <w:pPr>
        <w:keepNext/>
        <w:keepLines/>
        <w:autoSpaceDE w:val="0"/>
        <w:autoSpaceDN w:val="0"/>
        <w:adjustRightInd w:val="0"/>
        <w:spacing w:before="120" w:after="0" w:line="240" w:lineRule="auto"/>
        <w:jc w:val="left"/>
        <w:rPr>
          <w:rFonts w:eastAsia="Times New Roman"/>
          <w:b/>
          <w:bCs/>
          <w:color w:val="000000"/>
          <w:sz w:val="23"/>
          <w:szCs w:val="23"/>
          <w:lang w:eastAsia="en-AU"/>
        </w:rPr>
      </w:pPr>
      <w:r w:rsidRPr="00351EBD">
        <w:rPr>
          <w:rFonts w:eastAsia="Times New Roman"/>
          <w:b/>
          <w:bCs/>
          <w:color w:val="000000"/>
          <w:sz w:val="23"/>
          <w:szCs w:val="23"/>
          <w:lang w:eastAsia="en-AU"/>
        </w:rPr>
        <w:t>1—Extent of prohibition</w:t>
      </w:r>
    </w:p>
    <w:p w:rsidR="00351EBD" w:rsidRPr="00351EBD" w:rsidRDefault="00351EBD" w:rsidP="00351EBD">
      <w:pPr>
        <w:keepLines/>
        <w:autoSpaceDE w:val="0"/>
        <w:autoSpaceDN w:val="0"/>
        <w:adjustRightInd w:val="0"/>
        <w:spacing w:before="120" w:after="240" w:line="240" w:lineRule="auto"/>
        <w:ind w:left="709"/>
        <w:jc w:val="left"/>
        <w:rPr>
          <w:rFonts w:eastAsia="Times New Roman"/>
          <w:color w:val="000000"/>
          <w:sz w:val="23"/>
          <w:szCs w:val="23"/>
          <w:lang w:eastAsia="en-AU"/>
        </w:rPr>
      </w:pPr>
      <w:r w:rsidRPr="00351EBD">
        <w:rPr>
          <w:rFonts w:eastAsia="Times New Roman"/>
          <w:color w:val="000000"/>
          <w:sz w:val="23"/>
          <w:szCs w:val="23"/>
          <w:lang w:eastAsia="en-AU"/>
        </w:rPr>
        <w:t>The consumption of liquor is prohibited and the possession of liquor is prohibited.</w:t>
      </w:r>
    </w:p>
    <w:p w:rsidR="00351EBD" w:rsidRPr="00351EBD" w:rsidRDefault="00351EBD" w:rsidP="00351EBD">
      <w:pPr>
        <w:keepNext/>
        <w:keepLines/>
        <w:autoSpaceDE w:val="0"/>
        <w:autoSpaceDN w:val="0"/>
        <w:adjustRightInd w:val="0"/>
        <w:spacing w:before="120" w:after="0" w:line="240" w:lineRule="auto"/>
        <w:jc w:val="left"/>
        <w:rPr>
          <w:rFonts w:eastAsia="Times New Roman"/>
          <w:b/>
          <w:bCs/>
          <w:color w:val="000000"/>
          <w:sz w:val="23"/>
          <w:szCs w:val="23"/>
          <w:lang w:eastAsia="en-AU"/>
        </w:rPr>
      </w:pPr>
      <w:r w:rsidRPr="00351EBD">
        <w:rPr>
          <w:rFonts w:eastAsia="Times New Roman"/>
          <w:b/>
          <w:bCs/>
          <w:color w:val="000000"/>
          <w:sz w:val="23"/>
          <w:szCs w:val="23"/>
          <w:lang w:eastAsia="en-AU"/>
        </w:rPr>
        <w:t>2—Period of prohibition</w:t>
      </w:r>
    </w:p>
    <w:p w:rsidR="00351EBD" w:rsidRPr="00351EBD" w:rsidRDefault="00351EBD" w:rsidP="00351EBD">
      <w:pPr>
        <w:keepLines/>
        <w:autoSpaceDE w:val="0"/>
        <w:autoSpaceDN w:val="0"/>
        <w:adjustRightInd w:val="0"/>
        <w:spacing w:before="120" w:after="240" w:line="240" w:lineRule="auto"/>
        <w:ind w:left="709"/>
        <w:jc w:val="left"/>
        <w:rPr>
          <w:rFonts w:eastAsia="Times New Roman"/>
          <w:color w:val="000000"/>
          <w:sz w:val="23"/>
          <w:szCs w:val="23"/>
          <w:lang w:eastAsia="en-AU"/>
        </w:rPr>
      </w:pPr>
      <w:r w:rsidRPr="00351EBD">
        <w:rPr>
          <w:rFonts w:eastAsia="Times New Roman"/>
          <w:color w:val="000000"/>
          <w:sz w:val="23"/>
          <w:szCs w:val="23"/>
          <w:lang w:eastAsia="en-AU"/>
        </w:rPr>
        <w:t>From 6pm on Wednesday 30 December 2020 to 6am on Saturday 2 January 2021.</w:t>
      </w:r>
    </w:p>
    <w:p w:rsidR="00351EBD" w:rsidRPr="00351EBD" w:rsidRDefault="00351EBD" w:rsidP="00351EBD">
      <w:pPr>
        <w:keepNext/>
        <w:keepLines/>
        <w:autoSpaceDE w:val="0"/>
        <w:autoSpaceDN w:val="0"/>
        <w:adjustRightInd w:val="0"/>
        <w:spacing w:before="120" w:after="0" w:line="240" w:lineRule="auto"/>
        <w:jc w:val="left"/>
        <w:rPr>
          <w:rFonts w:eastAsia="Times New Roman"/>
          <w:b/>
          <w:bCs/>
          <w:color w:val="000000"/>
          <w:sz w:val="23"/>
          <w:szCs w:val="23"/>
          <w:lang w:eastAsia="en-AU"/>
        </w:rPr>
      </w:pPr>
      <w:r w:rsidRPr="00351EBD">
        <w:rPr>
          <w:rFonts w:eastAsia="Times New Roman"/>
          <w:b/>
          <w:bCs/>
          <w:color w:val="000000"/>
          <w:sz w:val="23"/>
          <w:szCs w:val="23"/>
          <w:lang w:eastAsia="en-AU"/>
        </w:rPr>
        <w:t>3—Description of area</w:t>
      </w:r>
    </w:p>
    <w:p w:rsidR="00351EBD" w:rsidRPr="00351EBD" w:rsidRDefault="00351EBD" w:rsidP="00351EBD">
      <w:pPr>
        <w:keepLines/>
        <w:autoSpaceDE w:val="0"/>
        <w:autoSpaceDN w:val="0"/>
        <w:adjustRightInd w:val="0"/>
        <w:spacing w:before="120" w:after="240" w:line="240" w:lineRule="auto"/>
        <w:ind w:left="709"/>
        <w:rPr>
          <w:rFonts w:eastAsia="Times New Roman"/>
          <w:color w:val="000000"/>
          <w:sz w:val="23"/>
          <w:szCs w:val="23"/>
          <w:lang w:eastAsia="en-AU"/>
        </w:rPr>
      </w:pPr>
      <w:r w:rsidRPr="00351EBD">
        <w:rPr>
          <w:rFonts w:eastAsia="Times New Roman"/>
          <w:color w:val="000000"/>
          <w:sz w:val="23"/>
          <w:szCs w:val="23"/>
          <w:lang w:eastAsia="en-AU"/>
        </w:rPr>
        <w:t>The</w:t>
      </w:r>
      <w:r w:rsidRPr="00351EBD">
        <w:rPr>
          <w:rFonts w:eastAsia="Times New Roman"/>
          <w:sz w:val="22"/>
          <w:lang w:eastAsia="en-AU"/>
        </w:rPr>
        <w:t xml:space="preserve"> </w:t>
      </w:r>
      <w:r w:rsidRPr="00351EBD">
        <w:rPr>
          <w:rFonts w:eastAsia="Times New Roman"/>
          <w:color w:val="000000"/>
          <w:sz w:val="23"/>
          <w:szCs w:val="23"/>
          <w:lang w:eastAsia="en-AU"/>
        </w:rPr>
        <w:t>area in Goolwa Beach and Goolwa South (generally known as the Goolwa Beach car park) bounded as follows: commencing at the north</w:t>
      </w:r>
      <w:r w:rsidRPr="00351EBD">
        <w:rPr>
          <w:rFonts w:eastAsia="Times New Roman"/>
          <w:color w:val="000000"/>
          <w:sz w:val="23"/>
          <w:szCs w:val="23"/>
          <w:lang w:eastAsia="en-AU"/>
        </w:rPr>
        <w:noBreakHyphen/>
        <w:t>eastern corner of Section 279, Hundred of Goolwa, then westerly and southerly along the northern and western boundaries of Section 279 to the northern boundary of Section 367, Hundred of Goolwa, then southerly and easterly along the western and southern boundaries of Section 367 to the south</w:t>
      </w:r>
      <w:r w:rsidRPr="00351EBD">
        <w:rPr>
          <w:rFonts w:eastAsia="Times New Roman"/>
          <w:color w:val="000000"/>
          <w:sz w:val="23"/>
          <w:szCs w:val="23"/>
          <w:lang w:eastAsia="en-AU"/>
        </w:rPr>
        <w:noBreakHyphen/>
        <w:t>eastern corner of the Section, then in a straight line by the shortest route to the south</w:t>
      </w:r>
      <w:r w:rsidRPr="00351EBD">
        <w:rPr>
          <w:rFonts w:eastAsia="Times New Roman"/>
          <w:color w:val="000000"/>
          <w:sz w:val="23"/>
          <w:szCs w:val="23"/>
          <w:lang w:eastAsia="en-AU"/>
        </w:rPr>
        <w:noBreakHyphen/>
        <w:t>western corner of Section 368, Hundred of Goolwa, then easterly and northerly along the southern and eastern boundaries of Section 368 to the southern boundary of Section 278, Hundred of Goolwa, then northerly and westerly along the eastern and northern boundaries of Section 278 to the north</w:t>
      </w:r>
      <w:r w:rsidRPr="00351EBD">
        <w:rPr>
          <w:rFonts w:eastAsia="Times New Roman"/>
          <w:color w:val="000000"/>
          <w:sz w:val="23"/>
          <w:szCs w:val="23"/>
          <w:lang w:eastAsia="en-AU"/>
        </w:rPr>
        <w:noBreakHyphen/>
        <w:t>western corner of the Section, then in a straight line by the shortest route across Goolwa Beach Road to the point of commencement.</w:t>
      </w:r>
    </w:p>
    <w:p w:rsidR="00351EBD" w:rsidRPr="00351EBD" w:rsidRDefault="00351EBD" w:rsidP="00351EBD">
      <w:pPr>
        <w:rPr>
          <w:rFonts w:eastAsia="Times New Roman"/>
          <w:szCs w:val="17"/>
          <w:lang w:eastAsia="en-AU"/>
        </w:rPr>
      </w:pPr>
      <w:r w:rsidRPr="00351EBD">
        <w:rPr>
          <w:rFonts w:eastAsia="Times New Roman"/>
          <w:szCs w:val="17"/>
          <w:lang w:eastAsia="en-AU"/>
        </w:rPr>
        <w:br w:type="page"/>
      </w:r>
    </w:p>
    <w:p w:rsidR="00351EBD" w:rsidRPr="00351EBD" w:rsidRDefault="00351EBD" w:rsidP="00351EBD">
      <w:pPr>
        <w:keepLines/>
        <w:autoSpaceDE w:val="0"/>
        <w:autoSpaceDN w:val="0"/>
        <w:adjustRightInd w:val="0"/>
        <w:spacing w:before="240" w:after="0" w:line="240" w:lineRule="auto"/>
        <w:jc w:val="left"/>
        <w:rPr>
          <w:rFonts w:eastAsia="Times New Roman"/>
          <w:b/>
          <w:bCs/>
          <w:color w:val="000000"/>
          <w:sz w:val="26"/>
          <w:szCs w:val="26"/>
          <w:lang w:eastAsia="en-AU"/>
        </w:rPr>
      </w:pPr>
      <w:r w:rsidRPr="00351EBD">
        <w:rPr>
          <w:rFonts w:ascii="Calibri" w:eastAsia="Times New Roman" w:hAnsi="Calibri"/>
          <w:noProof/>
          <w:sz w:val="22"/>
          <w:lang w:eastAsia="en-AU"/>
        </w:rPr>
        <w:lastRenderedPageBreak/>
        <w:drawing>
          <wp:anchor distT="0" distB="0" distL="114300" distR="114300" simplePos="0" relativeHeight="251667968" behindDoc="0" locked="0" layoutInCell="1" allowOverlap="1" wp14:anchorId="1C468FDB" wp14:editId="5A097A95">
            <wp:simplePos x="0" y="0"/>
            <wp:positionH relativeFrom="margin">
              <wp:align>center</wp:align>
            </wp:positionH>
            <wp:positionV relativeFrom="margin">
              <wp:align>top</wp:align>
            </wp:positionV>
            <wp:extent cx="4420235" cy="6413500"/>
            <wp:effectExtent l="0" t="0" r="0" b="635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420235" cy="641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1EBD">
        <w:rPr>
          <w:rFonts w:eastAsia="Times New Roman"/>
          <w:b/>
          <w:bCs/>
          <w:color w:val="000000"/>
          <w:sz w:val="23"/>
          <w:szCs w:val="23"/>
          <w:lang w:eastAsia="en-AU"/>
        </w:rPr>
        <w:t>M</w:t>
      </w:r>
      <w:r w:rsidRPr="00351EBD">
        <w:rPr>
          <w:rFonts w:eastAsia="Times New Roman"/>
          <w:b/>
          <w:bCs/>
          <w:color w:val="000000"/>
          <w:sz w:val="26"/>
          <w:szCs w:val="26"/>
          <w:lang w:eastAsia="en-AU"/>
        </w:rPr>
        <w:t>ade on behalf of the Liquor and Gambling Commissioner</w:t>
      </w:r>
    </w:p>
    <w:p w:rsidR="00351EBD" w:rsidRPr="00351EBD" w:rsidRDefault="00351EBD" w:rsidP="00351EBD">
      <w:pPr>
        <w:keepLines/>
        <w:autoSpaceDE w:val="0"/>
        <w:autoSpaceDN w:val="0"/>
        <w:adjustRightInd w:val="0"/>
        <w:spacing w:before="120" w:line="240" w:lineRule="auto"/>
        <w:jc w:val="left"/>
        <w:rPr>
          <w:rFonts w:eastAsia="Times New Roman"/>
          <w:color w:val="000000"/>
          <w:sz w:val="23"/>
          <w:szCs w:val="23"/>
          <w:lang w:eastAsia="en-AU"/>
        </w:rPr>
      </w:pPr>
      <w:r w:rsidRPr="00351EBD">
        <w:rPr>
          <w:rFonts w:eastAsia="Times New Roman"/>
          <w:color w:val="000000"/>
          <w:sz w:val="23"/>
          <w:szCs w:val="23"/>
          <w:lang w:eastAsia="en-AU"/>
        </w:rPr>
        <w:t>on 14 December 2020</w:t>
      </w:r>
    </w:p>
    <w:p w:rsidR="00351EBD" w:rsidRPr="00351EBD" w:rsidRDefault="00351EBD" w:rsidP="00351EBD">
      <w:pPr>
        <w:pBdr>
          <w:top w:val="single" w:sz="4" w:space="1" w:color="auto"/>
        </w:pBdr>
        <w:autoSpaceDE w:val="0"/>
        <w:autoSpaceDN w:val="0"/>
        <w:adjustRightInd w:val="0"/>
        <w:spacing w:before="100" w:after="0" w:line="14" w:lineRule="exact"/>
        <w:jc w:val="center"/>
        <w:rPr>
          <w:rFonts w:eastAsia="Times New Roman"/>
          <w:color w:val="000000"/>
          <w:sz w:val="23"/>
          <w:szCs w:val="23"/>
          <w:lang w:eastAsia="en-AU"/>
        </w:rPr>
      </w:pPr>
    </w:p>
    <w:p w:rsidR="00351EBD" w:rsidRPr="00351EBD" w:rsidRDefault="00351EBD" w:rsidP="00351EBD">
      <w:pPr>
        <w:rPr>
          <w:rFonts w:eastAsia="Times New Roman"/>
          <w:szCs w:val="17"/>
        </w:rPr>
      </w:pPr>
    </w:p>
    <w:p w:rsidR="00351EBD" w:rsidRDefault="00351EBD">
      <w:pPr>
        <w:spacing w:after="0" w:line="240" w:lineRule="auto"/>
        <w:jc w:val="left"/>
        <w:rPr>
          <w:lang w:val="en-US"/>
        </w:rPr>
      </w:pPr>
      <w:r>
        <w:rPr>
          <w:lang w:val="en-US"/>
        </w:rPr>
        <w:br w:type="page"/>
      </w:r>
    </w:p>
    <w:p w:rsidR="00B03057" w:rsidRPr="00B03057" w:rsidRDefault="00B03057" w:rsidP="00B03057">
      <w:pPr>
        <w:jc w:val="center"/>
        <w:rPr>
          <w:caps/>
          <w:szCs w:val="17"/>
        </w:rPr>
      </w:pPr>
      <w:r w:rsidRPr="00B03057">
        <w:rPr>
          <w:caps/>
          <w:szCs w:val="17"/>
        </w:rPr>
        <w:lastRenderedPageBreak/>
        <w:t>Liquor Licensing Act 1997</w:t>
      </w:r>
    </w:p>
    <w:p w:rsidR="00B03057" w:rsidRPr="00B03057" w:rsidRDefault="00B03057" w:rsidP="00B03057">
      <w:pPr>
        <w:keepLines/>
        <w:autoSpaceDE w:val="0"/>
        <w:autoSpaceDN w:val="0"/>
        <w:adjustRightInd w:val="0"/>
        <w:spacing w:before="240" w:after="0" w:line="240" w:lineRule="auto"/>
        <w:jc w:val="left"/>
        <w:rPr>
          <w:rFonts w:eastAsia="Times New Roman"/>
          <w:color w:val="000000"/>
          <w:sz w:val="28"/>
          <w:szCs w:val="28"/>
          <w:lang w:eastAsia="en-AU"/>
        </w:rPr>
      </w:pPr>
      <w:r w:rsidRPr="00B03057">
        <w:rPr>
          <w:rFonts w:eastAsia="Times New Roman"/>
          <w:color w:val="000000"/>
          <w:sz w:val="28"/>
          <w:szCs w:val="28"/>
          <w:lang w:eastAsia="en-AU"/>
        </w:rPr>
        <w:t>South Australia</w:t>
      </w:r>
    </w:p>
    <w:p w:rsidR="00B03057" w:rsidRPr="00B03057" w:rsidRDefault="00B03057" w:rsidP="00B03057">
      <w:pPr>
        <w:keepLines/>
        <w:autoSpaceDE w:val="0"/>
        <w:autoSpaceDN w:val="0"/>
        <w:adjustRightInd w:val="0"/>
        <w:spacing w:before="120" w:after="200" w:line="240" w:lineRule="auto"/>
        <w:jc w:val="left"/>
        <w:rPr>
          <w:rFonts w:eastAsia="Times New Roman"/>
          <w:b/>
          <w:bCs/>
          <w:color w:val="000000"/>
          <w:sz w:val="36"/>
          <w:szCs w:val="36"/>
          <w:lang w:eastAsia="en-AU"/>
        </w:rPr>
      </w:pPr>
      <w:r w:rsidRPr="00B03057">
        <w:rPr>
          <w:rFonts w:eastAsia="Times New Roman"/>
          <w:b/>
          <w:bCs/>
          <w:color w:val="000000"/>
          <w:sz w:val="36"/>
          <w:szCs w:val="36"/>
          <w:lang w:eastAsia="en-AU"/>
        </w:rPr>
        <w:t>Liquor Licensing (Dry Areas) Notice 2020</w:t>
      </w:r>
    </w:p>
    <w:p w:rsidR="00B03057" w:rsidRPr="00B03057" w:rsidRDefault="00B03057" w:rsidP="00B03057">
      <w:pPr>
        <w:keepLines/>
        <w:autoSpaceDE w:val="0"/>
        <w:autoSpaceDN w:val="0"/>
        <w:adjustRightInd w:val="0"/>
        <w:spacing w:before="80" w:after="240" w:line="240" w:lineRule="auto"/>
        <w:jc w:val="left"/>
        <w:rPr>
          <w:rFonts w:eastAsia="Times New Roman"/>
          <w:color w:val="000000"/>
          <w:sz w:val="24"/>
          <w:szCs w:val="24"/>
          <w:lang w:eastAsia="en-AU"/>
        </w:rPr>
      </w:pPr>
      <w:r w:rsidRPr="00B03057">
        <w:rPr>
          <w:rFonts w:eastAsia="Times New Roman"/>
          <w:color w:val="000000"/>
          <w:sz w:val="24"/>
          <w:szCs w:val="24"/>
          <w:lang w:eastAsia="en-AU"/>
        </w:rPr>
        <w:t xml:space="preserve">under section 131(1a) of the </w:t>
      </w:r>
      <w:r w:rsidRPr="00B03057">
        <w:rPr>
          <w:rFonts w:eastAsia="Times New Roman"/>
          <w:i/>
          <w:iCs/>
          <w:color w:val="000000"/>
          <w:sz w:val="24"/>
          <w:szCs w:val="24"/>
          <w:lang w:eastAsia="en-AU"/>
        </w:rPr>
        <w:t>Liquor Licensing Act 1997</w:t>
      </w:r>
    </w:p>
    <w:p w:rsidR="00B03057" w:rsidRPr="00B03057" w:rsidRDefault="00B03057" w:rsidP="00B03057">
      <w:pPr>
        <w:keepNext/>
        <w:keepLines/>
        <w:autoSpaceDE w:val="0"/>
        <w:autoSpaceDN w:val="0"/>
        <w:adjustRightInd w:val="0"/>
        <w:spacing w:before="240" w:after="0" w:line="240" w:lineRule="auto"/>
        <w:ind w:left="567" w:hanging="567"/>
        <w:jc w:val="left"/>
        <w:rPr>
          <w:rFonts w:eastAsia="Times New Roman"/>
          <w:b/>
          <w:bCs/>
          <w:color w:val="000000"/>
          <w:sz w:val="26"/>
          <w:szCs w:val="26"/>
          <w:lang w:eastAsia="en-AU"/>
        </w:rPr>
      </w:pPr>
      <w:r w:rsidRPr="00B03057">
        <w:rPr>
          <w:rFonts w:eastAsia="Times New Roman"/>
          <w:b/>
          <w:bCs/>
          <w:color w:val="000000"/>
          <w:sz w:val="26"/>
          <w:szCs w:val="26"/>
          <w:lang w:eastAsia="en-AU"/>
        </w:rPr>
        <w:t>1—Short title</w:t>
      </w:r>
    </w:p>
    <w:p w:rsidR="00B03057" w:rsidRPr="00B03057" w:rsidRDefault="00B03057" w:rsidP="00B03057">
      <w:pPr>
        <w:keepLines/>
        <w:autoSpaceDE w:val="0"/>
        <w:autoSpaceDN w:val="0"/>
        <w:adjustRightInd w:val="0"/>
        <w:spacing w:before="120" w:after="0" w:line="240" w:lineRule="auto"/>
        <w:ind w:left="794"/>
        <w:jc w:val="left"/>
        <w:rPr>
          <w:rFonts w:eastAsia="Times New Roman"/>
          <w:color w:val="000000"/>
          <w:sz w:val="23"/>
          <w:szCs w:val="23"/>
          <w:lang w:eastAsia="en-AU"/>
        </w:rPr>
      </w:pPr>
      <w:r w:rsidRPr="00B03057">
        <w:rPr>
          <w:rFonts w:eastAsia="Times New Roman"/>
          <w:color w:val="000000"/>
          <w:sz w:val="23"/>
          <w:szCs w:val="23"/>
          <w:lang w:eastAsia="en-AU"/>
        </w:rPr>
        <w:t xml:space="preserve">This notice may be cited as the </w:t>
      </w:r>
      <w:hyperlink r:id="rId99" w:history="1">
        <w:r w:rsidRPr="00B03057">
          <w:rPr>
            <w:rFonts w:eastAsia="Times New Roman"/>
            <w:i/>
            <w:iCs/>
            <w:color w:val="000000"/>
            <w:sz w:val="23"/>
            <w:szCs w:val="23"/>
            <w:lang w:eastAsia="en-AU"/>
          </w:rPr>
          <w:t>Liquor Licensing (Dry Areas) Notice 20</w:t>
        </w:r>
      </w:hyperlink>
      <w:r w:rsidRPr="00B03057">
        <w:rPr>
          <w:rFonts w:eastAsia="Times New Roman"/>
          <w:i/>
          <w:iCs/>
          <w:color w:val="000000"/>
          <w:sz w:val="23"/>
          <w:szCs w:val="23"/>
          <w:lang w:eastAsia="en-AU"/>
        </w:rPr>
        <w:t>20</w:t>
      </w:r>
      <w:r w:rsidRPr="00B03057">
        <w:rPr>
          <w:rFonts w:eastAsia="Times New Roman"/>
          <w:color w:val="000000"/>
          <w:sz w:val="23"/>
          <w:szCs w:val="23"/>
          <w:lang w:eastAsia="en-AU"/>
        </w:rPr>
        <w:t>.</w:t>
      </w:r>
    </w:p>
    <w:p w:rsidR="00B03057" w:rsidRPr="00B03057" w:rsidRDefault="00B03057" w:rsidP="00B03057">
      <w:pPr>
        <w:keepNext/>
        <w:keepLines/>
        <w:autoSpaceDE w:val="0"/>
        <w:autoSpaceDN w:val="0"/>
        <w:adjustRightInd w:val="0"/>
        <w:spacing w:before="240" w:after="0" w:line="240" w:lineRule="auto"/>
        <w:ind w:left="567" w:hanging="567"/>
        <w:jc w:val="left"/>
        <w:rPr>
          <w:rFonts w:eastAsia="Times New Roman"/>
          <w:b/>
          <w:bCs/>
          <w:color w:val="000000"/>
          <w:sz w:val="26"/>
          <w:szCs w:val="26"/>
          <w:lang w:eastAsia="en-AU"/>
        </w:rPr>
      </w:pPr>
      <w:r w:rsidRPr="00B03057">
        <w:rPr>
          <w:rFonts w:eastAsia="Times New Roman"/>
          <w:b/>
          <w:bCs/>
          <w:color w:val="000000"/>
          <w:sz w:val="26"/>
          <w:szCs w:val="26"/>
          <w:lang w:eastAsia="en-AU"/>
        </w:rPr>
        <w:t>2—Commencement</w:t>
      </w:r>
    </w:p>
    <w:p w:rsidR="00B03057" w:rsidRPr="00B03057" w:rsidRDefault="00B03057" w:rsidP="00B03057">
      <w:pPr>
        <w:keepLines/>
        <w:autoSpaceDE w:val="0"/>
        <w:autoSpaceDN w:val="0"/>
        <w:adjustRightInd w:val="0"/>
        <w:spacing w:before="120" w:after="0" w:line="240" w:lineRule="auto"/>
        <w:ind w:left="794"/>
        <w:jc w:val="left"/>
        <w:rPr>
          <w:rFonts w:eastAsia="Times New Roman"/>
          <w:color w:val="000000"/>
          <w:sz w:val="23"/>
          <w:szCs w:val="23"/>
          <w:lang w:eastAsia="en-AU"/>
        </w:rPr>
      </w:pPr>
      <w:r w:rsidRPr="00B03057">
        <w:rPr>
          <w:rFonts w:eastAsia="Times New Roman"/>
          <w:color w:val="000000"/>
          <w:sz w:val="23"/>
          <w:szCs w:val="23"/>
          <w:lang w:eastAsia="en-AU"/>
        </w:rPr>
        <w:t>This notice comes into operation on 30 December 2020.</w:t>
      </w:r>
    </w:p>
    <w:p w:rsidR="00B03057" w:rsidRPr="00B03057" w:rsidRDefault="00B03057" w:rsidP="00B03057">
      <w:pPr>
        <w:keepNext/>
        <w:keepLines/>
        <w:autoSpaceDE w:val="0"/>
        <w:autoSpaceDN w:val="0"/>
        <w:adjustRightInd w:val="0"/>
        <w:spacing w:before="240" w:after="0" w:line="240" w:lineRule="auto"/>
        <w:ind w:left="567" w:hanging="567"/>
        <w:jc w:val="left"/>
        <w:rPr>
          <w:rFonts w:eastAsia="Times New Roman"/>
          <w:b/>
          <w:bCs/>
          <w:color w:val="000000"/>
          <w:sz w:val="26"/>
          <w:szCs w:val="26"/>
          <w:lang w:eastAsia="en-AU"/>
        </w:rPr>
      </w:pPr>
      <w:r w:rsidRPr="00B03057">
        <w:rPr>
          <w:rFonts w:eastAsia="Times New Roman"/>
          <w:b/>
          <w:bCs/>
          <w:color w:val="000000"/>
          <w:sz w:val="26"/>
          <w:szCs w:val="26"/>
          <w:lang w:eastAsia="en-AU"/>
        </w:rPr>
        <w:t>3—Interpretation</w:t>
      </w:r>
    </w:p>
    <w:p w:rsidR="00B03057" w:rsidRPr="00B03057" w:rsidRDefault="00B03057" w:rsidP="00B0305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03057">
        <w:rPr>
          <w:rFonts w:eastAsia="Times New Roman"/>
          <w:color w:val="000000"/>
          <w:sz w:val="23"/>
          <w:szCs w:val="23"/>
          <w:lang w:eastAsia="en-AU"/>
        </w:rPr>
        <w:tab/>
        <w:t>(1)</w:t>
      </w:r>
      <w:r w:rsidRPr="00B03057">
        <w:rPr>
          <w:rFonts w:eastAsia="Times New Roman"/>
          <w:color w:val="000000"/>
          <w:sz w:val="23"/>
          <w:szCs w:val="23"/>
          <w:lang w:eastAsia="en-AU"/>
        </w:rPr>
        <w:tab/>
        <w:t>In this notice—</w:t>
      </w:r>
    </w:p>
    <w:p w:rsidR="00B03057" w:rsidRPr="00B03057" w:rsidRDefault="00B03057" w:rsidP="00B03057">
      <w:pPr>
        <w:keepLines/>
        <w:autoSpaceDE w:val="0"/>
        <w:autoSpaceDN w:val="0"/>
        <w:adjustRightInd w:val="0"/>
        <w:spacing w:before="120" w:after="0" w:line="240" w:lineRule="auto"/>
        <w:ind w:left="794"/>
        <w:jc w:val="left"/>
        <w:rPr>
          <w:rFonts w:eastAsia="Times New Roman"/>
          <w:color w:val="000000"/>
          <w:sz w:val="23"/>
          <w:szCs w:val="23"/>
          <w:lang w:eastAsia="en-AU"/>
        </w:rPr>
      </w:pPr>
      <w:r w:rsidRPr="00B03057">
        <w:rPr>
          <w:rFonts w:eastAsia="Times New Roman"/>
          <w:b/>
          <w:bCs/>
          <w:i/>
          <w:iCs/>
          <w:color w:val="000000"/>
          <w:sz w:val="23"/>
          <w:szCs w:val="23"/>
          <w:lang w:eastAsia="en-AU"/>
        </w:rPr>
        <w:t>principal notice</w:t>
      </w:r>
      <w:r w:rsidRPr="00B03057">
        <w:rPr>
          <w:rFonts w:eastAsia="Times New Roman"/>
          <w:color w:val="000000"/>
          <w:sz w:val="23"/>
          <w:szCs w:val="23"/>
          <w:lang w:eastAsia="en-AU"/>
        </w:rPr>
        <w:t xml:space="preserve"> means the </w:t>
      </w:r>
      <w:hyperlink r:id="rId100" w:history="1">
        <w:r w:rsidRPr="00B03057">
          <w:rPr>
            <w:rFonts w:eastAsia="Times New Roman"/>
            <w:i/>
            <w:iCs/>
            <w:color w:val="000000"/>
            <w:sz w:val="23"/>
            <w:szCs w:val="23"/>
            <w:lang w:eastAsia="en-AU"/>
          </w:rPr>
          <w:t>Liquor Licensing (Dry Areas) Notice 2015</w:t>
        </w:r>
      </w:hyperlink>
      <w:r w:rsidRPr="00B03057">
        <w:rPr>
          <w:rFonts w:eastAsia="Times New Roman"/>
          <w:color w:val="000000"/>
          <w:sz w:val="23"/>
          <w:szCs w:val="23"/>
          <w:lang w:eastAsia="en-AU"/>
        </w:rPr>
        <w:t xml:space="preserve"> published in the Gazette on 5.1.15, as in force from time to time.</w:t>
      </w:r>
    </w:p>
    <w:p w:rsidR="00B03057" w:rsidRPr="00B03057" w:rsidRDefault="00B03057" w:rsidP="00B0305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03057">
        <w:rPr>
          <w:rFonts w:eastAsia="Times New Roman"/>
          <w:color w:val="000000"/>
          <w:sz w:val="23"/>
          <w:szCs w:val="23"/>
          <w:lang w:eastAsia="en-AU"/>
        </w:rPr>
        <w:tab/>
        <w:t>(2)</w:t>
      </w:r>
      <w:r w:rsidRPr="00B03057">
        <w:rPr>
          <w:rFonts w:eastAsia="Times New Roman"/>
          <w:color w:val="000000"/>
          <w:sz w:val="23"/>
          <w:szCs w:val="23"/>
          <w:lang w:eastAsia="en-AU"/>
        </w:rPr>
        <w:tab/>
        <w:t>Clause 3 of the principal notice applies to this notice as if it were the principal notice.</w:t>
      </w:r>
    </w:p>
    <w:p w:rsidR="00B03057" w:rsidRPr="00B03057" w:rsidRDefault="00B03057" w:rsidP="00B03057">
      <w:pPr>
        <w:keepNext/>
        <w:keepLines/>
        <w:autoSpaceDE w:val="0"/>
        <w:autoSpaceDN w:val="0"/>
        <w:adjustRightInd w:val="0"/>
        <w:spacing w:before="240" w:after="0" w:line="240" w:lineRule="auto"/>
        <w:ind w:left="567" w:hanging="567"/>
        <w:jc w:val="left"/>
        <w:rPr>
          <w:rFonts w:eastAsia="Times New Roman"/>
          <w:b/>
          <w:bCs/>
          <w:color w:val="000000"/>
          <w:sz w:val="26"/>
          <w:szCs w:val="26"/>
          <w:lang w:eastAsia="en-AU"/>
        </w:rPr>
      </w:pPr>
      <w:r w:rsidRPr="00B03057">
        <w:rPr>
          <w:rFonts w:eastAsia="Times New Roman"/>
          <w:b/>
          <w:bCs/>
          <w:color w:val="000000"/>
          <w:sz w:val="26"/>
          <w:szCs w:val="26"/>
          <w:lang w:eastAsia="en-AU"/>
        </w:rPr>
        <w:t>4—Consumption etc of liquor prohibited in dry areas</w:t>
      </w:r>
    </w:p>
    <w:p w:rsidR="00B03057" w:rsidRPr="00B03057" w:rsidRDefault="00B03057" w:rsidP="00B0305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03057">
        <w:rPr>
          <w:rFonts w:eastAsia="Times New Roman"/>
          <w:color w:val="000000"/>
          <w:sz w:val="23"/>
          <w:szCs w:val="23"/>
          <w:lang w:eastAsia="en-AU"/>
        </w:rPr>
        <w:tab/>
        <w:t>(1)</w:t>
      </w:r>
      <w:r w:rsidRPr="00B03057">
        <w:rPr>
          <w:rFonts w:eastAsia="Times New Roman"/>
          <w:color w:val="000000"/>
          <w:sz w:val="23"/>
          <w:szCs w:val="23"/>
          <w:lang w:eastAsia="en-AU"/>
        </w:rPr>
        <w:tab/>
        <w:t>Pursuant to section 131 of the Act, the consumption and possession of liquor in the area described in the Schedule is prohibited in accordance with the provisions of the Schedule.</w:t>
      </w:r>
    </w:p>
    <w:p w:rsidR="00B03057" w:rsidRPr="00B03057" w:rsidRDefault="00B03057" w:rsidP="00B0305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03057">
        <w:rPr>
          <w:rFonts w:eastAsia="Times New Roman"/>
          <w:color w:val="000000"/>
          <w:sz w:val="23"/>
          <w:szCs w:val="23"/>
          <w:lang w:eastAsia="en-AU"/>
        </w:rPr>
        <w:tab/>
        <w:t>(2)</w:t>
      </w:r>
      <w:r w:rsidRPr="00B03057">
        <w:rPr>
          <w:rFonts w:eastAsia="Times New Roman"/>
          <w:color w:val="000000"/>
          <w:sz w:val="23"/>
          <w:szCs w:val="23"/>
          <w:lang w:eastAsia="en-AU"/>
        </w:rPr>
        <w:tab/>
        <w:t>The prohibition has effect during the periods specified in the Schedule.</w:t>
      </w:r>
    </w:p>
    <w:p w:rsidR="00B03057" w:rsidRPr="00B03057" w:rsidRDefault="00B03057" w:rsidP="00B0305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03057">
        <w:rPr>
          <w:rFonts w:eastAsia="Times New Roman"/>
          <w:color w:val="000000"/>
          <w:sz w:val="23"/>
          <w:szCs w:val="23"/>
          <w:lang w:eastAsia="en-AU"/>
        </w:rPr>
        <w:tab/>
        <w:t>(3)</w:t>
      </w:r>
      <w:r w:rsidRPr="00B03057">
        <w:rPr>
          <w:rFonts w:eastAsia="Times New Roman"/>
          <w:color w:val="000000"/>
          <w:sz w:val="23"/>
          <w:szCs w:val="23"/>
          <w:lang w:eastAsia="en-AU"/>
        </w:rPr>
        <w:tab/>
        <w:t>The prohibition does not extend to private land in the area described in the Schedule.</w:t>
      </w:r>
    </w:p>
    <w:p w:rsidR="00B03057" w:rsidRPr="00B03057" w:rsidRDefault="00B03057" w:rsidP="00B0305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03057">
        <w:rPr>
          <w:rFonts w:eastAsia="Times New Roman"/>
          <w:color w:val="000000"/>
          <w:sz w:val="23"/>
          <w:szCs w:val="23"/>
          <w:lang w:eastAsia="en-AU"/>
        </w:rPr>
        <w:tab/>
        <w:t>(4)</w:t>
      </w:r>
      <w:r w:rsidRPr="00B03057">
        <w:rPr>
          <w:rFonts w:eastAsia="Times New Roman"/>
          <w:color w:val="000000"/>
          <w:sz w:val="23"/>
          <w:szCs w:val="23"/>
          <w:lang w:eastAsia="en-AU"/>
        </w:rPr>
        <w:tab/>
        <w:t>Unless the contrary intention appears, the prohibition of the possession of liquor in the area does not extend to—</w:t>
      </w:r>
    </w:p>
    <w:p w:rsidR="00B03057" w:rsidRPr="00B03057" w:rsidRDefault="00B03057" w:rsidP="00B0305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03057">
        <w:rPr>
          <w:rFonts w:eastAsia="Times New Roman"/>
          <w:color w:val="000000"/>
          <w:sz w:val="23"/>
          <w:szCs w:val="23"/>
          <w:lang w:eastAsia="en-AU"/>
        </w:rPr>
        <w:tab/>
        <w:t>(a)</w:t>
      </w:r>
      <w:r w:rsidRPr="00B03057">
        <w:rPr>
          <w:rFonts w:eastAsia="Times New Roman"/>
          <w:color w:val="000000"/>
          <w:sz w:val="23"/>
          <w:szCs w:val="23"/>
          <w:lang w:eastAsia="en-AU"/>
        </w:rPr>
        <w:tab/>
        <w:t>a person who is genuinely passing through the area if—</w:t>
      </w:r>
    </w:p>
    <w:p w:rsidR="00B03057" w:rsidRPr="00B03057" w:rsidRDefault="00B03057" w:rsidP="00B0305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03057">
        <w:rPr>
          <w:rFonts w:eastAsia="Times New Roman"/>
          <w:color w:val="000000"/>
          <w:sz w:val="23"/>
          <w:szCs w:val="23"/>
          <w:lang w:eastAsia="en-AU"/>
        </w:rPr>
        <w:tab/>
        <w:t>(i)</w:t>
      </w:r>
      <w:r w:rsidRPr="00B03057">
        <w:rPr>
          <w:rFonts w:eastAsia="Times New Roman"/>
          <w:color w:val="000000"/>
          <w:sz w:val="23"/>
          <w:szCs w:val="23"/>
          <w:lang w:eastAsia="en-AU"/>
        </w:rPr>
        <w:tab/>
        <w:t>the liquor is in the original container in which it was purchased from licensed premises; and</w:t>
      </w:r>
    </w:p>
    <w:p w:rsidR="00B03057" w:rsidRPr="00B03057" w:rsidRDefault="00B03057" w:rsidP="00B0305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03057">
        <w:rPr>
          <w:rFonts w:eastAsia="Times New Roman"/>
          <w:color w:val="000000"/>
          <w:sz w:val="23"/>
          <w:szCs w:val="23"/>
          <w:lang w:eastAsia="en-AU"/>
        </w:rPr>
        <w:tab/>
        <w:t>(ii)</w:t>
      </w:r>
      <w:r w:rsidRPr="00B03057">
        <w:rPr>
          <w:rFonts w:eastAsia="Times New Roman"/>
          <w:color w:val="000000"/>
          <w:sz w:val="23"/>
          <w:szCs w:val="23"/>
          <w:lang w:eastAsia="en-AU"/>
        </w:rPr>
        <w:tab/>
        <w:t>the container has not been opened; or</w:t>
      </w:r>
    </w:p>
    <w:p w:rsidR="00B03057" w:rsidRPr="00B03057" w:rsidRDefault="00B03057" w:rsidP="00B0305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03057">
        <w:rPr>
          <w:rFonts w:eastAsia="Times New Roman"/>
          <w:color w:val="000000"/>
          <w:sz w:val="23"/>
          <w:szCs w:val="23"/>
          <w:lang w:eastAsia="en-AU"/>
        </w:rPr>
        <w:tab/>
        <w:t>(b)</w:t>
      </w:r>
      <w:r w:rsidRPr="00B03057">
        <w:rPr>
          <w:rFonts w:eastAsia="Times New Roman"/>
          <w:color w:val="000000"/>
          <w:sz w:val="23"/>
          <w:szCs w:val="23"/>
          <w:lang w:eastAsia="en-AU"/>
        </w:rPr>
        <w:tab/>
        <w:t>a person who has possession of the liquor in the course of carrying on a business or in the course of his or her employment by another person in the course of carrying on a business; or</w:t>
      </w:r>
    </w:p>
    <w:p w:rsidR="00B03057" w:rsidRPr="00B03057" w:rsidRDefault="00B03057" w:rsidP="00B0305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03057">
        <w:rPr>
          <w:rFonts w:eastAsia="Times New Roman"/>
          <w:color w:val="000000"/>
          <w:sz w:val="23"/>
          <w:szCs w:val="23"/>
          <w:lang w:eastAsia="en-AU"/>
        </w:rPr>
        <w:tab/>
        <w:t>(c)</w:t>
      </w:r>
      <w:r w:rsidRPr="00B03057">
        <w:rPr>
          <w:rFonts w:eastAsia="Times New Roman"/>
          <w:color w:val="000000"/>
          <w:sz w:val="23"/>
          <w:szCs w:val="23"/>
          <w:lang w:eastAsia="en-AU"/>
        </w:rPr>
        <w:tab/>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rsidR="00B03057" w:rsidRPr="00B03057" w:rsidRDefault="00B03057" w:rsidP="00B03057">
      <w:pPr>
        <w:keepLines/>
        <w:tabs>
          <w:tab w:val="center" w:pos="1191"/>
          <w:tab w:val="left" w:pos="1588"/>
        </w:tabs>
        <w:autoSpaceDE w:val="0"/>
        <w:autoSpaceDN w:val="0"/>
        <w:adjustRightInd w:val="0"/>
        <w:spacing w:before="120" w:after="240" w:line="240" w:lineRule="auto"/>
        <w:jc w:val="left"/>
        <w:rPr>
          <w:rFonts w:eastAsia="Times New Roman"/>
          <w:b/>
          <w:bCs/>
          <w:color w:val="000000"/>
          <w:sz w:val="32"/>
          <w:szCs w:val="32"/>
          <w:lang w:eastAsia="en-AU"/>
        </w:rPr>
      </w:pPr>
      <w:r w:rsidRPr="00B03057">
        <w:rPr>
          <w:rFonts w:eastAsia="Times New Roman"/>
          <w:color w:val="000000"/>
          <w:sz w:val="23"/>
          <w:szCs w:val="23"/>
          <w:lang w:eastAsia="en-AU"/>
        </w:rPr>
        <w:br w:type="page"/>
      </w:r>
      <w:r w:rsidRPr="00B03057">
        <w:rPr>
          <w:rFonts w:eastAsia="Times New Roman"/>
          <w:b/>
          <w:bCs/>
          <w:color w:val="000000"/>
          <w:sz w:val="32"/>
          <w:szCs w:val="32"/>
          <w:lang w:eastAsia="en-AU"/>
        </w:rPr>
        <w:lastRenderedPageBreak/>
        <w:t>Schedule—Goolwa Wharf Precinct (Goolwa Area 3)</w:t>
      </w:r>
    </w:p>
    <w:p w:rsidR="00B03057" w:rsidRPr="00B03057" w:rsidRDefault="00B03057" w:rsidP="00B03057">
      <w:pPr>
        <w:keepNext/>
        <w:keepLines/>
        <w:autoSpaceDE w:val="0"/>
        <w:autoSpaceDN w:val="0"/>
        <w:adjustRightInd w:val="0"/>
        <w:spacing w:before="120" w:after="0" w:line="240" w:lineRule="auto"/>
        <w:jc w:val="left"/>
        <w:rPr>
          <w:rFonts w:eastAsia="Times New Roman"/>
          <w:b/>
          <w:bCs/>
          <w:color w:val="000000"/>
          <w:sz w:val="23"/>
          <w:szCs w:val="23"/>
          <w:lang w:eastAsia="en-AU"/>
        </w:rPr>
      </w:pPr>
      <w:r w:rsidRPr="00B03057">
        <w:rPr>
          <w:rFonts w:eastAsia="Times New Roman"/>
          <w:b/>
          <w:bCs/>
          <w:color w:val="000000"/>
          <w:sz w:val="23"/>
          <w:szCs w:val="23"/>
          <w:lang w:eastAsia="en-AU"/>
        </w:rPr>
        <w:t>1—Extent of prohibition</w:t>
      </w:r>
    </w:p>
    <w:p w:rsidR="00B03057" w:rsidRPr="00B03057" w:rsidRDefault="00B03057" w:rsidP="00B03057">
      <w:pPr>
        <w:keepLines/>
        <w:autoSpaceDE w:val="0"/>
        <w:autoSpaceDN w:val="0"/>
        <w:adjustRightInd w:val="0"/>
        <w:spacing w:before="120" w:after="240" w:line="240" w:lineRule="auto"/>
        <w:ind w:left="709"/>
        <w:jc w:val="left"/>
        <w:rPr>
          <w:rFonts w:eastAsia="Times New Roman"/>
          <w:color w:val="000000"/>
          <w:sz w:val="23"/>
          <w:szCs w:val="23"/>
          <w:lang w:eastAsia="en-AU"/>
        </w:rPr>
      </w:pPr>
      <w:r w:rsidRPr="00B03057">
        <w:rPr>
          <w:rFonts w:eastAsia="Times New Roman"/>
          <w:color w:val="000000"/>
          <w:sz w:val="23"/>
          <w:szCs w:val="23"/>
          <w:lang w:eastAsia="en-AU"/>
        </w:rPr>
        <w:t>The consumption of liquor is prohibited and the possession of liquor is prohibited.</w:t>
      </w:r>
    </w:p>
    <w:p w:rsidR="00B03057" w:rsidRPr="00B03057" w:rsidRDefault="00B03057" w:rsidP="00B03057">
      <w:pPr>
        <w:keepNext/>
        <w:keepLines/>
        <w:autoSpaceDE w:val="0"/>
        <w:autoSpaceDN w:val="0"/>
        <w:adjustRightInd w:val="0"/>
        <w:spacing w:before="120" w:after="0" w:line="240" w:lineRule="auto"/>
        <w:jc w:val="left"/>
        <w:rPr>
          <w:rFonts w:eastAsia="Times New Roman"/>
          <w:b/>
          <w:bCs/>
          <w:color w:val="000000"/>
          <w:sz w:val="23"/>
          <w:szCs w:val="23"/>
          <w:lang w:eastAsia="en-AU"/>
        </w:rPr>
      </w:pPr>
      <w:r w:rsidRPr="00B03057">
        <w:rPr>
          <w:rFonts w:eastAsia="Times New Roman"/>
          <w:b/>
          <w:bCs/>
          <w:color w:val="000000"/>
          <w:sz w:val="23"/>
          <w:szCs w:val="23"/>
          <w:lang w:eastAsia="en-AU"/>
        </w:rPr>
        <w:t>2—Period of prohibition</w:t>
      </w:r>
    </w:p>
    <w:p w:rsidR="00B03057" w:rsidRPr="00B03057" w:rsidRDefault="00B03057" w:rsidP="00B03057">
      <w:pPr>
        <w:keepLines/>
        <w:autoSpaceDE w:val="0"/>
        <w:autoSpaceDN w:val="0"/>
        <w:adjustRightInd w:val="0"/>
        <w:spacing w:before="120" w:after="240" w:line="240" w:lineRule="auto"/>
        <w:ind w:left="709"/>
        <w:jc w:val="left"/>
        <w:rPr>
          <w:rFonts w:eastAsia="Times New Roman"/>
          <w:color w:val="000000"/>
          <w:sz w:val="23"/>
          <w:szCs w:val="23"/>
          <w:lang w:eastAsia="en-AU"/>
        </w:rPr>
      </w:pPr>
      <w:r w:rsidRPr="00B03057">
        <w:rPr>
          <w:rFonts w:eastAsia="Times New Roman"/>
          <w:color w:val="000000"/>
          <w:sz w:val="23"/>
          <w:szCs w:val="23"/>
          <w:lang w:eastAsia="en-AU"/>
        </w:rPr>
        <w:t>From 6pm on Wednesday 30 December 2020 to 6am on Saturday 2 January 2021.</w:t>
      </w:r>
    </w:p>
    <w:p w:rsidR="00B03057" w:rsidRPr="00B03057" w:rsidRDefault="00B03057" w:rsidP="00B03057">
      <w:pPr>
        <w:keepNext/>
        <w:keepLines/>
        <w:autoSpaceDE w:val="0"/>
        <w:autoSpaceDN w:val="0"/>
        <w:adjustRightInd w:val="0"/>
        <w:spacing w:before="120" w:after="0" w:line="240" w:lineRule="auto"/>
        <w:jc w:val="left"/>
        <w:rPr>
          <w:rFonts w:eastAsia="Times New Roman"/>
          <w:b/>
          <w:bCs/>
          <w:color w:val="000000"/>
          <w:sz w:val="23"/>
          <w:szCs w:val="23"/>
          <w:lang w:eastAsia="en-AU"/>
        </w:rPr>
      </w:pPr>
      <w:r w:rsidRPr="00B03057">
        <w:rPr>
          <w:rFonts w:eastAsia="Times New Roman"/>
          <w:b/>
          <w:bCs/>
          <w:color w:val="000000"/>
          <w:sz w:val="23"/>
          <w:szCs w:val="23"/>
          <w:lang w:eastAsia="en-AU"/>
        </w:rPr>
        <w:t>3—Description of area</w:t>
      </w:r>
    </w:p>
    <w:p w:rsidR="00B03057" w:rsidRPr="00B03057" w:rsidRDefault="00B03057" w:rsidP="00B03057">
      <w:pPr>
        <w:keepLines/>
        <w:autoSpaceDE w:val="0"/>
        <w:autoSpaceDN w:val="0"/>
        <w:adjustRightInd w:val="0"/>
        <w:spacing w:before="120" w:after="0" w:line="240" w:lineRule="auto"/>
        <w:ind w:left="709"/>
        <w:rPr>
          <w:rFonts w:eastAsia="Times New Roman"/>
          <w:color w:val="000000"/>
          <w:sz w:val="23"/>
          <w:szCs w:val="23"/>
          <w:lang w:eastAsia="en-AU"/>
        </w:rPr>
      </w:pPr>
      <w:r w:rsidRPr="00B03057">
        <w:rPr>
          <w:rFonts w:eastAsia="Times New Roman"/>
          <w:color w:val="000000"/>
          <w:sz w:val="23"/>
          <w:szCs w:val="23"/>
          <w:lang w:eastAsia="en-AU"/>
        </w:rPr>
        <w:t>The area in Goolwa Central and Port of Goolwa (generally known as the Wharf Precinct) and to be known as Goolwa Area 3 bounded as follows:</w:t>
      </w:r>
    </w:p>
    <w:p w:rsidR="00B03057" w:rsidRPr="00B03057" w:rsidRDefault="00B03057" w:rsidP="00B03057">
      <w:pPr>
        <w:keepLines/>
        <w:autoSpaceDE w:val="0"/>
        <w:autoSpaceDN w:val="0"/>
        <w:adjustRightInd w:val="0"/>
        <w:spacing w:before="120" w:after="240" w:line="240" w:lineRule="auto"/>
        <w:ind w:left="709"/>
        <w:rPr>
          <w:rFonts w:eastAsia="Times New Roman"/>
          <w:color w:val="000000"/>
          <w:sz w:val="23"/>
          <w:szCs w:val="23"/>
          <w:lang w:eastAsia="en-AU"/>
        </w:rPr>
      </w:pPr>
      <w:r w:rsidRPr="00B03057">
        <w:rPr>
          <w:rFonts w:eastAsia="Times New Roman"/>
          <w:color w:val="000000"/>
          <w:sz w:val="23"/>
          <w:szCs w:val="23"/>
          <w:lang w:eastAsia="en-AU"/>
        </w:rPr>
        <w:t>Commencing at the north eastern corner of Section 315, Hundred of Goolwa, and then due west to the eastern side of the railway reserve. Then follow the easterly side of the railway reserve until reaching the south western underside of the Goolwa and Hindmarsh Island Bridge. Head in a north westerly direction, along the south western side of Brooking Street, until the round-about intersection of Brooking Street, Liverpool Road and Goolwa Terrace. Follow the south eastern side of Goolwa Terrace until the intersection of Cadell Street and Goolwa Terrace. Traversing the north eastern side of Cadell Street, past the Cadell Street and Cutting Road intersection. Continue along Cadell Street and enter Hays Street then to the Hays Street and Porter Street intersection. Head south east to the Porter Street and Admiral Terrace intersection. Then head south west and continue along the eastern side of Admiral Terrace past the intersections of Goyder Street, Hutchinson Street, Sidmouth Street until the Admiral Terrace and Baronet Street intersection. Head east south east and traverse around the jetty and return to the eastern side of the boardwalk. Head north east along the eastern side of the boardwalk then a straight line, by the shortest route, to the southern side of the jetty. Then in a straight line by the shortest route to the south eastern side of the Goolwa Wharf. Traverse the south eastern side of the Goolwa Wharf under the Goolwa and Hindmarsh Island Bridge along the River Murray bank to the south eastern side of Section 315 returning to the point of commencement.</w:t>
      </w:r>
    </w:p>
    <w:p w:rsidR="00B03057" w:rsidRPr="00B03057" w:rsidRDefault="00B03057" w:rsidP="00B03057">
      <w:pPr>
        <w:rPr>
          <w:rFonts w:eastAsia="Times New Roman"/>
          <w:szCs w:val="17"/>
          <w:lang w:eastAsia="en-AU"/>
        </w:rPr>
      </w:pPr>
      <w:r w:rsidRPr="00B03057">
        <w:rPr>
          <w:rFonts w:eastAsia="Times New Roman"/>
          <w:szCs w:val="17"/>
          <w:lang w:eastAsia="en-AU"/>
        </w:rPr>
        <w:br w:type="page"/>
      </w:r>
    </w:p>
    <w:p w:rsidR="00B03057" w:rsidRPr="00B03057" w:rsidRDefault="00B03057" w:rsidP="00B03057">
      <w:pPr>
        <w:keepLines/>
        <w:autoSpaceDE w:val="0"/>
        <w:autoSpaceDN w:val="0"/>
        <w:adjustRightInd w:val="0"/>
        <w:spacing w:before="120" w:after="0" w:line="240" w:lineRule="auto"/>
        <w:jc w:val="left"/>
        <w:rPr>
          <w:rFonts w:eastAsia="Times New Roman"/>
          <w:b/>
          <w:bCs/>
          <w:color w:val="000000"/>
          <w:sz w:val="26"/>
          <w:szCs w:val="26"/>
          <w:lang w:eastAsia="en-AU"/>
        </w:rPr>
      </w:pPr>
      <w:r w:rsidRPr="00B03057">
        <w:rPr>
          <w:rFonts w:ascii="Calibri" w:eastAsia="Times New Roman" w:hAnsi="Calibri"/>
          <w:noProof/>
          <w:sz w:val="22"/>
          <w:lang w:eastAsia="en-AU"/>
        </w:rPr>
        <w:lastRenderedPageBreak/>
        <w:drawing>
          <wp:anchor distT="0" distB="0" distL="114300" distR="114300" simplePos="0" relativeHeight="251670016" behindDoc="0" locked="0" layoutInCell="1" allowOverlap="1" wp14:anchorId="6332095C" wp14:editId="119DF5C0">
            <wp:simplePos x="0" y="0"/>
            <wp:positionH relativeFrom="margin">
              <wp:align>center</wp:align>
            </wp:positionH>
            <wp:positionV relativeFrom="margin">
              <wp:align>top</wp:align>
            </wp:positionV>
            <wp:extent cx="4485640" cy="650494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485640" cy="6504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3057">
        <w:rPr>
          <w:rFonts w:eastAsia="Times New Roman"/>
          <w:b/>
          <w:bCs/>
          <w:color w:val="000000"/>
          <w:sz w:val="23"/>
          <w:szCs w:val="23"/>
          <w:lang w:eastAsia="en-AU"/>
        </w:rPr>
        <w:t>M</w:t>
      </w:r>
      <w:r w:rsidRPr="00B03057">
        <w:rPr>
          <w:rFonts w:eastAsia="Times New Roman"/>
          <w:b/>
          <w:bCs/>
          <w:color w:val="000000"/>
          <w:sz w:val="26"/>
          <w:szCs w:val="26"/>
          <w:lang w:eastAsia="en-AU"/>
        </w:rPr>
        <w:t>ade on behalf of the Liquor and Gambling Commissioner</w:t>
      </w:r>
    </w:p>
    <w:p w:rsidR="00B03057" w:rsidRPr="00B03057" w:rsidRDefault="00B03057" w:rsidP="00B03057">
      <w:pPr>
        <w:keepLines/>
        <w:autoSpaceDE w:val="0"/>
        <w:autoSpaceDN w:val="0"/>
        <w:adjustRightInd w:val="0"/>
        <w:spacing w:before="120" w:line="240" w:lineRule="auto"/>
        <w:jc w:val="left"/>
        <w:rPr>
          <w:rFonts w:eastAsia="Times New Roman"/>
          <w:color w:val="000000"/>
          <w:sz w:val="23"/>
          <w:szCs w:val="23"/>
          <w:lang w:eastAsia="en-AU"/>
        </w:rPr>
      </w:pPr>
      <w:r w:rsidRPr="00B03057">
        <w:rPr>
          <w:rFonts w:eastAsia="Times New Roman"/>
          <w:color w:val="000000"/>
          <w:sz w:val="23"/>
          <w:szCs w:val="23"/>
          <w:lang w:eastAsia="en-AU"/>
        </w:rPr>
        <w:t>on 14 December 2020</w:t>
      </w:r>
    </w:p>
    <w:p w:rsidR="00B03057" w:rsidRPr="00B03057" w:rsidRDefault="00B03057" w:rsidP="00B03057">
      <w:pPr>
        <w:pBdr>
          <w:top w:val="single" w:sz="4" w:space="1" w:color="auto"/>
        </w:pBdr>
        <w:autoSpaceDE w:val="0"/>
        <w:autoSpaceDN w:val="0"/>
        <w:adjustRightInd w:val="0"/>
        <w:spacing w:before="100" w:after="0" w:line="14" w:lineRule="exact"/>
        <w:jc w:val="center"/>
        <w:rPr>
          <w:rFonts w:eastAsia="Times New Roman"/>
          <w:color w:val="000000"/>
          <w:sz w:val="23"/>
          <w:szCs w:val="23"/>
          <w:lang w:eastAsia="en-AU"/>
        </w:rPr>
      </w:pPr>
    </w:p>
    <w:p w:rsidR="00B03057" w:rsidRPr="00B03057" w:rsidRDefault="00B03057" w:rsidP="00B03057">
      <w:pPr>
        <w:rPr>
          <w:rFonts w:eastAsia="Times New Roman"/>
          <w:szCs w:val="17"/>
        </w:rPr>
      </w:pPr>
    </w:p>
    <w:p w:rsidR="00B03057" w:rsidRDefault="00B03057">
      <w:pPr>
        <w:spacing w:after="0" w:line="240" w:lineRule="auto"/>
        <w:jc w:val="left"/>
        <w:rPr>
          <w:lang w:val="en-US"/>
        </w:rPr>
      </w:pPr>
      <w:r>
        <w:rPr>
          <w:lang w:val="en-US"/>
        </w:rPr>
        <w:br w:type="page"/>
      </w:r>
    </w:p>
    <w:p w:rsidR="00B03057" w:rsidRPr="00B03057" w:rsidRDefault="00B03057" w:rsidP="00B03057">
      <w:pPr>
        <w:jc w:val="center"/>
        <w:rPr>
          <w:caps/>
          <w:szCs w:val="17"/>
        </w:rPr>
      </w:pPr>
      <w:r w:rsidRPr="00B03057">
        <w:rPr>
          <w:caps/>
          <w:szCs w:val="17"/>
        </w:rPr>
        <w:lastRenderedPageBreak/>
        <w:t>Liquor Licensing Act 1997</w:t>
      </w:r>
    </w:p>
    <w:p w:rsidR="00B03057" w:rsidRPr="00B03057" w:rsidRDefault="00B03057" w:rsidP="00B03057">
      <w:pPr>
        <w:keepLines/>
        <w:autoSpaceDE w:val="0"/>
        <w:autoSpaceDN w:val="0"/>
        <w:adjustRightInd w:val="0"/>
        <w:spacing w:before="240" w:after="0" w:line="240" w:lineRule="auto"/>
        <w:jc w:val="left"/>
        <w:rPr>
          <w:rFonts w:eastAsia="Times New Roman"/>
          <w:color w:val="000000"/>
          <w:sz w:val="28"/>
          <w:szCs w:val="28"/>
          <w:lang w:eastAsia="en-AU"/>
        </w:rPr>
      </w:pPr>
      <w:r w:rsidRPr="00B03057">
        <w:rPr>
          <w:rFonts w:eastAsia="Times New Roman"/>
          <w:color w:val="000000"/>
          <w:sz w:val="28"/>
          <w:szCs w:val="28"/>
          <w:lang w:eastAsia="en-AU"/>
        </w:rPr>
        <w:t>South Australia</w:t>
      </w:r>
    </w:p>
    <w:p w:rsidR="00B03057" w:rsidRPr="00B03057" w:rsidRDefault="00B03057" w:rsidP="00B03057">
      <w:pPr>
        <w:keepLines/>
        <w:autoSpaceDE w:val="0"/>
        <w:autoSpaceDN w:val="0"/>
        <w:adjustRightInd w:val="0"/>
        <w:spacing w:before="120" w:after="200" w:line="240" w:lineRule="auto"/>
        <w:jc w:val="left"/>
        <w:rPr>
          <w:rFonts w:eastAsia="Times New Roman"/>
          <w:b/>
          <w:bCs/>
          <w:color w:val="000000"/>
          <w:sz w:val="36"/>
          <w:szCs w:val="36"/>
          <w:lang w:eastAsia="en-AU"/>
        </w:rPr>
      </w:pPr>
      <w:r w:rsidRPr="00B03057">
        <w:rPr>
          <w:rFonts w:eastAsia="Times New Roman"/>
          <w:b/>
          <w:bCs/>
          <w:color w:val="000000"/>
          <w:sz w:val="36"/>
          <w:szCs w:val="36"/>
          <w:lang w:eastAsia="en-AU"/>
        </w:rPr>
        <w:t>Liquor Licensing (Dry Areas) Notice 2020</w:t>
      </w:r>
    </w:p>
    <w:p w:rsidR="00B03057" w:rsidRPr="00B03057" w:rsidRDefault="00B03057" w:rsidP="00B03057">
      <w:pPr>
        <w:keepLines/>
        <w:autoSpaceDE w:val="0"/>
        <w:autoSpaceDN w:val="0"/>
        <w:adjustRightInd w:val="0"/>
        <w:spacing w:before="80" w:after="240" w:line="240" w:lineRule="auto"/>
        <w:jc w:val="left"/>
        <w:rPr>
          <w:rFonts w:eastAsia="Times New Roman"/>
          <w:color w:val="000000"/>
          <w:sz w:val="24"/>
          <w:szCs w:val="24"/>
          <w:lang w:eastAsia="en-AU"/>
        </w:rPr>
      </w:pPr>
      <w:r w:rsidRPr="00B03057">
        <w:rPr>
          <w:rFonts w:eastAsia="Times New Roman"/>
          <w:color w:val="000000"/>
          <w:sz w:val="24"/>
          <w:szCs w:val="24"/>
          <w:lang w:eastAsia="en-AU"/>
        </w:rPr>
        <w:t xml:space="preserve">under section 131(1a) of the </w:t>
      </w:r>
      <w:r w:rsidRPr="00B03057">
        <w:rPr>
          <w:rFonts w:eastAsia="Times New Roman"/>
          <w:i/>
          <w:iCs/>
          <w:color w:val="000000"/>
          <w:sz w:val="24"/>
          <w:szCs w:val="24"/>
          <w:lang w:eastAsia="en-AU"/>
        </w:rPr>
        <w:t>Liquor Licensing Act 1997</w:t>
      </w:r>
    </w:p>
    <w:p w:rsidR="00B03057" w:rsidRPr="00B03057" w:rsidRDefault="00B03057" w:rsidP="00B03057">
      <w:pPr>
        <w:keepNext/>
        <w:keepLines/>
        <w:autoSpaceDE w:val="0"/>
        <w:autoSpaceDN w:val="0"/>
        <w:adjustRightInd w:val="0"/>
        <w:spacing w:before="240" w:after="0" w:line="240" w:lineRule="auto"/>
        <w:ind w:left="567" w:hanging="567"/>
        <w:jc w:val="left"/>
        <w:rPr>
          <w:rFonts w:eastAsia="Times New Roman"/>
          <w:b/>
          <w:bCs/>
          <w:color w:val="000000"/>
          <w:sz w:val="26"/>
          <w:szCs w:val="26"/>
          <w:lang w:eastAsia="en-AU"/>
        </w:rPr>
      </w:pPr>
      <w:r w:rsidRPr="00B03057">
        <w:rPr>
          <w:rFonts w:eastAsia="Times New Roman"/>
          <w:b/>
          <w:bCs/>
          <w:color w:val="000000"/>
          <w:sz w:val="26"/>
          <w:szCs w:val="26"/>
          <w:lang w:eastAsia="en-AU"/>
        </w:rPr>
        <w:t>1—Short title</w:t>
      </w:r>
    </w:p>
    <w:p w:rsidR="00B03057" w:rsidRPr="00B03057" w:rsidRDefault="00B03057" w:rsidP="00B03057">
      <w:pPr>
        <w:keepLines/>
        <w:autoSpaceDE w:val="0"/>
        <w:autoSpaceDN w:val="0"/>
        <w:adjustRightInd w:val="0"/>
        <w:spacing w:before="120" w:after="0" w:line="240" w:lineRule="auto"/>
        <w:ind w:left="794"/>
        <w:jc w:val="left"/>
        <w:rPr>
          <w:rFonts w:eastAsia="Times New Roman"/>
          <w:color w:val="000000"/>
          <w:sz w:val="23"/>
          <w:szCs w:val="23"/>
          <w:lang w:eastAsia="en-AU"/>
        </w:rPr>
      </w:pPr>
      <w:r w:rsidRPr="00B03057">
        <w:rPr>
          <w:rFonts w:eastAsia="Times New Roman"/>
          <w:color w:val="000000"/>
          <w:sz w:val="23"/>
          <w:szCs w:val="23"/>
          <w:lang w:eastAsia="en-AU"/>
        </w:rPr>
        <w:t xml:space="preserve">This notice may be cited as the </w:t>
      </w:r>
      <w:hyperlink r:id="rId102" w:history="1">
        <w:r w:rsidRPr="00B03057">
          <w:rPr>
            <w:rFonts w:eastAsia="Times New Roman"/>
            <w:i/>
            <w:iCs/>
            <w:color w:val="000000"/>
            <w:sz w:val="23"/>
            <w:szCs w:val="23"/>
            <w:lang w:eastAsia="en-AU"/>
          </w:rPr>
          <w:t>Liquor Licensing (Dry Areas) Notice 20</w:t>
        </w:r>
      </w:hyperlink>
      <w:r w:rsidRPr="00B03057">
        <w:rPr>
          <w:rFonts w:eastAsia="Times New Roman"/>
          <w:i/>
          <w:iCs/>
          <w:color w:val="000000"/>
          <w:sz w:val="23"/>
          <w:szCs w:val="23"/>
          <w:lang w:eastAsia="en-AU"/>
        </w:rPr>
        <w:t>20</w:t>
      </w:r>
      <w:r w:rsidRPr="00B03057">
        <w:rPr>
          <w:rFonts w:eastAsia="Times New Roman"/>
          <w:color w:val="000000"/>
          <w:sz w:val="23"/>
          <w:szCs w:val="23"/>
          <w:lang w:eastAsia="en-AU"/>
        </w:rPr>
        <w:t>.</w:t>
      </w:r>
    </w:p>
    <w:p w:rsidR="00B03057" w:rsidRPr="00B03057" w:rsidRDefault="00B03057" w:rsidP="00B03057">
      <w:pPr>
        <w:keepNext/>
        <w:keepLines/>
        <w:autoSpaceDE w:val="0"/>
        <w:autoSpaceDN w:val="0"/>
        <w:adjustRightInd w:val="0"/>
        <w:spacing w:before="240" w:after="0" w:line="240" w:lineRule="auto"/>
        <w:ind w:left="567" w:hanging="567"/>
        <w:jc w:val="left"/>
        <w:rPr>
          <w:rFonts w:eastAsia="Times New Roman"/>
          <w:b/>
          <w:bCs/>
          <w:color w:val="000000"/>
          <w:sz w:val="26"/>
          <w:szCs w:val="26"/>
          <w:lang w:eastAsia="en-AU"/>
        </w:rPr>
      </w:pPr>
      <w:r w:rsidRPr="00B03057">
        <w:rPr>
          <w:rFonts w:eastAsia="Times New Roman"/>
          <w:b/>
          <w:bCs/>
          <w:color w:val="000000"/>
          <w:sz w:val="26"/>
          <w:szCs w:val="26"/>
          <w:lang w:eastAsia="en-AU"/>
        </w:rPr>
        <w:t>2—Commencement</w:t>
      </w:r>
    </w:p>
    <w:p w:rsidR="00B03057" w:rsidRPr="00B03057" w:rsidRDefault="00B03057" w:rsidP="00B03057">
      <w:pPr>
        <w:keepLines/>
        <w:autoSpaceDE w:val="0"/>
        <w:autoSpaceDN w:val="0"/>
        <w:adjustRightInd w:val="0"/>
        <w:spacing w:before="120" w:after="0" w:line="240" w:lineRule="auto"/>
        <w:ind w:left="794"/>
        <w:jc w:val="left"/>
        <w:rPr>
          <w:rFonts w:eastAsia="Times New Roman"/>
          <w:color w:val="000000"/>
          <w:sz w:val="23"/>
          <w:szCs w:val="23"/>
          <w:lang w:eastAsia="en-AU"/>
        </w:rPr>
      </w:pPr>
      <w:r w:rsidRPr="00B03057">
        <w:rPr>
          <w:rFonts w:eastAsia="Times New Roman"/>
          <w:color w:val="000000"/>
          <w:sz w:val="23"/>
          <w:szCs w:val="23"/>
          <w:lang w:eastAsia="en-AU"/>
        </w:rPr>
        <w:t>This notice comes into operation on 30 December 2020.</w:t>
      </w:r>
    </w:p>
    <w:p w:rsidR="00B03057" w:rsidRPr="00B03057" w:rsidRDefault="00B03057" w:rsidP="00B03057">
      <w:pPr>
        <w:keepNext/>
        <w:keepLines/>
        <w:autoSpaceDE w:val="0"/>
        <w:autoSpaceDN w:val="0"/>
        <w:adjustRightInd w:val="0"/>
        <w:spacing w:before="240" w:after="0" w:line="240" w:lineRule="auto"/>
        <w:ind w:left="567" w:hanging="567"/>
        <w:jc w:val="left"/>
        <w:rPr>
          <w:rFonts w:eastAsia="Times New Roman"/>
          <w:b/>
          <w:bCs/>
          <w:color w:val="000000"/>
          <w:sz w:val="26"/>
          <w:szCs w:val="26"/>
          <w:lang w:eastAsia="en-AU"/>
        </w:rPr>
      </w:pPr>
      <w:r w:rsidRPr="00B03057">
        <w:rPr>
          <w:rFonts w:eastAsia="Times New Roman"/>
          <w:b/>
          <w:bCs/>
          <w:color w:val="000000"/>
          <w:sz w:val="26"/>
          <w:szCs w:val="26"/>
          <w:lang w:eastAsia="en-AU"/>
        </w:rPr>
        <w:t>3—Interpretation</w:t>
      </w:r>
    </w:p>
    <w:p w:rsidR="00B03057" w:rsidRPr="00B03057" w:rsidRDefault="00B03057" w:rsidP="00B0305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03057">
        <w:rPr>
          <w:rFonts w:eastAsia="Times New Roman"/>
          <w:color w:val="000000"/>
          <w:sz w:val="23"/>
          <w:szCs w:val="23"/>
          <w:lang w:eastAsia="en-AU"/>
        </w:rPr>
        <w:tab/>
        <w:t>(1)</w:t>
      </w:r>
      <w:r w:rsidRPr="00B03057">
        <w:rPr>
          <w:rFonts w:eastAsia="Times New Roman"/>
          <w:color w:val="000000"/>
          <w:sz w:val="23"/>
          <w:szCs w:val="23"/>
          <w:lang w:eastAsia="en-AU"/>
        </w:rPr>
        <w:tab/>
        <w:t>In this notice—</w:t>
      </w:r>
    </w:p>
    <w:p w:rsidR="00B03057" w:rsidRPr="00B03057" w:rsidRDefault="00B03057" w:rsidP="00B03057">
      <w:pPr>
        <w:keepLines/>
        <w:autoSpaceDE w:val="0"/>
        <w:autoSpaceDN w:val="0"/>
        <w:adjustRightInd w:val="0"/>
        <w:spacing w:before="120" w:after="0" w:line="240" w:lineRule="auto"/>
        <w:ind w:left="794"/>
        <w:jc w:val="left"/>
        <w:rPr>
          <w:rFonts w:eastAsia="Times New Roman"/>
          <w:color w:val="000000"/>
          <w:sz w:val="23"/>
          <w:szCs w:val="23"/>
          <w:lang w:eastAsia="en-AU"/>
        </w:rPr>
      </w:pPr>
      <w:r w:rsidRPr="00B03057">
        <w:rPr>
          <w:rFonts w:eastAsia="Times New Roman"/>
          <w:b/>
          <w:bCs/>
          <w:i/>
          <w:iCs/>
          <w:color w:val="000000"/>
          <w:sz w:val="23"/>
          <w:szCs w:val="23"/>
          <w:lang w:eastAsia="en-AU"/>
        </w:rPr>
        <w:t>principal notice</w:t>
      </w:r>
      <w:r w:rsidRPr="00B03057">
        <w:rPr>
          <w:rFonts w:eastAsia="Times New Roman"/>
          <w:color w:val="000000"/>
          <w:sz w:val="23"/>
          <w:szCs w:val="23"/>
          <w:lang w:eastAsia="en-AU"/>
        </w:rPr>
        <w:t xml:space="preserve"> means the </w:t>
      </w:r>
      <w:hyperlink r:id="rId103" w:history="1">
        <w:r w:rsidRPr="00B03057">
          <w:rPr>
            <w:rFonts w:eastAsia="Times New Roman"/>
            <w:i/>
            <w:iCs/>
            <w:color w:val="000000"/>
            <w:sz w:val="23"/>
            <w:szCs w:val="23"/>
            <w:lang w:eastAsia="en-AU"/>
          </w:rPr>
          <w:t>Liquor Licensing (Dry Areas) Notice 2015</w:t>
        </w:r>
      </w:hyperlink>
      <w:r w:rsidRPr="00B03057">
        <w:rPr>
          <w:rFonts w:eastAsia="Times New Roman"/>
          <w:color w:val="000000"/>
          <w:sz w:val="23"/>
          <w:szCs w:val="23"/>
          <w:lang w:eastAsia="en-AU"/>
        </w:rPr>
        <w:t xml:space="preserve"> published in the Gazette on 5.1.15, as in force from time to time.</w:t>
      </w:r>
    </w:p>
    <w:p w:rsidR="00B03057" w:rsidRPr="00B03057" w:rsidRDefault="00B03057" w:rsidP="00B0305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03057">
        <w:rPr>
          <w:rFonts w:eastAsia="Times New Roman"/>
          <w:color w:val="000000"/>
          <w:sz w:val="23"/>
          <w:szCs w:val="23"/>
          <w:lang w:eastAsia="en-AU"/>
        </w:rPr>
        <w:tab/>
        <w:t>(2)</w:t>
      </w:r>
      <w:r w:rsidRPr="00B03057">
        <w:rPr>
          <w:rFonts w:eastAsia="Times New Roman"/>
          <w:color w:val="000000"/>
          <w:sz w:val="23"/>
          <w:szCs w:val="23"/>
          <w:lang w:eastAsia="en-AU"/>
        </w:rPr>
        <w:tab/>
        <w:t>Clause 3 of the principal notice applies to this notice as if it were the principal notice.</w:t>
      </w:r>
    </w:p>
    <w:p w:rsidR="00B03057" w:rsidRPr="00B03057" w:rsidRDefault="00B03057" w:rsidP="00B03057">
      <w:pPr>
        <w:keepNext/>
        <w:keepLines/>
        <w:autoSpaceDE w:val="0"/>
        <w:autoSpaceDN w:val="0"/>
        <w:adjustRightInd w:val="0"/>
        <w:spacing w:before="240" w:after="0" w:line="240" w:lineRule="auto"/>
        <w:ind w:left="567" w:hanging="567"/>
        <w:jc w:val="left"/>
        <w:rPr>
          <w:rFonts w:eastAsia="Times New Roman"/>
          <w:b/>
          <w:bCs/>
          <w:color w:val="000000"/>
          <w:sz w:val="26"/>
          <w:szCs w:val="26"/>
          <w:lang w:eastAsia="en-AU"/>
        </w:rPr>
      </w:pPr>
      <w:r w:rsidRPr="00B03057">
        <w:rPr>
          <w:rFonts w:eastAsia="Times New Roman"/>
          <w:b/>
          <w:bCs/>
          <w:color w:val="000000"/>
          <w:sz w:val="26"/>
          <w:szCs w:val="26"/>
          <w:lang w:eastAsia="en-AU"/>
        </w:rPr>
        <w:t>4—Consumption etc of liquor prohibited in dry areas</w:t>
      </w:r>
    </w:p>
    <w:p w:rsidR="00B03057" w:rsidRPr="00B03057" w:rsidRDefault="00B03057" w:rsidP="00B0305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03057">
        <w:rPr>
          <w:rFonts w:eastAsia="Times New Roman"/>
          <w:color w:val="000000"/>
          <w:sz w:val="23"/>
          <w:szCs w:val="23"/>
          <w:lang w:eastAsia="en-AU"/>
        </w:rPr>
        <w:tab/>
        <w:t>(1)</w:t>
      </w:r>
      <w:r w:rsidRPr="00B03057">
        <w:rPr>
          <w:rFonts w:eastAsia="Times New Roman"/>
          <w:color w:val="000000"/>
          <w:sz w:val="23"/>
          <w:szCs w:val="23"/>
          <w:lang w:eastAsia="en-AU"/>
        </w:rPr>
        <w:tab/>
        <w:t>Pursuant to section 131 of the Act, the consumption and possession of liquor in the area described in the Schedule is prohibited in accordance with the provisions of the Schedule.</w:t>
      </w:r>
    </w:p>
    <w:p w:rsidR="00B03057" w:rsidRPr="00B03057" w:rsidRDefault="00B03057" w:rsidP="00B0305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03057">
        <w:rPr>
          <w:rFonts w:eastAsia="Times New Roman"/>
          <w:color w:val="000000"/>
          <w:sz w:val="23"/>
          <w:szCs w:val="23"/>
          <w:lang w:eastAsia="en-AU"/>
        </w:rPr>
        <w:tab/>
        <w:t>(2)</w:t>
      </w:r>
      <w:r w:rsidRPr="00B03057">
        <w:rPr>
          <w:rFonts w:eastAsia="Times New Roman"/>
          <w:color w:val="000000"/>
          <w:sz w:val="23"/>
          <w:szCs w:val="23"/>
          <w:lang w:eastAsia="en-AU"/>
        </w:rPr>
        <w:tab/>
        <w:t>The prohibition has effect during the periods specified in the Schedule.</w:t>
      </w:r>
    </w:p>
    <w:p w:rsidR="00B03057" w:rsidRPr="00B03057" w:rsidRDefault="00B03057" w:rsidP="00B0305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03057">
        <w:rPr>
          <w:rFonts w:eastAsia="Times New Roman"/>
          <w:color w:val="000000"/>
          <w:sz w:val="23"/>
          <w:szCs w:val="23"/>
          <w:lang w:eastAsia="en-AU"/>
        </w:rPr>
        <w:tab/>
        <w:t>(3)</w:t>
      </w:r>
      <w:r w:rsidRPr="00B03057">
        <w:rPr>
          <w:rFonts w:eastAsia="Times New Roman"/>
          <w:color w:val="000000"/>
          <w:sz w:val="23"/>
          <w:szCs w:val="23"/>
          <w:lang w:eastAsia="en-AU"/>
        </w:rPr>
        <w:tab/>
        <w:t>The prohibition does not extend to private land in the area described in the Schedule.</w:t>
      </w:r>
    </w:p>
    <w:p w:rsidR="00B03057" w:rsidRPr="00B03057" w:rsidRDefault="00B03057" w:rsidP="00B0305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03057">
        <w:rPr>
          <w:rFonts w:eastAsia="Times New Roman"/>
          <w:color w:val="000000"/>
          <w:sz w:val="23"/>
          <w:szCs w:val="23"/>
          <w:lang w:eastAsia="en-AU"/>
        </w:rPr>
        <w:tab/>
        <w:t>(4)</w:t>
      </w:r>
      <w:r w:rsidRPr="00B03057">
        <w:rPr>
          <w:rFonts w:eastAsia="Times New Roman"/>
          <w:color w:val="000000"/>
          <w:sz w:val="23"/>
          <w:szCs w:val="23"/>
          <w:lang w:eastAsia="en-AU"/>
        </w:rPr>
        <w:tab/>
        <w:t>Unless the contrary intention appears, the prohibition of the possession of liquor in the area does not extend to—</w:t>
      </w:r>
    </w:p>
    <w:p w:rsidR="00B03057" w:rsidRPr="00B03057" w:rsidRDefault="00B03057" w:rsidP="00B0305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03057">
        <w:rPr>
          <w:rFonts w:eastAsia="Times New Roman"/>
          <w:color w:val="000000"/>
          <w:sz w:val="23"/>
          <w:szCs w:val="23"/>
          <w:lang w:eastAsia="en-AU"/>
        </w:rPr>
        <w:tab/>
        <w:t>(a)</w:t>
      </w:r>
      <w:r w:rsidRPr="00B03057">
        <w:rPr>
          <w:rFonts w:eastAsia="Times New Roman"/>
          <w:color w:val="000000"/>
          <w:sz w:val="23"/>
          <w:szCs w:val="23"/>
          <w:lang w:eastAsia="en-AU"/>
        </w:rPr>
        <w:tab/>
        <w:t>a person who is genuinely passing through the area if—</w:t>
      </w:r>
    </w:p>
    <w:p w:rsidR="00B03057" w:rsidRPr="00B03057" w:rsidRDefault="00B03057" w:rsidP="00B0305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03057">
        <w:rPr>
          <w:rFonts w:eastAsia="Times New Roman"/>
          <w:color w:val="000000"/>
          <w:sz w:val="23"/>
          <w:szCs w:val="23"/>
          <w:lang w:eastAsia="en-AU"/>
        </w:rPr>
        <w:tab/>
        <w:t>(i)</w:t>
      </w:r>
      <w:r w:rsidRPr="00B03057">
        <w:rPr>
          <w:rFonts w:eastAsia="Times New Roman"/>
          <w:color w:val="000000"/>
          <w:sz w:val="23"/>
          <w:szCs w:val="23"/>
          <w:lang w:eastAsia="en-AU"/>
        </w:rPr>
        <w:tab/>
        <w:t>the liquor is in the original container in which it was purchased from licensed premises; and</w:t>
      </w:r>
    </w:p>
    <w:p w:rsidR="00B03057" w:rsidRPr="00B03057" w:rsidRDefault="00B03057" w:rsidP="00B0305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03057">
        <w:rPr>
          <w:rFonts w:eastAsia="Times New Roman"/>
          <w:color w:val="000000"/>
          <w:sz w:val="23"/>
          <w:szCs w:val="23"/>
          <w:lang w:eastAsia="en-AU"/>
        </w:rPr>
        <w:tab/>
        <w:t>(ii)</w:t>
      </w:r>
      <w:r w:rsidRPr="00B03057">
        <w:rPr>
          <w:rFonts w:eastAsia="Times New Roman"/>
          <w:color w:val="000000"/>
          <w:sz w:val="23"/>
          <w:szCs w:val="23"/>
          <w:lang w:eastAsia="en-AU"/>
        </w:rPr>
        <w:tab/>
        <w:t>the container has not been opened; or</w:t>
      </w:r>
    </w:p>
    <w:p w:rsidR="00B03057" w:rsidRPr="00B03057" w:rsidRDefault="00B03057" w:rsidP="00B0305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03057">
        <w:rPr>
          <w:rFonts w:eastAsia="Times New Roman"/>
          <w:color w:val="000000"/>
          <w:sz w:val="23"/>
          <w:szCs w:val="23"/>
          <w:lang w:eastAsia="en-AU"/>
        </w:rPr>
        <w:tab/>
        <w:t>(b)</w:t>
      </w:r>
      <w:r w:rsidRPr="00B03057">
        <w:rPr>
          <w:rFonts w:eastAsia="Times New Roman"/>
          <w:color w:val="000000"/>
          <w:sz w:val="23"/>
          <w:szCs w:val="23"/>
          <w:lang w:eastAsia="en-AU"/>
        </w:rPr>
        <w:tab/>
        <w:t>a person who has possession of the liquor in the course of carrying on a business or in the course of his or her employment by another person in the course of carrying on a business; or</w:t>
      </w:r>
    </w:p>
    <w:p w:rsidR="00B03057" w:rsidRPr="00B03057" w:rsidRDefault="00B03057" w:rsidP="00B0305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03057">
        <w:rPr>
          <w:rFonts w:eastAsia="Times New Roman"/>
          <w:color w:val="000000"/>
          <w:sz w:val="23"/>
          <w:szCs w:val="23"/>
          <w:lang w:eastAsia="en-AU"/>
        </w:rPr>
        <w:tab/>
        <w:t>(c)</w:t>
      </w:r>
      <w:r w:rsidRPr="00B03057">
        <w:rPr>
          <w:rFonts w:eastAsia="Times New Roman"/>
          <w:color w:val="000000"/>
          <w:sz w:val="23"/>
          <w:szCs w:val="23"/>
          <w:lang w:eastAsia="en-AU"/>
        </w:rPr>
        <w:tab/>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rsidR="00B03057" w:rsidRPr="00B03057" w:rsidRDefault="00B03057" w:rsidP="00B03057">
      <w:pPr>
        <w:rPr>
          <w:rFonts w:eastAsia="Times New Roman"/>
          <w:b/>
          <w:bCs/>
          <w:color w:val="000000"/>
          <w:sz w:val="32"/>
          <w:szCs w:val="32"/>
          <w:lang w:eastAsia="en-AU"/>
        </w:rPr>
      </w:pPr>
      <w:r w:rsidRPr="00B03057">
        <w:rPr>
          <w:rFonts w:eastAsia="Times New Roman"/>
          <w:b/>
          <w:bCs/>
          <w:color w:val="000000"/>
          <w:sz w:val="32"/>
          <w:szCs w:val="32"/>
          <w:lang w:eastAsia="en-AU"/>
        </w:rPr>
        <w:br w:type="page"/>
      </w:r>
    </w:p>
    <w:p w:rsidR="00B03057" w:rsidRPr="00B03057" w:rsidRDefault="00B03057" w:rsidP="00B03057">
      <w:pPr>
        <w:spacing w:before="120" w:after="120" w:line="240" w:lineRule="auto"/>
        <w:rPr>
          <w:rFonts w:eastAsia="Times New Roman"/>
          <w:b/>
          <w:bCs/>
          <w:color w:val="000000"/>
          <w:sz w:val="32"/>
          <w:szCs w:val="32"/>
          <w:lang w:eastAsia="en-AU"/>
        </w:rPr>
      </w:pPr>
      <w:r w:rsidRPr="00B03057">
        <w:rPr>
          <w:rFonts w:eastAsia="Times New Roman"/>
          <w:b/>
          <w:bCs/>
          <w:color w:val="000000"/>
          <w:sz w:val="32"/>
          <w:szCs w:val="32"/>
          <w:lang w:eastAsia="en-AU"/>
        </w:rPr>
        <w:lastRenderedPageBreak/>
        <w:t>Schedule—Middleton Area 1</w:t>
      </w:r>
    </w:p>
    <w:p w:rsidR="00B03057" w:rsidRPr="00B03057" w:rsidRDefault="00B03057" w:rsidP="00B03057">
      <w:pPr>
        <w:keepNext/>
        <w:keepLines/>
        <w:autoSpaceDE w:val="0"/>
        <w:autoSpaceDN w:val="0"/>
        <w:adjustRightInd w:val="0"/>
        <w:spacing w:before="120" w:after="0" w:line="240" w:lineRule="auto"/>
        <w:jc w:val="left"/>
        <w:rPr>
          <w:rFonts w:eastAsia="Times New Roman"/>
          <w:b/>
          <w:bCs/>
          <w:color w:val="000000"/>
          <w:sz w:val="23"/>
          <w:szCs w:val="23"/>
          <w:lang w:eastAsia="en-AU"/>
        </w:rPr>
      </w:pPr>
      <w:r w:rsidRPr="00B03057">
        <w:rPr>
          <w:rFonts w:eastAsia="Times New Roman"/>
          <w:b/>
          <w:bCs/>
          <w:color w:val="000000"/>
          <w:sz w:val="23"/>
          <w:szCs w:val="23"/>
          <w:lang w:eastAsia="en-AU"/>
        </w:rPr>
        <w:t>1—Extent of prohibition</w:t>
      </w:r>
    </w:p>
    <w:p w:rsidR="00B03057" w:rsidRPr="00B03057" w:rsidRDefault="00B03057" w:rsidP="00B03057">
      <w:pPr>
        <w:keepLines/>
        <w:autoSpaceDE w:val="0"/>
        <w:autoSpaceDN w:val="0"/>
        <w:adjustRightInd w:val="0"/>
        <w:spacing w:before="120" w:after="120" w:line="240" w:lineRule="auto"/>
        <w:ind w:left="709"/>
        <w:jc w:val="left"/>
        <w:rPr>
          <w:rFonts w:eastAsia="Times New Roman"/>
          <w:color w:val="000000"/>
          <w:sz w:val="23"/>
          <w:szCs w:val="23"/>
          <w:lang w:eastAsia="en-AU"/>
        </w:rPr>
      </w:pPr>
      <w:r w:rsidRPr="00B03057">
        <w:rPr>
          <w:rFonts w:eastAsia="Times New Roman"/>
          <w:color w:val="000000"/>
          <w:sz w:val="23"/>
          <w:szCs w:val="23"/>
          <w:lang w:eastAsia="en-AU"/>
        </w:rPr>
        <w:t>The consumption of liquor is prohibited and the possession of liquor is prohibited</w:t>
      </w:r>
    </w:p>
    <w:p w:rsidR="00B03057" w:rsidRPr="00B03057" w:rsidRDefault="00B03057" w:rsidP="00B03057">
      <w:pPr>
        <w:keepNext/>
        <w:keepLines/>
        <w:autoSpaceDE w:val="0"/>
        <w:autoSpaceDN w:val="0"/>
        <w:adjustRightInd w:val="0"/>
        <w:spacing w:before="120" w:after="0" w:line="240" w:lineRule="auto"/>
        <w:jc w:val="left"/>
        <w:rPr>
          <w:rFonts w:eastAsia="Times New Roman"/>
          <w:b/>
          <w:bCs/>
          <w:color w:val="000000"/>
          <w:sz w:val="23"/>
          <w:szCs w:val="23"/>
          <w:lang w:eastAsia="en-AU"/>
        </w:rPr>
      </w:pPr>
      <w:r w:rsidRPr="00B03057">
        <w:rPr>
          <w:rFonts w:eastAsia="Times New Roman"/>
          <w:b/>
          <w:bCs/>
          <w:color w:val="000000"/>
          <w:sz w:val="23"/>
          <w:szCs w:val="23"/>
          <w:lang w:eastAsia="en-AU"/>
        </w:rPr>
        <w:t>2—Period of prohibition</w:t>
      </w:r>
    </w:p>
    <w:p w:rsidR="00B03057" w:rsidRPr="00B03057" w:rsidRDefault="00B03057" w:rsidP="00B03057">
      <w:pPr>
        <w:keepLines/>
        <w:autoSpaceDE w:val="0"/>
        <w:autoSpaceDN w:val="0"/>
        <w:adjustRightInd w:val="0"/>
        <w:spacing w:before="120" w:after="120" w:line="240" w:lineRule="auto"/>
        <w:ind w:left="709"/>
        <w:jc w:val="left"/>
        <w:rPr>
          <w:rFonts w:eastAsia="Times New Roman"/>
          <w:color w:val="000000"/>
          <w:sz w:val="23"/>
          <w:szCs w:val="23"/>
          <w:lang w:eastAsia="en-AU"/>
        </w:rPr>
      </w:pPr>
      <w:r w:rsidRPr="00B03057">
        <w:rPr>
          <w:rFonts w:eastAsia="Times New Roman"/>
          <w:color w:val="000000"/>
          <w:sz w:val="23"/>
          <w:szCs w:val="23"/>
          <w:lang w:eastAsia="en-AU"/>
        </w:rPr>
        <w:t>From 6pm on Wednesday 30 December 2020 to 6am on Saturday 2 January 2021.</w:t>
      </w:r>
    </w:p>
    <w:p w:rsidR="00B03057" w:rsidRPr="00B03057" w:rsidRDefault="00B03057" w:rsidP="00B03057">
      <w:pPr>
        <w:keepNext/>
        <w:keepLines/>
        <w:autoSpaceDE w:val="0"/>
        <w:autoSpaceDN w:val="0"/>
        <w:adjustRightInd w:val="0"/>
        <w:spacing w:before="120" w:after="0" w:line="240" w:lineRule="auto"/>
        <w:jc w:val="left"/>
        <w:rPr>
          <w:rFonts w:eastAsia="Times New Roman"/>
          <w:b/>
          <w:bCs/>
          <w:color w:val="000000"/>
          <w:sz w:val="23"/>
          <w:szCs w:val="23"/>
          <w:lang w:eastAsia="en-AU"/>
        </w:rPr>
      </w:pPr>
      <w:r w:rsidRPr="00B03057">
        <w:rPr>
          <w:rFonts w:eastAsia="Times New Roman"/>
          <w:b/>
          <w:bCs/>
          <w:color w:val="000000"/>
          <w:sz w:val="23"/>
          <w:szCs w:val="23"/>
          <w:lang w:eastAsia="en-AU"/>
        </w:rPr>
        <w:t>3—Description of area</w:t>
      </w:r>
    </w:p>
    <w:p w:rsidR="00B03057" w:rsidRPr="00B03057" w:rsidRDefault="00B03057" w:rsidP="00B03057">
      <w:pPr>
        <w:keepLines/>
        <w:autoSpaceDE w:val="0"/>
        <w:autoSpaceDN w:val="0"/>
        <w:adjustRightInd w:val="0"/>
        <w:spacing w:before="120" w:after="120" w:line="240" w:lineRule="auto"/>
        <w:ind w:left="709"/>
        <w:rPr>
          <w:rFonts w:eastAsia="Times New Roman"/>
          <w:color w:val="000000"/>
          <w:sz w:val="23"/>
          <w:szCs w:val="23"/>
          <w:lang w:eastAsia="en-AU"/>
        </w:rPr>
      </w:pPr>
      <w:r w:rsidRPr="00B03057">
        <w:rPr>
          <w:rFonts w:eastAsia="Times New Roman"/>
          <w:color w:val="000000"/>
          <w:sz w:val="23"/>
          <w:szCs w:val="23"/>
          <w:lang w:eastAsia="en-AU"/>
        </w:rPr>
        <w:t>The area in and adjacent to Middleton bounded as follows: commencing at the point at which the prolongation in a straight line of the western boundary of Basham Beach Road intersects the high water mark of Encounter Bay, then north westerly along that prolongation and boundary to the point at which it is intersected by the prolongation in a straight line of the southern boundary of Set Road, then north easterly along that prolongation and boundary of Set Road to the western boundary of Seaview Avenue, then generally south easterly and north easterly along that boundary of Seaview Avenue to the point at which it meets the eastern boundary of Lot 101 DP 10654, then south easterly along that boundary of Lot 101 to the south western corner of Lot 19 DP 3145, then generally north easterly along the south eastern boundary of Lot 19, the south eastern boundaries of the adjoining Lots and the northern boundary of Ocean Parade to the south eastern corner of Lot 133 FP 166507, then generally north easterly and northerly along the easternmost boundaries of Lot 133 and the adjoining Lots (including the eastern boundary of Dover Road) to the north eastern corner of Lot 39 DP 3262, then in a straight line by the shortest route to the north western corner of Lot 160 DP 9417, then easterly along the southern boundary of the Esplanade to the western boundary of Lot 3 DP 13398, then northerly, easterly and southerly along the western, northern and eastern boundaries of that Lot to its south eastern corner, then along the northern boundary of Section 345, Hundred of Goolwa, (the southern boundary of Surfer's Parade) to the point at which it is intersected by the prolongation in a straight line of the eastern boundary of Lot 39 DP 6156, then along that prolongation to the point at which it intersects the high water mark of Encounter Bay, then generally westerly and south westerly along the high water mark to the point of commencement.</w:t>
      </w:r>
    </w:p>
    <w:p w:rsidR="00B03057" w:rsidRPr="00B03057" w:rsidRDefault="00B03057" w:rsidP="00B03057">
      <w:pPr>
        <w:rPr>
          <w:rFonts w:eastAsia="Times New Roman"/>
          <w:szCs w:val="17"/>
          <w:lang w:eastAsia="en-AU"/>
        </w:rPr>
      </w:pPr>
      <w:r w:rsidRPr="00B03057">
        <w:rPr>
          <w:rFonts w:eastAsia="Times New Roman"/>
          <w:szCs w:val="17"/>
          <w:lang w:eastAsia="en-AU"/>
        </w:rPr>
        <w:br w:type="page"/>
      </w:r>
    </w:p>
    <w:p w:rsidR="00B03057" w:rsidRPr="00B03057" w:rsidRDefault="00B03057" w:rsidP="00B03057">
      <w:pPr>
        <w:keepLines/>
        <w:autoSpaceDE w:val="0"/>
        <w:autoSpaceDN w:val="0"/>
        <w:adjustRightInd w:val="0"/>
        <w:spacing w:before="240" w:after="120" w:line="240" w:lineRule="auto"/>
        <w:rPr>
          <w:rFonts w:eastAsia="Times New Roman"/>
          <w:b/>
          <w:bCs/>
          <w:color w:val="000000"/>
          <w:sz w:val="26"/>
          <w:szCs w:val="26"/>
          <w:lang w:eastAsia="en-AU"/>
        </w:rPr>
      </w:pPr>
      <w:r w:rsidRPr="00B03057">
        <w:rPr>
          <w:rFonts w:eastAsia="Times New Roman"/>
          <w:noProof/>
          <w:color w:val="000000"/>
          <w:sz w:val="23"/>
          <w:szCs w:val="23"/>
          <w:lang w:eastAsia="en-AU"/>
        </w:rPr>
        <w:lastRenderedPageBreak/>
        <w:drawing>
          <wp:anchor distT="0" distB="0" distL="114300" distR="114300" simplePos="0" relativeHeight="251672064" behindDoc="1" locked="0" layoutInCell="1" allowOverlap="1" wp14:anchorId="7424BFA1" wp14:editId="40D87AC6">
            <wp:simplePos x="0" y="0"/>
            <wp:positionH relativeFrom="margin">
              <wp:posOffset>476885</wp:posOffset>
            </wp:positionH>
            <wp:positionV relativeFrom="paragraph">
              <wp:posOffset>146050</wp:posOffset>
            </wp:positionV>
            <wp:extent cx="4791710" cy="3289300"/>
            <wp:effectExtent l="0" t="0" r="8890" b="635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791710" cy="328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3057">
        <w:rPr>
          <w:rFonts w:eastAsia="Times New Roman"/>
          <w:b/>
          <w:bCs/>
          <w:color w:val="000000"/>
          <w:sz w:val="23"/>
          <w:szCs w:val="23"/>
          <w:lang w:eastAsia="en-AU"/>
        </w:rPr>
        <w:t>M</w:t>
      </w:r>
      <w:r w:rsidRPr="00B03057">
        <w:rPr>
          <w:rFonts w:eastAsia="Times New Roman"/>
          <w:b/>
          <w:bCs/>
          <w:color w:val="000000"/>
          <w:sz w:val="26"/>
          <w:szCs w:val="26"/>
          <w:lang w:eastAsia="en-AU"/>
        </w:rPr>
        <w:t>ade on behalf of the Liquor and Gambling Commissioner</w:t>
      </w:r>
    </w:p>
    <w:p w:rsidR="00B03057" w:rsidRPr="00B03057" w:rsidRDefault="00B03057" w:rsidP="00B03057">
      <w:pPr>
        <w:keepLines/>
        <w:autoSpaceDE w:val="0"/>
        <w:autoSpaceDN w:val="0"/>
        <w:adjustRightInd w:val="0"/>
        <w:spacing w:line="240" w:lineRule="auto"/>
        <w:jc w:val="left"/>
        <w:rPr>
          <w:rFonts w:eastAsia="Times New Roman"/>
          <w:color w:val="000000"/>
          <w:sz w:val="23"/>
          <w:szCs w:val="23"/>
          <w:lang w:eastAsia="en-AU"/>
        </w:rPr>
      </w:pPr>
      <w:r w:rsidRPr="00B03057">
        <w:rPr>
          <w:rFonts w:eastAsia="Times New Roman"/>
          <w:color w:val="000000"/>
          <w:sz w:val="23"/>
          <w:szCs w:val="23"/>
          <w:lang w:eastAsia="en-AU"/>
        </w:rPr>
        <w:t>on 14 December 2020</w:t>
      </w:r>
    </w:p>
    <w:p w:rsidR="00B03057" w:rsidRPr="00B03057" w:rsidRDefault="00B03057" w:rsidP="00B03057">
      <w:pPr>
        <w:pBdr>
          <w:top w:val="single" w:sz="4" w:space="1" w:color="auto"/>
        </w:pBdr>
        <w:autoSpaceDE w:val="0"/>
        <w:autoSpaceDN w:val="0"/>
        <w:adjustRightInd w:val="0"/>
        <w:spacing w:before="100" w:after="0" w:line="14" w:lineRule="exact"/>
        <w:jc w:val="center"/>
        <w:rPr>
          <w:rFonts w:eastAsia="Times New Roman"/>
          <w:color w:val="000000"/>
          <w:sz w:val="23"/>
          <w:szCs w:val="23"/>
          <w:lang w:eastAsia="en-AU"/>
        </w:rPr>
      </w:pPr>
    </w:p>
    <w:p w:rsidR="00B03057" w:rsidRPr="00B03057" w:rsidRDefault="00B03057" w:rsidP="00136E8D">
      <w:pPr>
        <w:spacing w:after="0"/>
        <w:rPr>
          <w:rFonts w:eastAsia="Times New Roman"/>
          <w:szCs w:val="17"/>
        </w:rPr>
      </w:pPr>
    </w:p>
    <w:p w:rsidR="00136E8D" w:rsidRDefault="00136E8D">
      <w:pPr>
        <w:spacing w:after="0" w:line="240" w:lineRule="auto"/>
        <w:jc w:val="left"/>
        <w:rPr>
          <w:caps/>
          <w:szCs w:val="17"/>
        </w:rPr>
      </w:pPr>
      <w:r>
        <w:rPr>
          <w:caps/>
          <w:szCs w:val="17"/>
        </w:rPr>
        <w:br w:type="page"/>
      </w:r>
    </w:p>
    <w:p w:rsidR="00B03057" w:rsidRPr="00B03057" w:rsidRDefault="00B03057" w:rsidP="00B03057">
      <w:pPr>
        <w:jc w:val="center"/>
        <w:rPr>
          <w:caps/>
          <w:szCs w:val="17"/>
        </w:rPr>
      </w:pPr>
      <w:r w:rsidRPr="00B03057">
        <w:rPr>
          <w:caps/>
          <w:szCs w:val="17"/>
        </w:rPr>
        <w:lastRenderedPageBreak/>
        <w:t>Liquor Licensing Act 1997</w:t>
      </w:r>
    </w:p>
    <w:p w:rsidR="00B03057" w:rsidRPr="00B03057" w:rsidRDefault="00B03057" w:rsidP="00B03057">
      <w:pPr>
        <w:keepLines/>
        <w:autoSpaceDE w:val="0"/>
        <w:autoSpaceDN w:val="0"/>
        <w:adjustRightInd w:val="0"/>
        <w:spacing w:before="240" w:after="0" w:line="240" w:lineRule="auto"/>
        <w:jc w:val="left"/>
        <w:rPr>
          <w:rFonts w:eastAsia="Times New Roman"/>
          <w:color w:val="000000"/>
          <w:sz w:val="28"/>
          <w:szCs w:val="28"/>
          <w:lang w:eastAsia="en-AU"/>
        </w:rPr>
      </w:pPr>
      <w:r w:rsidRPr="00B03057">
        <w:rPr>
          <w:rFonts w:eastAsia="Times New Roman"/>
          <w:color w:val="000000"/>
          <w:sz w:val="28"/>
          <w:szCs w:val="28"/>
          <w:lang w:eastAsia="en-AU"/>
        </w:rPr>
        <w:t>South Australia</w:t>
      </w:r>
    </w:p>
    <w:p w:rsidR="00B03057" w:rsidRPr="00B03057" w:rsidRDefault="00B03057" w:rsidP="00B03057">
      <w:pPr>
        <w:keepLines/>
        <w:autoSpaceDE w:val="0"/>
        <w:autoSpaceDN w:val="0"/>
        <w:adjustRightInd w:val="0"/>
        <w:spacing w:before="120" w:after="200" w:line="240" w:lineRule="auto"/>
        <w:jc w:val="left"/>
        <w:rPr>
          <w:rFonts w:eastAsia="Times New Roman"/>
          <w:b/>
          <w:bCs/>
          <w:color w:val="000000"/>
          <w:sz w:val="36"/>
          <w:szCs w:val="36"/>
          <w:lang w:eastAsia="en-AU"/>
        </w:rPr>
      </w:pPr>
      <w:r w:rsidRPr="00B03057">
        <w:rPr>
          <w:rFonts w:eastAsia="Times New Roman"/>
          <w:b/>
          <w:bCs/>
          <w:color w:val="000000"/>
          <w:sz w:val="36"/>
          <w:szCs w:val="36"/>
          <w:lang w:eastAsia="en-AU"/>
        </w:rPr>
        <w:t>Liquor Licensing (Dry Areas) Notice 2020</w:t>
      </w:r>
    </w:p>
    <w:p w:rsidR="00B03057" w:rsidRPr="00B03057" w:rsidRDefault="00B03057" w:rsidP="00B03057">
      <w:pPr>
        <w:keepLines/>
        <w:autoSpaceDE w:val="0"/>
        <w:autoSpaceDN w:val="0"/>
        <w:adjustRightInd w:val="0"/>
        <w:spacing w:before="80" w:after="240" w:line="240" w:lineRule="auto"/>
        <w:jc w:val="left"/>
        <w:rPr>
          <w:rFonts w:eastAsia="Times New Roman"/>
          <w:color w:val="000000"/>
          <w:sz w:val="24"/>
          <w:szCs w:val="24"/>
          <w:lang w:eastAsia="en-AU"/>
        </w:rPr>
      </w:pPr>
      <w:r w:rsidRPr="00B03057">
        <w:rPr>
          <w:rFonts w:eastAsia="Times New Roman"/>
          <w:color w:val="000000"/>
          <w:sz w:val="24"/>
          <w:szCs w:val="24"/>
          <w:lang w:eastAsia="en-AU"/>
        </w:rPr>
        <w:t xml:space="preserve">under section 131(1a) of the </w:t>
      </w:r>
      <w:r w:rsidRPr="00B03057">
        <w:rPr>
          <w:rFonts w:eastAsia="Times New Roman"/>
          <w:i/>
          <w:iCs/>
          <w:color w:val="000000"/>
          <w:sz w:val="24"/>
          <w:szCs w:val="24"/>
          <w:lang w:eastAsia="en-AU"/>
        </w:rPr>
        <w:t>Liquor Licensing Act 1997</w:t>
      </w:r>
    </w:p>
    <w:p w:rsidR="00B03057" w:rsidRPr="00B03057" w:rsidRDefault="00B03057" w:rsidP="00B03057">
      <w:pPr>
        <w:keepNext/>
        <w:keepLines/>
        <w:autoSpaceDE w:val="0"/>
        <w:autoSpaceDN w:val="0"/>
        <w:adjustRightInd w:val="0"/>
        <w:spacing w:before="240" w:after="0" w:line="240" w:lineRule="auto"/>
        <w:ind w:left="567" w:hanging="567"/>
        <w:jc w:val="left"/>
        <w:rPr>
          <w:rFonts w:eastAsia="Times New Roman"/>
          <w:b/>
          <w:bCs/>
          <w:color w:val="000000"/>
          <w:sz w:val="26"/>
          <w:szCs w:val="26"/>
          <w:lang w:eastAsia="en-AU"/>
        </w:rPr>
      </w:pPr>
      <w:r w:rsidRPr="00B03057">
        <w:rPr>
          <w:rFonts w:eastAsia="Times New Roman"/>
          <w:b/>
          <w:bCs/>
          <w:color w:val="000000"/>
          <w:sz w:val="26"/>
          <w:szCs w:val="26"/>
          <w:lang w:eastAsia="en-AU"/>
        </w:rPr>
        <w:t>1—Short title</w:t>
      </w:r>
    </w:p>
    <w:p w:rsidR="00B03057" w:rsidRPr="00B03057" w:rsidRDefault="00B03057" w:rsidP="00B03057">
      <w:pPr>
        <w:keepLines/>
        <w:autoSpaceDE w:val="0"/>
        <w:autoSpaceDN w:val="0"/>
        <w:adjustRightInd w:val="0"/>
        <w:spacing w:before="120" w:after="0" w:line="240" w:lineRule="auto"/>
        <w:ind w:left="794"/>
        <w:jc w:val="left"/>
        <w:rPr>
          <w:rFonts w:eastAsia="Times New Roman"/>
          <w:color w:val="000000"/>
          <w:sz w:val="23"/>
          <w:szCs w:val="23"/>
          <w:lang w:eastAsia="en-AU"/>
        </w:rPr>
      </w:pPr>
      <w:r w:rsidRPr="00B03057">
        <w:rPr>
          <w:rFonts w:eastAsia="Times New Roman"/>
          <w:color w:val="000000"/>
          <w:sz w:val="23"/>
          <w:szCs w:val="23"/>
          <w:lang w:eastAsia="en-AU"/>
        </w:rPr>
        <w:t xml:space="preserve">This notice may be cited as the </w:t>
      </w:r>
      <w:hyperlink r:id="rId105" w:history="1">
        <w:r w:rsidRPr="00B03057">
          <w:rPr>
            <w:rFonts w:eastAsia="Times New Roman"/>
            <w:i/>
            <w:iCs/>
            <w:color w:val="000000"/>
            <w:sz w:val="23"/>
            <w:szCs w:val="23"/>
            <w:lang w:eastAsia="en-AU"/>
          </w:rPr>
          <w:t>Liquor Licensing (Dry Areas) Notice 20</w:t>
        </w:r>
      </w:hyperlink>
      <w:r w:rsidRPr="00B03057">
        <w:rPr>
          <w:rFonts w:eastAsia="Times New Roman"/>
          <w:i/>
          <w:iCs/>
          <w:color w:val="000000"/>
          <w:sz w:val="23"/>
          <w:szCs w:val="23"/>
          <w:lang w:eastAsia="en-AU"/>
        </w:rPr>
        <w:t>20</w:t>
      </w:r>
      <w:r w:rsidRPr="00B03057">
        <w:rPr>
          <w:rFonts w:eastAsia="Times New Roman"/>
          <w:color w:val="000000"/>
          <w:sz w:val="23"/>
          <w:szCs w:val="23"/>
          <w:lang w:eastAsia="en-AU"/>
        </w:rPr>
        <w:t>.</w:t>
      </w:r>
    </w:p>
    <w:p w:rsidR="00B03057" w:rsidRPr="00B03057" w:rsidRDefault="00B03057" w:rsidP="00B03057">
      <w:pPr>
        <w:keepNext/>
        <w:keepLines/>
        <w:autoSpaceDE w:val="0"/>
        <w:autoSpaceDN w:val="0"/>
        <w:adjustRightInd w:val="0"/>
        <w:spacing w:before="240" w:after="0" w:line="240" w:lineRule="auto"/>
        <w:ind w:left="567" w:hanging="567"/>
        <w:jc w:val="left"/>
        <w:rPr>
          <w:rFonts w:eastAsia="Times New Roman"/>
          <w:b/>
          <w:bCs/>
          <w:color w:val="000000"/>
          <w:sz w:val="26"/>
          <w:szCs w:val="26"/>
          <w:lang w:eastAsia="en-AU"/>
        </w:rPr>
      </w:pPr>
      <w:r w:rsidRPr="00B03057">
        <w:rPr>
          <w:rFonts w:eastAsia="Times New Roman"/>
          <w:b/>
          <w:bCs/>
          <w:color w:val="000000"/>
          <w:sz w:val="26"/>
          <w:szCs w:val="26"/>
          <w:lang w:eastAsia="en-AU"/>
        </w:rPr>
        <w:t>2—Commencement</w:t>
      </w:r>
    </w:p>
    <w:p w:rsidR="00B03057" w:rsidRPr="00B03057" w:rsidRDefault="00B03057" w:rsidP="00B03057">
      <w:pPr>
        <w:keepLines/>
        <w:autoSpaceDE w:val="0"/>
        <w:autoSpaceDN w:val="0"/>
        <w:adjustRightInd w:val="0"/>
        <w:spacing w:before="120" w:after="0" w:line="240" w:lineRule="auto"/>
        <w:ind w:left="794"/>
        <w:jc w:val="left"/>
        <w:rPr>
          <w:rFonts w:eastAsia="Times New Roman"/>
          <w:color w:val="000000"/>
          <w:sz w:val="23"/>
          <w:szCs w:val="23"/>
          <w:lang w:eastAsia="en-AU"/>
        </w:rPr>
      </w:pPr>
      <w:r w:rsidRPr="00B03057">
        <w:rPr>
          <w:rFonts w:eastAsia="Times New Roman"/>
          <w:color w:val="000000"/>
          <w:sz w:val="23"/>
          <w:szCs w:val="23"/>
          <w:lang w:eastAsia="en-AU"/>
        </w:rPr>
        <w:t>This notice comes into operation on 30 December 2020.</w:t>
      </w:r>
    </w:p>
    <w:p w:rsidR="00B03057" w:rsidRPr="00B03057" w:rsidRDefault="00B03057" w:rsidP="00B03057">
      <w:pPr>
        <w:keepNext/>
        <w:keepLines/>
        <w:autoSpaceDE w:val="0"/>
        <w:autoSpaceDN w:val="0"/>
        <w:adjustRightInd w:val="0"/>
        <w:spacing w:before="240" w:after="0" w:line="240" w:lineRule="auto"/>
        <w:ind w:left="567" w:hanging="567"/>
        <w:jc w:val="left"/>
        <w:rPr>
          <w:rFonts w:eastAsia="Times New Roman"/>
          <w:b/>
          <w:bCs/>
          <w:color w:val="000000"/>
          <w:sz w:val="26"/>
          <w:szCs w:val="26"/>
          <w:lang w:eastAsia="en-AU"/>
        </w:rPr>
      </w:pPr>
      <w:r w:rsidRPr="00B03057">
        <w:rPr>
          <w:rFonts w:eastAsia="Times New Roman"/>
          <w:b/>
          <w:bCs/>
          <w:color w:val="000000"/>
          <w:sz w:val="26"/>
          <w:szCs w:val="26"/>
          <w:lang w:eastAsia="en-AU"/>
        </w:rPr>
        <w:t>3—Interpretation</w:t>
      </w:r>
    </w:p>
    <w:p w:rsidR="00B03057" w:rsidRPr="00B03057" w:rsidRDefault="00B03057" w:rsidP="00B0305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03057">
        <w:rPr>
          <w:rFonts w:eastAsia="Times New Roman"/>
          <w:color w:val="000000"/>
          <w:sz w:val="23"/>
          <w:szCs w:val="23"/>
          <w:lang w:eastAsia="en-AU"/>
        </w:rPr>
        <w:tab/>
        <w:t>(1)</w:t>
      </w:r>
      <w:r w:rsidRPr="00B03057">
        <w:rPr>
          <w:rFonts w:eastAsia="Times New Roman"/>
          <w:color w:val="000000"/>
          <w:sz w:val="23"/>
          <w:szCs w:val="23"/>
          <w:lang w:eastAsia="en-AU"/>
        </w:rPr>
        <w:tab/>
        <w:t>In this notice—</w:t>
      </w:r>
    </w:p>
    <w:p w:rsidR="00B03057" w:rsidRPr="00B03057" w:rsidRDefault="00B03057" w:rsidP="00B03057">
      <w:pPr>
        <w:keepLines/>
        <w:autoSpaceDE w:val="0"/>
        <w:autoSpaceDN w:val="0"/>
        <w:adjustRightInd w:val="0"/>
        <w:spacing w:before="120" w:after="0" w:line="240" w:lineRule="auto"/>
        <w:ind w:left="794"/>
        <w:jc w:val="left"/>
        <w:rPr>
          <w:rFonts w:eastAsia="Times New Roman"/>
          <w:color w:val="000000"/>
          <w:sz w:val="23"/>
          <w:szCs w:val="23"/>
          <w:lang w:eastAsia="en-AU"/>
        </w:rPr>
      </w:pPr>
      <w:r w:rsidRPr="00B03057">
        <w:rPr>
          <w:rFonts w:eastAsia="Times New Roman"/>
          <w:b/>
          <w:bCs/>
          <w:i/>
          <w:iCs/>
          <w:color w:val="000000"/>
          <w:sz w:val="23"/>
          <w:szCs w:val="23"/>
          <w:lang w:eastAsia="en-AU"/>
        </w:rPr>
        <w:t>principal notice</w:t>
      </w:r>
      <w:r w:rsidRPr="00B03057">
        <w:rPr>
          <w:rFonts w:eastAsia="Times New Roman"/>
          <w:color w:val="000000"/>
          <w:sz w:val="23"/>
          <w:szCs w:val="23"/>
          <w:lang w:eastAsia="en-AU"/>
        </w:rPr>
        <w:t xml:space="preserve"> means the </w:t>
      </w:r>
      <w:hyperlink r:id="rId106" w:history="1">
        <w:r w:rsidRPr="00B03057">
          <w:rPr>
            <w:rFonts w:eastAsia="Times New Roman"/>
            <w:i/>
            <w:iCs/>
            <w:color w:val="000000"/>
            <w:sz w:val="23"/>
            <w:szCs w:val="23"/>
            <w:lang w:eastAsia="en-AU"/>
          </w:rPr>
          <w:t>Liquor Licensing (Dry Areas) Notice 2015</w:t>
        </w:r>
      </w:hyperlink>
      <w:r w:rsidRPr="00B03057">
        <w:rPr>
          <w:rFonts w:eastAsia="Times New Roman"/>
          <w:color w:val="000000"/>
          <w:sz w:val="23"/>
          <w:szCs w:val="23"/>
          <w:lang w:eastAsia="en-AU"/>
        </w:rPr>
        <w:t xml:space="preserve"> published in the Gazette on 5.1.15, as in force from time to time.</w:t>
      </w:r>
    </w:p>
    <w:p w:rsidR="00B03057" w:rsidRPr="00B03057" w:rsidRDefault="00B03057" w:rsidP="00B0305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03057">
        <w:rPr>
          <w:rFonts w:eastAsia="Times New Roman"/>
          <w:color w:val="000000"/>
          <w:sz w:val="23"/>
          <w:szCs w:val="23"/>
          <w:lang w:eastAsia="en-AU"/>
        </w:rPr>
        <w:tab/>
        <w:t>(2)</w:t>
      </w:r>
      <w:r w:rsidRPr="00B03057">
        <w:rPr>
          <w:rFonts w:eastAsia="Times New Roman"/>
          <w:color w:val="000000"/>
          <w:sz w:val="23"/>
          <w:szCs w:val="23"/>
          <w:lang w:eastAsia="en-AU"/>
        </w:rPr>
        <w:tab/>
        <w:t>Clause 3 of the principal notice applies to this notice as if it were the principal notice.</w:t>
      </w:r>
    </w:p>
    <w:p w:rsidR="00B03057" w:rsidRPr="00B03057" w:rsidRDefault="00B03057" w:rsidP="00B03057">
      <w:pPr>
        <w:keepNext/>
        <w:keepLines/>
        <w:autoSpaceDE w:val="0"/>
        <w:autoSpaceDN w:val="0"/>
        <w:adjustRightInd w:val="0"/>
        <w:spacing w:before="240" w:after="0" w:line="240" w:lineRule="auto"/>
        <w:ind w:left="567" w:hanging="567"/>
        <w:jc w:val="left"/>
        <w:rPr>
          <w:rFonts w:eastAsia="Times New Roman"/>
          <w:b/>
          <w:bCs/>
          <w:color w:val="000000"/>
          <w:sz w:val="26"/>
          <w:szCs w:val="26"/>
          <w:lang w:eastAsia="en-AU"/>
        </w:rPr>
      </w:pPr>
      <w:r w:rsidRPr="00B03057">
        <w:rPr>
          <w:rFonts w:eastAsia="Times New Roman"/>
          <w:b/>
          <w:bCs/>
          <w:color w:val="000000"/>
          <w:sz w:val="26"/>
          <w:szCs w:val="26"/>
          <w:lang w:eastAsia="en-AU"/>
        </w:rPr>
        <w:t>4—Consumption etc of liquor prohibited in dry areas</w:t>
      </w:r>
    </w:p>
    <w:p w:rsidR="00B03057" w:rsidRPr="00B03057" w:rsidRDefault="00B03057" w:rsidP="00B0305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03057">
        <w:rPr>
          <w:rFonts w:eastAsia="Times New Roman"/>
          <w:color w:val="000000"/>
          <w:sz w:val="23"/>
          <w:szCs w:val="23"/>
          <w:lang w:eastAsia="en-AU"/>
        </w:rPr>
        <w:tab/>
        <w:t>(1)</w:t>
      </w:r>
      <w:r w:rsidRPr="00B03057">
        <w:rPr>
          <w:rFonts w:eastAsia="Times New Roman"/>
          <w:color w:val="000000"/>
          <w:sz w:val="23"/>
          <w:szCs w:val="23"/>
          <w:lang w:eastAsia="en-AU"/>
        </w:rPr>
        <w:tab/>
        <w:t>Pursuant to section 131 of the Act, the consumption and possession of liquor in the area described in the Schedule is prohibited in accordance with the provisions of the Schedule.</w:t>
      </w:r>
    </w:p>
    <w:p w:rsidR="00B03057" w:rsidRPr="00B03057" w:rsidRDefault="00B03057" w:rsidP="00B0305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03057">
        <w:rPr>
          <w:rFonts w:eastAsia="Times New Roman"/>
          <w:color w:val="000000"/>
          <w:sz w:val="23"/>
          <w:szCs w:val="23"/>
          <w:lang w:eastAsia="en-AU"/>
        </w:rPr>
        <w:tab/>
        <w:t>(2)</w:t>
      </w:r>
      <w:r w:rsidRPr="00B03057">
        <w:rPr>
          <w:rFonts w:eastAsia="Times New Roman"/>
          <w:color w:val="000000"/>
          <w:sz w:val="23"/>
          <w:szCs w:val="23"/>
          <w:lang w:eastAsia="en-AU"/>
        </w:rPr>
        <w:tab/>
        <w:t>The prohibition has effect during the periods specified in the Schedule.</w:t>
      </w:r>
    </w:p>
    <w:p w:rsidR="00B03057" w:rsidRPr="00B03057" w:rsidRDefault="00B03057" w:rsidP="00B0305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03057">
        <w:rPr>
          <w:rFonts w:eastAsia="Times New Roman"/>
          <w:color w:val="000000"/>
          <w:sz w:val="23"/>
          <w:szCs w:val="23"/>
          <w:lang w:eastAsia="en-AU"/>
        </w:rPr>
        <w:tab/>
        <w:t>(3)</w:t>
      </w:r>
      <w:r w:rsidRPr="00B03057">
        <w:rPr>
          <w:rFonts w:eastAsia="Times New Roman"/>
          <w:color w:val="000000"/>
          <w:sz w:val="23"/>
          <w:szCs w:val="23"/>
          <w:lang w:eastAsia="en-AU"/>
        </w:rPr>
        <w:tab/>
        <w:t>The prohibition does not extend to private land in the area described in the Schedule.</w:t>
      </w:r>
    </w:p>
    <w:p w:rsidR="00B03057" w:rsidRPr="00B03057" w:rsidRDefault="00B03057" w:rsidP="00B0305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03057">
        <w:rPr>
          <w:rFonts w:eastAsia="Times New Roman"/>
          <w:color w:val="000000"/>
          <w:sz w:val="23"/>
          <w:szCs w:val="23"/>
          <w:lang w:eastAsia="en-AU"/>
        </w:rPr>
        <w:tab/>
        <w:t>(4)</w:t>
      </w:r>
      <w:r w:rsidRPr="00B03057">
        <w:rPr>
          <w:rFonts w:eastAsia="Times New Roman"/>
          <w:color w:val="000000"/>
          <w:sz w:val="23"/>
          <w:szCs w:val="23"/>
          <w:lang w:eastAsia="en-AU"/>
        </w:rPr>
        <w:tab/>
        <w:t>Unless the contrary intention appears, the prohibition of the possession of liquor in the area does not extend to—</w:t>
      </w:r>
    </w:p>
    <w:p w:rsidR="00B03057" w:rsidRPr="00B03057" w:rsidRDefault="00B03057" w:rsidP="00B0305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03057">
        <w:rPr>
          <w:rFonts w:eastAsia="Times New Roman"/>
          <w:color w:val="000000"/>
          <w:sz w:val="23"/>
          <w:szCs w:val="23"/>
          <w:lang w:eastAsia="en-AU"/>
        </w:rPr>
        <w:tab/>
        <w:t>(a)</w:t>
      </w:r>
      <w:r w:rsidRPr="00B03057">
        <w:rPr>
          <w:rFonts w:eastAsia="Times New Roman"/>
          <w:color w:val="000000"/>
          <w:sz w:val="23"/>
          <w:szCs w:val="23"/>
          <w:lang w:eastAsia="en-AU"/>
        </w:rPr>
        <w:tab/>
        <w:t>a person who is genuinely passing through the area if—</w:t>
      </w:r>
    </w:p>
    <w:p w:rsidR="00B03057" w:rsidRPr="00B03057" w:rsidRDefault="00B03057" w:rsidP="00B0305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03057">
        <w:rPr>
          <w:rFonts w:eastAsia="Times New Roman"/>
          <w:color w:val="000000"/>
          <w:sz w:val="23"/>
          <w:szCs w:val="23"/>
          <w:lang w:eastAsia="en-AU"/>
        </w:rPr>
        <w:tab/>
        <w:t>(i)</w:t>
      </w:r>
      <w:r w:rsidRPr="00B03057">
        <w:rPr>
          <w:rFonts w:eastAsia="Times New Roman"/>
          <w:color w:val="000000"/>
          <w:sz w:val="23"/>
          <w:szCs w:val="23"/>
          <w:lang w:eastAsia="en-AU"/>
        </w:rPr>
        <w:tab/>
        <w:t>the liquor is in the original container in which it was purchased from licensed premises; and</w:t>
      </w:r>
    </w:p>
    <w:p w:rsidR="00B03057" w:rsidRPr="00B03057" w:rsidRDefault="00B03057" w:rsidP="00B0305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03057">
        <w:rPr>
          <w:rFonts w:eastAsia="Times New Roman"/>
          <w:color w:val="000000"/>
          <w:sz w:val="23"/>
          <w:szCs w:val="23"/>
          <w:lang w:eastAsia="en-AU"/>
        </w:rPr>
        <w:tab/>
        <w:t>(ii)</w:t>
      </w:r>
      <w:r w:rsidRPr="00B03057">
        <w:rPr>
          <w:rFonts w:eastAsia="Times New Roman"/>
          <w:color w:val="000000"/>
          <w:sz w:val="23"/>
          <w:szCs w:val="23"/>
          <w:lang w:eastAsia="en-AU"/>
        </w:rPr>
        <w:tab/>
        <w:t>the container has not been opened; or</w:t>
      </w:r>
    </w:p>
    <w:p w:rsidR="00B03057" w:rsidRPr="00B03057" w:rsidRDefault="00B03057" w:rsidP="00B0305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03057">
        <w:rPr>
          <w:rFonts w:eastAsia="Times New Roman"/>
          <w:color w:val="000000"/>
          <w:sz w:val="23"/>
          <w:szCs w:val="23"/>
          <w:lang w:eastAsia="en-AU"/>
        </w:rPr>
        <w:tab/>
        <w:t>(b)</w:t>
      </w:r>
      <w:r w:rsidRPr="00B03057">
        <w:rPr>
          <w:rFonts w:eastAsia="Times New Roman"/>
          <w:color w:val="000000"/>
          <w:sz w:val="23"/>
          <w:szCs w:val="23"/>
          <w:lang w:eastAsia="en-AU"/>
        </w:rPr>
        <w:tab/>
        <w:t>a person who has possession of the liquor in the course of carrying on a business or in the course of his or her employment by another person in the course of carrying on a business; or</w:t>
      </w:r>
    </w:p>
    <w:p w:rsidR="00B03057" w:rsidRPr="00B03057" w:rsidRDefault="00B03057" w:rsidP="00B0305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03057">
        <w:rPr>
          <w:rFonts w:eastAsia="Times New Roman"/>
          <w:color w:val="000000"/>
          <w:sz w:val="23"/>
          <w:szCs w:val="23"/>
          <w:lang w:eastAsia="en-AU"/>
        </w:rPr>
        <w:tab/>
        <w:t>(c)</w:t>
      </w:r>
      <w:r w:rsidRPr="00B03057">
        <w:rPr>
          <w:rFonts w:eastAsia="Times New Roman"/>
          <w:color w:val="000000"/>
          <w:sz w:val="23"/>
          <w:szCs w:val="23"/>
          <w:lang w:eastAsia="en-AU"/>
        </w:rPr>
        <w:tab/>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rsidR="00882767" w:rsidRDefault="00882767">
      <w:pPr>
        <w:spacing w:after="0" w:line="240" w:lineRule="auto"/>
        <w:jc w:val="left"/>
        <w:rPr>
          <w:rFonts w:eastAsia="Times New Roman"/>
          <w:b/>
          <w:bCs/>
          <w:color w:val="000000"/>
          <w:sz w:val="32"/>
          <w:szCs w:val="32"/>
          <w:lang w:eastAsia="en-AU"/>
        </w:rPr>
      </w:pPr>
      <w:r>
        <w:rPr>
          <w:rFonts w:eastAsia="Times New Roman"/>
          <w:b/>
          <w:bCs/>
          <w:color w:val="000000"/>
          <w:sz w:val="32"/>
          <w:szCs w:val="32"/>
          <w:lang w:eastAsia="en-AU"/>
        </w:rPr>
        <w:br w:type="page"/>
      </w:r>
    </w:p>
    <w:p w:rsidR="00B03057" w:rsidRPr="00B03057" w:rsidRDefault="00B03057" w:rsidP="00136E8D">
      <w:pPr>
        <w:spacing w:before="240" w:after="240" w:line="240" w:lineRule="auto"/>
        <w:rPr>
          <w:rFonts w:ascii="Calibri" w:eastAsia="Times New Roman" w:hAnsi="Calibri"/>
          <w:b/>
          <w:sz w:val="22"/>
          <w:lang w:eastAsia="en-AU"/>
        </w:rPr>
      </w:pPr>
      <w:r w:rsidRPr="00B03057">
        <w:rPr>
          <w:rFonts w:eastAsia="Times New Roman"/>
          <w:b/>
          <w:bCs/>
          <w:color w:val="000000"/>
          <w:sz w:val="32"/>
          <w:szCs w:val="32"/>
          <w:lang w:eastAsia="en-AU"/>
        </w:rPr>
        <w:lastRenderedPageBreak/>
        <w:t>Schedule—Port Elliot Area 2</w:t>
      </w:r>
    </w:p>
    <w:p w:rsidR="00B03057" w:rsidRPr="00B03057" w:rsidRDefault="00B03057" w:rsidP="00B03057">
      <w:pPr>
        <w:spacing w:before="120" w:after="0" w:line="240" w:lineRule="auto"/>
        <w:rPr>
          <w:rFonts w:eastAsia="Times New Roman"/>
          <w:szCs w:val="17"/>
        </w:rPr>
      </w:pPr>
      <w:r w:rsidRPr="00B03057">
        <w:rPr>
          <w:rFonts w:eastAsia="Times New Roman"/>
          <w:b/>
          <w:bCs/>
          <w:color w:val="000000"/>
          <w:sz w:val="23"/>
          <w:szCs w:val="23"/>
          <w:lang w:eastAsia="en-AU"/>
        </w:rPr>
        <w:t>1—Extent of prohibition</w:t>
      </w:r>
    </w:p>
    <w:p w:rsidR="00B03057" w:rsidRPr="00B03057" w:rsidRDefault="00B03057" w:rsidP="00B03057">
      <w:pPr>
        <w:spacing w:before="120" w:after="120" w:line="240" w:lineRule="auto"/>
        <w:ind w:left="709"/>
        <w:rPr>
          <w:rFonts w:eastAsia="Times New Roman"/>
          <w:szCs w:val="17"/>
        </w:rPr>
      </w:pPr>
      <w:r w:rsidRPr="00B03057">
        <w:rPr>
          <w:rFonts w:eastAsia="Times New Roman"/>
          <w:color w:val="000000"/>
          <w:sz w:val="23"/>
          <w:szCs w:val="23"/>
          <w:lang w:eastAsia="en-AU"/>
        </w:rPr>
        <w:t>The consumption of liquor is prohibited and the possession of liquor is prohibited.</w:t>
      </w:r>
    </w:p>
    <w:p w:rsidR="00B03057" w:rsidRPr="00B03057" w:rsidRDefault="00B03057" w:rsidP="00B03057">
      <w:pPr>
        <w:spacing w:before="120" w:after="0" w:line="240" w:lineRule="auto"/>
        <w:rPr>
          <w:rFonts w:eastAsia="Times New Roman"/>
          <w:b/>
          <w:bCs/>
          <w:color w:val="000000"/>
          <w:sz w:val="23"/>
          <w:szCs w:val="23"/>
          <w:lang w:eastAsia="en-AU"/>
        </w:rPr>
      </w:pPr>
      <w:r w:rsidRPr="00B03057">
        <w:rPr>
          <w:rFonts w:eastAsia="Times New Roman"/>
          <w:b/>
          <w:bCs/>
          <w:color w:val="000000"/>
          <w:sz w:val="23"/>
          <w:szCs w:val="23"/>
          <w:lang w:eastAsia="en-AU"/>
        </w:rPr>
        <w:t>2—Period of prohibition</w:t>
      </w:r>
    </w:p>
    <w:p w:rsidR="00B03057" w:rsidRPr="00B03057" w:rsidRDefault="00B03057" w:rsidP="00B03057">
      <w:pPr>
        <w:spacing w:before="120" w:after="120" w:line="240" w:lineRule="auto"/>
        <w:ind w:left="709"/>
        <w:rPr>
          <w:rFonts w:eastAsia="Times New Roman"/>
          <w:color w:val="000000"/>
          <w:sz w:val="23"/>
          <w:szCs w:val="23"/>
          <w:lang w:eastAsia="en-AU"/>
        </w:rPr>
      </w:pPr>
      <w:r w:rsidRPr="00B03057">
        <w:rPr>
          <w:rFonts w:eastAsia="Times New Roman"/>
          <w:color w:val="000000"/>
          <w:sz w:val="23"/>
          <w:szCs w:val="23"/>
          <w:lang w:eastAsia="en-AU"/>
        </w:rPr>
        <w:t>From 6pm on Wednesday 30 December 2020 to 6am on Saturday 2 January 2021.</w:t>
      </w:r>
    </w:p>
    <w:p w:rsidR="00B03057" w:rsidRPr="00B03057" w:rsidRDefault="00B03057" w:rsidP="00B03057">
      <w:pPr>
        <w:spacing w:before="120" w:after="0" w:line="240" w:lineRule="auto"/>
        <w:rPr>
          <w:rFonts w:eastAsia="Times New Roman"/>
          <w:szCs w:val="17"/>
        </w:rPr>
      </w:pPr>
      <w:r w:rsidRPr="00B03057">
        <w:rPr>
          <w:rFonts w:eastAsia="Times New Roman"/>
          <w:b/>
          <w:bCs/>
          <w:color w:val="000000"/>
          <w:sz w:val="23"/>
          <w:szCs w:val="23"/>
          <w:lang w:eastAsia="en-AU"/>
        </w:rPr>
        <w:t>3—Description of area</w:t>
      </w:r>
    </w:p>
    <w:p w:rsidR="00B03057" w:rsidRPr="00B03057" w:rsidRDefault="00B03057" w:rsidP="00B03057">
      <w:pPr>
        <w:spacing w:before="120" w:after="120" w:line="240" w:lineRule="auto"/>
        <w:ind w:left="709"/>
        <w:rPr>
          <w:rFonts w:eastAsia="Times New Roman"/>
          <w:color w:val="000000"/>
          <w:spacing w:val="-2"/>
          <w:sz w:val="23"/>
          <w:szCs w:val="23"/>
          <w:lang w:eastAsia="en-AU"/>
        </w:rPr>
      </w:pPr>
      <w:r w:rsidRPr="00B03057">
        <w:rPr>
          <w:rFonts w:eastAsia="Times New Roman"/>
          <w:color w:val="000000"/>
          <w:spacing w:val="-2"/>
          <w:sz w:val="23"/>
          <w:szCs w:val="23"/>
          <w:lang w:eastAsia="en-AU"/>
        </w:rPr>
        <w:t>The area in and adjacent to Port Elliot bounded as follows: commencing at the point at which the eastern boundary of Lot 26 of DP 74300 meets the northern boundary of Railway Terrace (approximately 50 metres west of the western boundary of Bennett Road), then easterly along the northern boundary of Railway Terrace to the western boundary of Carfax Street, then northerly along that boundary of Carfax Street to the point at which it is intersected by the prolongation in a straight line of the northern boundary of Battunga Avenue, then generally easterly, south easterly and easterly along that prolongation and boundary of Battunga Avenue and the prolongation in a straight line of that boundary to the eastern boundary of Rosetta Terrace, then southerly along that boundary of Rosetta Terrace to the northern boundary of Barbara Street, then easterly along that boundary of Barbara Street to the point at which it intersects the eastern boundary of Hutton Street, then southerly along that boundary of Hutton Street to the northern boundary of Merrilli Place, then easterly along that boundary of Merrilli Place to the point at which it is intersected by the prolongation in a straight line of the eastern boundary of The Esplanade, then south easterly along that prolongation and boundary of The Esplanade to the western boundary of Lot 101 of DP 46201, then south easterly and easterly along the western and southern boundaries of Lot 101 and the southern boundaries of the adjoining Lots to the western boundary of The Strand, then northerly along that boundary of The Strand to the point at which it intersects the southern boundary of Torrens Street, then in a straight line by the shortest route (across The Strand) to the point at which the southern boundary of Murray Place meets the eastern boundary of The Strand, then easterly and north easterly along that boundary of Murray Place to the point at which it meets the prolongation in a straight line of the southern boundary of Freeling Street, then north easterly along that prolongation of the southern boundary of Freeling Street to the point at which it intersects the low water mark of Horseshoe Bay, then generally south westerly, south easterly, south westerly and westerly along the low water mark to the point at which the low water mark is intersected by the prolongation in a straight line of the eastern boundary of Lot 26 of DP 74300, then northerly along that prolongation of the eastern boundary of Lot 26 to the point of commencement. The area includes the whole of any wharf, jetty, boat ramp, breakwater or other structure that projects below the low water mark from within the area described above (as well as any area beneath such a structure).</w:t>
      </w:r>
    </w:p>
    <w:p w:rsidR="00B03057" w:rsidRPr="00B03057" w:rsidRDefault="00B03057" w:rsidP="00B03057">
      <w:pPr>
        <w:rPr>
          <w:rFonts w:eastAsia="Times New Roman"/>
          <w:color w:val="000000"/>
          <w:sz w:val="23"/>
          <w:szCs w:val="23"/>
          <w:lang w:eastAsia="en-AU"/>
        </w:rPr>
      </w:pPr>
      <w:r w:rsidRPr="00B03057">
        <w:rPr>
          <w:rFonts w:eastAsia="Times New Roman"/>
          <w:color w:val="000000"/>
          <w:sz w:val="23"/>
          <w:szCs w:val="23"/>
          <w:lang w:eastAsia="en-AU"/>
        </w:rPr>
        <w:br w:type="page"/>
      </w:r>
    </w:p>
    <w:p w:rsidR="00B03057" w:rsidRPr="00B03057" w:rsidRDefault="00B03057" w:rsidP="00B03057">
      <w:pPr>
        <w:keepLines/>
        <w:autoSpaceDE w:val="0"/>
        <w:autoSpaceDN w:val="0"/>
        <w:adjustRightInd w:val="0"/>
        <w:spacing w:before="240" w:after="0" w:line="240" w:lineRule="auto"/>
        <w:jc w:val="left"/>
        <w:rPr>
          <w:rFonts w:eastAsia="Times New Roman"/>
          <w:b/>
          <w:bCs/>
          <w:color w:val="000000"/>
          <w:sz w:val="26"/>
          <w:szCs w:val="26"/>
          <w:lang w:eastAsia="en-AU"/>
        </w:rPr>
      </w:pPr>
      <w:r w:rsidRPr="00B03057">
        <w:rPr>
          <w:rFonts w:eastAsia="Times New Roman"/>
          <w:b/>
          <w:bCs/>
          <w:color w:val="000000"/>
          <w:sz w:val="23"/>
          <w:szCs w:val="23"/>
          <w:lang w:eastAsia="en-AU"/>
        </w:rPr>
        <w:lastRenderedPageBreak/>
        <w:t>M</w:t>
      </w:r>
      <w:r w:rsidRPr="00B03057">
        <w:rPr>
          <w:rFonts w:eastAsia="Times New Roman"/>
          <w:b/>
          <w:bCs/>
          <w:color w:val="000000"/>
          <w:sz w:val="26"/>
          <w:szCs w:val="26"/>
          <w:lang w:eastAsia="en-AU"/>
        </w:rPr>
        <w:t>ade on behalf of the Liquor and Gambling Commissioner</w:t>
      </w:r>
    </w:p>
    <w:p w:rsidR="009D5EF7" w:rsidRDefault="00B03057" w:rsidP="009D5EF7">
      <w:pPr>
        <w:keepLines/>
        <w:autoSpaceDE w:val="0"/>
        <w:autoSpaceDN w:val="0"/>
        <w:adjustRightInd w:val="0"/>
        <w:spacing w:before="120" w:line="240" w:lineRule="auto"/>
        <w:jc w:val="left"/>
        <w:rPr>
          <w:rFonts w:eastAsia="Times New Roman"/>
          <w:color w:val="000000"/>
          <w:sz w:val="23"/>
          <w:szCs w:val="23"/>
          <w:lang w:eastAsia="en-AU"/>
        </w:rPr>
      </w:pPr>
      <w:r w:rsidRPr="00B03057">
        <w:rPr>
          <w:rFonts w:eastAsia="Times New Roman"/>
          <w:color w:val="000000"/>
          <w:sz w:val="23"/>
          <w:szCs w:val="23"/>
          <w:lang w:eastAsia="en-AU"/>
        </w:rPr>
        <w:t>on 14 December 2020</w:t>
      </w:r>
    </w:p>
    <w:p w:rsidR="009D5EF7" w:rsidRDefault="009D5EF7" w:rsidP="009D5EF7">
      <w:pPr>
        <w:pBdr>
          <w:bottom w:val="single" w:sz="4" w:space="1" w:color="auto"/>
        </w:pBdr>
        <w:spacing w:after="0" w:line="52" w:lineRule="exact"/>
        <w:jc w:val="center"/>
        <w:rPr>
          <w:rFonts w:eastAsia="Times New Roman"/>
          <w:color w:val="000000"/>
          <w:sz w:val="23"/>
          <w:szCs w:val="23"/>
          <w:lang w:eastAsia="en-AU"/>
        </w:rPr>
      </w:pPr>
    </w:p>
    <w:p w:rsidR="009D5EF7" w:rsidRDefault="009D5EF7" w:rsidP="009D5EF7">
      <w:pPr>
        <w:pBdr>
          <w:top w:val="single" w:sz="4" w:space="1" w:color="auto"/>
        </w:pBdr>
        <w:spacing w:before="34" w:after="0" w:line="14" w:lineRule="exact"/>
        <w:jc w:val="center"/>
        <w:rPr>
          <w:rFonts w:eastAsia="Times New Roman"/>
          <w:color w:val="000000"/>
          <w:sz w:val="23"/>
          <w:szCs w:val="23"/>
          <w:lang w:eastAsia="en-AU"/>
        </w:rPr>
      </w:pPr>
    </w:p>
    <w:p w:rsidR="009D5EF7" w:rsidRDefault="00B03057" w:rsidP="009D5EF7">
      <w:pPr>
        <w:pStyle w:val="GG-body"/>
        <w:spacing w:after="0"/>
        <w:rPr>
          <w:caps/>
        </w:rPr>
      </w:pPr>
      <w:r w:rsidRPr="00B03057">
        <w:rPr>
          <w:noProof/>
          <w:lang w:eastAsia="en-AU"/>
        </w:rPr>
        <w:drawing>
          <wp:anchor distT="0" distB="0" distL="114300" distR="114300" simplePos="0" relativeHeight="251674112" behindDoc="0" locked="0" layoutInCell="1" allowOverlap="1" wp14:anchorId="394D85F5" wp14:editId="6E18D34E">
            <wp:simplePos x="0" y="0"/>
            <wp:positionH relativeFrom="margin">
              <wp:align>center</wp:align>
            </wp:positionH>
            <wp:positionV relativeFrom="margin">
              <wp:align>top</wp:align>
            </wp:positionV>
            <wp:extent cx="5127625" cy="3542030"/>
            <wp:effectExtent l="0" t="0" r="0" b="127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127625" cy="3542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2767" w:rsidRPr="00882767" w:rsidRDefault="00882767" w:rsidP="005549E6">
      <w:pPr>
        <w:pStyle w:val="Heading2"/>
      </w:pPr>
      <w:bookmarkStart w:id="119" w:name="_Toc59098953"/>
      <w:r w:rsidRPr="00882767">
        <w:t>Mental Health Act 2009</w:t>
      </w:r>
      <w:bookmarkEnd w:id="119"/>
    </w:p>
    <w:p w:rsidR="00882767" w:rsidRPr="00882767" w:rsidRDefault="00882767" w:rsidP="00882767">
      <w:pPr>
        <w:pStyle w:val="GG-Title3"/>
      </w:pPr>
      <w:r w:rsidRPr="00882767">
        <w:t>Authorised Mental Health Professional</w:t>
      </w:r>
    </w:p>
    <w:p w:rsidR="00882767" w:rsidRPr="00882767" w:rsidRDefault="00882767" w:rsidP="00882767">
      <w:pPr>
        <w:rPr>
          <w:rFonts w:eastAsia="Times New Roman"/>
          <w:szCs w:val="17"/>
        </w:rPr>
      </w:pPr>
      <w:r w:rsidRPr="00882767">
        <w:rPr>
          <w:rFonts w:eastAsia="Times New Roman"/>
          <w:szCs w:val="17"/>
        </w:rPr>
        <w:t xml:space="preserve">NOTICE is hereby given in accordance with Section 94 (1) of the </w:t>
      </w:r>
      <w:r w:rsidRPr="00882767">
        <w:rPr>
          <w:rFonts w:eastAsia="Times New Roman"/>
          <w:i/>
          <w:szCs w:val="17"/>
        </w:rPr>
        <w:t>Mental Health Act 2009</w:t>
      </w:r>
      <w:r w:rsidRPr="00882767">
        <w:rPr>
          <w:rFonts w:eastAsia="Times New Roman"/>
          <w:szCs w:val="17"/>
        </w:rPr>
        <w:t>, that the Chief Psychiatrist has determined the following persons as an Authorised Mental Health Professional:</w:t>
      </w:r>
    </w:p>
    <w:p w:rsidR="00882767" w:rsidRPr="00882767" w:rsidRDefault="00882767" w:rsidP="00882767">
      <w:pPr>
        <w:ind w:left="142"/>
        <w:rPr>
          <w:rFonts w:eastAsia="Times New Roman"/>
          <w:szCs w:val="17"/>
        </w:rPr>
      </w:pPr>
      <w:r w:rsidRPr="00882767">
        <w:rPr>
          <w:rFonts w:eastAsia="Times New Roman"/>
          <w:szCs w:val="17"/>
        </w:rPr>
        <w:t>Stephanie Jordan</w:t>
      </w:r>
    </w:p>
    <w:p w:rsidR="00882767" w:rsidRPr="00882767" w:rsidRDefault="00882767" w:rsidP="00882767">
      <w:pPr>
        <w:rPr>
          <w:rFonts w:eastAsia="Times New Roman"/>
          <w:szCs w:val="17"/>
        </w:rPr>
      </w:pPr>
      <w:r w:rsidRPr="00882767">
        <w:rPr>
          <w:rFonts w:eastAsia="Times New Roman"/>
          <w:szCs w:val="17"/>
        </w:rPr>
        <w:t>A person’s determination as an Authorised Mental Health Professional expires three years after the commencement date.</w:t>
      </w:r>
    </w:p>
    <w:p w:rsidR="00882767" w:rsidRPr="00882767" w:rsidRDefault="00882767" w:rsidP="00882767">
      <w:pPr>
        <w:spacing w:after="0"/>
        <w:rPr>
          <w:rFonts w:eastAsia="Times New Roman"/>
          <w:szCs w:val="17"/>
        </w:rPr>
      </w:pPr>
      <w:r w:rsidRPr="00882767">
        <w:rPr>
          <w:rFonts w:eastAsia="Times New Roman"/>
          <w:szCs w:val="17"/>
        </w:rPr>
        <w:t>Dated: 11 December 2020</w:t>
      </w:r>
    </w:p>
    <w:p w:rsidR="00882767" w:rsidRPr="00882767" w:rsidRDefault="00882767" w:rsidP="00882767">
      <w:pPr>
        <w:spacing w:after="0"/>
        <w:jc w:val="right"/>
        <w:rPr>
          <w:rFonts w:eastAsia="Times New Roman"/>
          <w:smallCaps/>
          <w:szCs w:val="20"/>
        </w:rPr>
      </w:pPr>
      <w:r w:rsidRPr="00882767">
        <w:rPr>
          <w:rFonts w:eastAsia="Times New Roman"/>
          <w:smallCaps/>
          <w:szCs w:val="20"/>
        </w:rPr>
        <w:t>Dr J. Brayley</w:t>
      </w:r>
    </w:p>
    <w:p w:rsidR="00B03057" w:rsidRDefault="00882767" w:rsidP="00882767">
      <w:pPr>
        <w:spacing w:after="0"/>
        <w:jc w:val="right"/>
        <w:rPr>
          <w:rFonts w:eastAsia="Times New Roman"/>
          <w:szCs w:val="17"/>
        </w:rPr>
      </w:pPr>
      <w:r w:rsidRPr="00882767">
        <w:rPr>
          <w:rFonts w:eastAsia="Times New Roman"/>
          <w:szCs w:val="17"/>
        </w:rPr>
        <w:t>Chief Psychiatrist</w:t>
      </w:r>
    </w:p>
    <w:p w:rsidR="00882767" w:rsidRDefault="00882767" w:rsidP="00882767">
      <w:pPr>
        <w:pBdr>
          <w:bottom w:val="single" w:sz="4" w:space="1" w:color="auto"/>
        </w:pBdr>
        <w:spacing w:after="0" w:line="52" w:lineRule="exact"/>
        <w:jc w:val="center"/>
        <w:rPr>
          <w:lang w:val="en-US"/>
        </w:rPr>
      </w:pPr>
    </w:p>
    <w:p w:rsidR="00882767" w:rsidRDefault="00882767" w:rsidP="00882767">
      <w:pPr>
        <w:pBdr>
          <w:top w:val="single" w:sz="4" w:space="1" w:color="auto"/>
        </w:pBdr>
        <w:spacing w:before="34" w:after="0" w:line="14" w:lineRule="exact"/>
        <w:jc w:val="center"/>
        <w:rPr>
          <w:lang w:val="en-US"/>
        </w:rPr>
      </w:pPr>
    </w:p>
    <w:p w:rsidR="001B15E7" w:rsidRDefault="001B15E7" w:rsidP="001B15E7">
      <w:pPr>
        <w:pStyle w:val="GG-body"/>
        <w:spacing w:after="0"/>
      </w:pPr>
    </w:p>
    <w:p w:rsidR="004D3D08" w:rsidRDefault="004D3D08">
      <w:pPr>
        <w:spacing w:after="0" w:line="240" w:lineRule="auto"/>
        <w:jc w:val="left"/>
        <w:rPr>
          <w:caps/>
          <w:szCs w:val="17"/>
          <w:lang w:eastAsia="en-AU"/>
        </w:rPr>
      </w:pPr>
      <w:r>
        <w:rPr>
          <w:caps/>
          <w:szCs w:val="17"/>
          <w:lang w:eastAsia="en-AU"/>
        </w:rPr>
        <w:br w:type="page"/>
      </w:r>
    </w:p>
    <w:p w:rsidR="00E26C8E" w:rsidRPr="00E26C8E" w:rsidRDefault="00E26C8E" w:rsidP="005549E6">
      <w:pPr>
        <w:pStyle w:val="Heading2"/>
        <w:rPr>
          <w:lang w:eastAsia="en-AU"/>
        </w:rPr>
      </w:pPr>
      <w:bookmarkStart w:id="120" w:name="_Toc59098954"/>
      <w:r w:rsidRPr="00E26C8E">
        <w:rPr>
          <w:lang w:eastAsia="en-AU"/>
        </w:rPr>
        <w:lastRenderedPageBreak/>
        <w:t>Mining Act 1971</w:t>
      </w:r>
      <w:bookmarkEnd w:id="120"/>
    </w:p>
    <w:p w:rsidR="00E26C8E" w:rsidRPr="00E26C8E" w:rsidRDefault="00E26C8E" w:rsidP="00E26C8E">
      <w:pPr>
        <w:spacing w:before="240" w:after="120" w:line="240" w:lineRule="auto"/>
        <w:jc w:val="left"/>
        <w:textAlignment w:val="baseline"/>
        <w:rPr>
          <w:rFonts w:ascii="Segoe UI" w:eastAsia="Times New Roman" w:hAnsi="Segoe UI" w:cs="Segoe UI"/>
          <w:sz w:val="18"/>
          <w:szCs w:val="18"/>
          <w:lang w:eastAsia="en-AU"/>
        </w:rPr>
      </w:pPr>
      <w:r w:rsidRPr="00E26C8E">
        <w:rPr>
          <w:rFonts w:eastAsia="Times New Roman"/>
          <w:color w:val="000000"/>
          <w:sz w:val="28"/>
          <w:szCs w:val="28"/>
          <w:lang w:eastAsia="en-AU"/>
        </w:rPr>
        <w:t>South Australia</w:t>
      </w:r>
    </w:p>
    <w:p w:rsidR="00E26C8E" w:rsidRPr="00E26C8E" w:rsidRDefault="00E26C8E" w:rsidP="00E26C8E">
      <w:pPr>
        <w:spacing w:after="120" w:line="240" w:lineRule="auto"/>
        <w:jc w:val="left"/>
        <w:textAlignment w:val="baseline"/>
        <w:rPr>
          <w:rFonts w:ascii="Segoe UI" w:eastAsia="Times New Roman" w:hAnsi="Segoe UI" w:cs="Segoe UI"/>
          <w:sz w:val="36"/>
          <w:szCs w:val="36"/>
          <w:lang w:eastAsia="en-AU"/>
        </w:rPr>
      </w:pPr>
      <w:r w:rsidRPr="00E26C8E">
        <w:rPr>
          <w:rFonts w:eastAsia="Times New Roman"/>
          <w:b/>
          <w:bCs/>
          <w:color w:val="000000"/>
          <w:sz w:val="36"/>
          <w:szCs w:val="36"/>
          <w:lang w:eastAsia="en-AU"/>
        </w:rPr>
        <w:t>Mining (Fees) Notice 2020</w:t>
      </w:r>
    </w:p>
    <w:p w:rsidR="00E26C8E" w:rsidRPr="00E26C8E" w:rsidRDefault="00E26C8E" w:rsidP="00E26C8E">
      <w:pPr>
        <w:spacing w:after="120" w:line="240" w:lineRule="auto"/>
        <w:jc w:val="left"/>
        <w:textAlignment w:val="baseline"/>
        <w:rPr>
          <w:rFonts w:eastAsia="Times New Roman"/>
          <w:i/>
          <w:iCs/>
          <w:color w:val="000000"/>
          <w:sz w:val="24"/>
          <w:szCs w:val="24"/>
          <w:lang w:eastAsia="en-AU"/>
        </w:rPr>
      </w:pPr>
      <w:r w:rsidRPr="00E26C8E">
        <w:rPr>
          <w:rFonts w:eastAsia="Times New Roman"/>
          <w:color w:val="000000"/>
          <w:sz w:val="24"/>
          <w:szCs w:val="24"/>
          <w:lang w:eastAsia="en-AU"/>
        </w:rPr>
        <w:t xml:space="preserve">under the </w:t>
      </w:r>
      <w:r w:rsidRPr="00E26C8E">
        <w:rPr>
          <w:rFonts w:eastAsia="Times New Roman"/>
          <w:i/>
          <w:iCs/>
          <w:color w:val="000000"/>
          <w:sz w:val="24"/>
          <w:szCs w:val="24"/>
          <w:lang w:eastAsia="en-AU"/>
        </w:rPr>
        <w:t>Mining Act 1971</w:t>
      </w:r>
    </w:p>
    <w:p w:rsidR="00E26C8E" w:rsidRPr="00E26C8E" w:rsidRDefault="00E26C8E" w:rsidP="00E26C8E">
      <w:pPr>
        <w:spacing w:before="240" w:after="120" w:line="240" w:lineRule="auto"/>
        <w:ind w:left="556" w:hanging="556"/>
        <w:jc w:val="left"/>
        <w:textAlignment w:val="baseline"/>
        <w:rPr>
          <w:rFonts w:ascii="Segoe UI" w:eastAsia="Times New Roman" w:hAnsi="Segoe UI" w:cs="Segoe UI"/>
          <w:b/>
          <w:bCs/>
          <w:color w:val="000000"/>
          <w:sz w:val="18"/>
          <w:szCs w:val="18"/>
          <w:lang w:eastAsia="en-AU"/>
        </w:rPr>
      </w:pPr>
      <w:r w:rsidRPr="00E26C8E">
        <w:rPr>
          <w:rFonts w:eastAsia="Times New Roman"/>
          <w:b/>
          <w:bCs/>
          <w:color w:val="000000"/>
          <w:sz w:val="26"/>
          <w:szCs w:val="26"/>
          <w:lang w:eastAsia="en-AU"/>
        </w:rPr>
        <w:t>1—Short title</w:t>
      </w:r>
    </w:p>
    <w:p w:rsidR="00E26C8E" w:rsidRPr="00E26C8E" w:rsidRDefault="00E26C8E" w:rsidP="00E26C8E">
      <w:pPr>
        <w:spacing w:after="120" w:line="240" w:lineRule="auto"/>
        <w:ind w:left="709"/>
        <w:jc w:val="left"/>
        <w:textAlignment w:val="baseline"/>
        <w:rPr>
          <w:rFonts w:ascii="Segoe UI" w:eastAsia="Times New Roman" w:hAnsi="Segoe UI" w:cs="Segoe UI"/>
          <w:sz w:val="18"/>
          <w:szCs w:val="18"/>
          <w:lang w:eastAsia="en-AU"/>
        </w:rPr>
      </w:pPr>
      <w:r w:rsidRPr="00E26C8E">
        <w:rPr>
          <w:rFonts w:eastAsia="Times New Roman"/>
          <w:color w:val="000000"/>
          <w:sz w:val="23"/>
          <w:szCs w:val="23"/>
          <w:lang w:eastAsia="en-AU"/>
        </w:rPr>
        <w:t xml:space="preserve">This notice may be cited as the </w:t>
      </w:r>
      <w:hyperlink r:id="rId108" w:tgtFrame="_blank" w:history="1">
        <w:r w:rsidRPr="00E26C8E">
          <w:rPr>
            <w:rFonts w:eastAsia="Times New Roman"/>
            <w:i/>
            <w:iCs/>
            <w:color w:val="000000"/>
            <w:sz w:val="23"/>
            <w:szCs w:val="23"/>
            <w:lang w:eastAsia="en-AU"/>
          </w:rPr>
          <w:t>Mining (Fees) Notice 2020</w:t>
        </w:r>
      </w:hyperlink>
      <w:r w:rsidRPr="00E26C8E">
        <w:rPr>
          <w:rFonts w:eastAsia="Times New Roman"/>
          <w:color w:val="000000"/>
          <w:sz w:val="23"/>
          <w:szCs w:val="23"/>
          <w:lang w:eastAsia="en-AU"/>
        </w:rPr>
        <w:t>.</w:t>
      </w:r>
    </w:p>
    <w:p w:rsidR="00E26C8E" w:rsidRPr="00E26C8E" w:rsidRDefault="00E26C8E" w:rsidP="00E26C8E">
      <w:pPr>
        <w:spacing w:after="120" w:line="240" w:lineRule="auto"/>
        <w:ind w:left="1418" w:hanging="709"/>
        <w:jc w:val="left"/>
        <w:textAlignment w:val="baseline"/>
        <w:rPr>
          <w:rFonts w:ascii="Segoe UI" w:eastAsia="Times New Roman" w:hAnsi="Segoe UI" w:cs="Segoe UI"/>
          <w:sz w:val="18"/>
          <w:szCs w:val="18"/>
          <w:lang w:eastAsia="en-AU"/>
        </w:rPr>
      </w:pPr>
      <w:r w:rsidRPr="00E26C8E">
        <w:rPr>
          <w:rFonts w:eastAsia="Times New Roman"/>
          <w:b/>
          <w:bCs/>
          <w:color w:val="000000"/>
          <w:sz w:val="20"/>
          <w:szCs w:val="20"/>
          <w:lang w:eastAsia="en-AU"/>
        </w:rPr>
        <w:t>Note—</w:t>
      </w:r>
    </w:p>
    <w:p w:rsidR="00E26C8E" w:rsidRPr="00E26C8E" w:rsidRDefault="00E26C8E" w:rsidP="00E26C8E">
      <w:pPr>
        <w:spacing w:after="120" w:line="240" w:lineRule="auto"/>
        <w:ind w:left="1418"/>
        <w:jc w:val="left"/>
        <w:textAlignment w:val="baseline"/>
        <w:rPr>
          <w:rFonts w:ascii="Segoe UI" w:eastAsia="Times New Roman" w:hAnsi="Segoe UI" w:cs="Segoe UI"/>
          <w:sz w:val="18"/>
          <w:szCs w:val="18"/>
          <w:lang w:eastAsia="en-AU"/>
        </w:rPr>
      </w:pPr>
      <w:r w:rsidRPr="00E26C8E">
        <w:rPr>
          <w:rFonts w:eastAsia="Times New Roman"/>
          <w:color w:val="000000"/>
          <w:sz w:val="20"/>
          <w:szCs w:val="20"/>
          <w:lang w:eastAsia="en-AU"/>
        </w:rPr>
        <w:t xml:space="preserve">This is a fee notice made in accordance with the </w:t>
      </w:r>
      <w:hyperlink r:id="rId109" w:tgtFrame="_blank" w:history="1">
        <w:r w:rsidRPr="00E26C8E">
          <w:rPr>
            <w:rFonts w:eastAsia="Times New Roman"/>
            <w:i/>
            <w:iCs/>
            <w:color w:val="000000"/>
            <w:sz w:val="20"/>
            <w:szCs w:val="20"/>
            <w:lang w:eastAsia="en-AU"/>
          </w:rPr>
          <w:t>Legislation (Fees) Act 2019</w:t>
        </w:r>
      </w:hyperlink>
      <w:r w:rsidRPr="00E26C8E">
        <w:rPr>
          <w:rFonts w:eastAsia="Times New Roman"/>
          <w:color w:val="000000"/>
          <w:sz w:val="20"/>
          <w:szCs w:val="20"/>
          <w:lang w:eastAsia="en-AU"/>
        </w:rPr>
        <w:t>.</w:t>
      </w:r>
    </w:p>
    <w:p w:rsidR="00E26C8E" w:rsidRPr="00E26C8E" w:rsidRDefault="00E26C8E" w:rsidP="00E26C8E">
      <w:pPr>
        <w:spacing w:after="120" w:line="240" w:lineRule="auto"/>
        <w:ind w:left="555" w:hanging="555"/>
        <w:jc w:val="left"/>
        <w:textAlignment w:val="baseline"/>
        <w:rPr>
          <w:rFonts w:ascii="Segoe UI" w:eastAsia="Times New Roman" w:hAnsi="Segoe UI" w:cs="Segoe UI"/>
          <w:b/>
          <w:bCs/>
          <w:color w:val="000000"/>
          <w:sz w:val="18"/>
          <w:szCs w:val="18"/>
          <w:lang w:eastAsia="en-AU"/>
        </w:rPr>
      </w:pPr>
      <w:r w:rsidRPr="00E26C8E">
        <w:rPr>
          <w:rFonts w:eastAsia="Times New Roman"/>
          <w:b/>
          <w:bCs/>
          <w:color w:val="000000"/>
          <w:sz w:val="26"/>
          <w:szCs w:val="26"/>
          <w:lang w:eastAsia="en-AU"/>
        </w:rPr>
        <w:t>2—Commencement</w:t>
      </w:r>
    </w:p>
    <w:p w:rsidR="00E26C8E" w:rsidRPr="00E26C8E" w:rsidRDefault="00E26C8E" w:rsidP="00E26C8E">
      <w:pPr>
        <w:spacing w:after="120" w:line="240" w:lineRule="auto"/>
        <w:ind w:left="709"/>
        <w:jc w:val="left"/>
        <w:textAlignment w:val="baseline"/>
        <w:rPr>
          <w:rFonts w:ascii="Segoe UI" w:eastAsia="Times New Roman" w:hAnsi="Segoe UI" w:cs="Segoe UI"/>
          <w:sz w:val="18"/>
          <w:szCs w:val="18"/>
          <w:lang w:eastAsia="en-AU"/>
        </w:rPr>
      </w:pPr>
      <w:r w:rsidRPr="00E26C8E">
        <w:rPr>
          <w:rFonts w:eastAsia="Times New Roman"/>
          <w:color w:val="000000"/>
          <w:sz w:val="23"/>
          <w:szCs w:val="23"/>
          <w:lang w:eastAsia="en-AU"/>
        </w:rPr>
        <w:t>This notice has effect on 1 January 2021.</w:t>
      </w:r>
    </w:p>
    <w:p w:rsidR="00E26C8E" w:rsidRPr="00E26C8E" w:rsidRDefault="00E26C8E" w:rsidP="00E26C8E">
      <w:pPr>
        <w:spacing w:after="120" w:line="240" w:lineRule="auto"/>
        <w:ind w:left="555" w:hanging="555"/>
        <w:jc w:val="left"/>
        <w:textAlignment w:val="baseline"/>
        <w:rPr>
          <w:rFonts w:ascii="Segoe UI" w:eastAsia="Times New Roman" w:hAnsi="Segoe UI" w:cs="Segoe UI"/>
          <w:b/>
          <w:bCs/>
          <w:color w:val="000000"/>
          <w:sz w:val="18"/>
          <w:szCs w:val="18"/>
          <w:lang w:eastAsia="en-AU"/>
        </w:rPr>
      </w:pPr>
      <w:r w:rsidRPr="00E26C8E">
        <w:rPr>
          <w:rFonts w:eastAsia="Times New Roman"/>
          <w:b/>
          <w:bCs/>
          <w:color w:val="000000"/>
          <w:sz w:val="26"/>
          <w:szCs w:val="26"/>
          <w:lang w:eastAsia="en-AU"/>
        </w:rPr>
        <w:t>3—Interpretation</w:t>
      </w:r>
    </w:p>
    <w:p w:rsidR="00E26C8E" w:rsidRPr="00E26C8E" w:rsidRDefault="00E26C8E" w:rsidP="00E26C8E">
      <w:pPr>
        <w:spacing w:after="120" w:line="240" w:lineRule="auto"/>
        <w:ind w:left="709"/>
        <w:jc w:val="left"/>
        <w:textAlignment w:val="baseline"/>
        <w:rPr>
          <w:rFonts w:ascii="Segoe UI" w:eastAsia="Times New Roman" w:hAnsi="Segoe UI" w:cs="Segoe UI"/>
          <w:sz w:val="18"/>
          <w:szCs w:val="18"/>
          <w:lang w:eastAsia="en-AU"/>
        </w:rPr>
      </w:pPr>
      <w:r w:rsidRPr="00E26C8E">
        <w:rPr>
          <w:rFonts w:eastAsia="Times New Roman"/>
          <w:color w:val="000000"/>
          <w:sz w:val="23"/>
          <w:szCs w:val="23"/>
          <w:lang w:eastAsia="en-AU"/>
        </w:rPr>
        <w:t>In this notice—</w:t>
      </w:r>
    </w:p>
    <w:p w:rsidR="00E26C8E" w:rsidRPr="00E26C8E" w:rsidRDefault="00E26C8E" w:rsidP="00E26C8E">
      <w:pPr>
        <w:spacing w:after="120" w:line="240" w:lineRule="auto"/>
        <w:ind w:left="709"/>
        <w:jc w:val="left"/>
        <w:textAlignment w:val="baseline"/>
        <w:rPr>
          <w:rFonts w:ascii="Segoe UI" w:eastAsia="Times New Roman" w:hAnsi="Segoe UI" w:cs="Segoe UI"/>
          <w:sz w:val="18"/>
          <w:szCs w:val="18"/>
          <w:lang w:eastAsia="en-AU"/>
        </w:rPr>
      </w:pPr>
      <w:r w:rsidRPr="00E26C8E">
        <w:rPr>
          <w:rFonts w:eastAsia="Times New Roman"/>
          <w:b/>
          <w:bCs/>
          <w:i/>
          <w:iCs/>
          <w:color w:val="000000"/>
          <w:sz w:val="23"/>
          <w:szCs w:val="23"/>
          <w:lang w:eastAsia="en-AU"/>
        </w:rPr>
        <w:t>Act</w:t>
      </w:r>
      <w:r w:rsidRPr="00E26C8E">
        <w:rPr>
          <w:rFonts w:eastAsia="Times New Roman"/>
          <w:color w:val="000000"/>
          <w:sz w:val="23"/>
          <w:szCs w:val="23"/>
          <w:lang w:eastAsia="en-AU"/>
        </w:rPr>
        <w:t xml:space="preserve"> means the </w:t>
      </w:r>
      <w:hyperlink r:id="rId110" w:tgtFrame="_blank" w:history="1">
        <w:r w:rsidRPr="00E26C8E">
          <w:rPr>
            <w:rFonts w:eastAsia="Times New Roman"/>
            <w:i/>
            <w:iCs/>
            <w:color w:val="000000"/>
            <w:sz w:val="23"/>
            <w:szCs w:val="23"/>
            <w:lang w:eastAsia="en-AU"/>
          </w:rPr>
          <w:t>Mining Act 1971</w:t>
        </w:r>
      </w:hyperlink>
      <w:r w:rsidRPr="00E26C8E">
        <w:rPr>
          <w:rFonts w:eastAsia="Times New Roman"/>
          <w:color w:val="000000"/>
          <w:sz w:val="23"/>
          <w:szCs w:val="23"/>
          <w:lang w:eastAsia="en-AU"/>
        </w:rPr>
        <w:t>;</w:t>
      </w:r>
    </w:p>
    <w:p w:rsidR="00E26C8E" w:rsidRPr="00E26C8E" w:rsidRDefault="00E26C8E" w:rsidP="00E26C8E">
      <w:pPr>
        <w:spacing w:after="120" w:line="240" w:lineRule="auto"/>
        <w:ind w:left="709"/>
        <w:jc w:val="left"/>
        <w:textAlignment w:val="baseline"/>
        <w:rPr>
          <w:rFonts w:ascii="Segoe UI" w:eastAsia="Times New Roman" w:hAnsi="Segoe UI" w:cs="Segoe UI"/>
          <w:sz w:val="18"/>
          <w:szCs w:val="18"/>
          <w:lang w:eastAsia="en-AU"/>
        </w:rPr>
      </w:pPr>
      <w:r w:rsidRPr="00E26C8E">
        <w:rPr>
          <w:rFonts w:eastAsia="Times New Roman"/>
          <w:b/>
          <w:bCs/>
          <w:i/>
          <w:iCs/>
          <w:color w:val="000000"/>
          <w:sz w:val="23"/>
          <w:szCs w:val="23"/>
          <w:lang w:eastAsia="en-AU"/>
        </w:rPr>
        <w:t>capital cost means—</w:t>
      </w:r>
    </w:p>
    <w:p w:rsidR="00E26C8E" w:rsidRPr="00E26C8E" w:rsidRDefault="00E26C8E" w:rsidP="00E26C8E">
      <w:pPr>
        <w:spacing w:after="120" w:line="240" w:lineRule="auto"/>
        <w:ind w:left="1134" w:hanging="425"/>
        <w:jc w:val="left"/>
        <w:textAlignment w:val="baseline"/>
        <w:rPr>
          <w:rFonts w:eastAsia="Times New Roman"/>
          <w:sz w:val="23"/>
          <w:szCs w:val="23"/>
          <w:lang w:eastAsia="en-AU"/>
        </w:rPr>
      </w:pPr>
      <w:r w:rsidRPr="00E26C8E">
        <w:rPr>
          <w:rFonts w:eastAsia="Times New Roman"/>
          <w:color w:val="000000"/>
          <w:sz w:val="23"/>
          <w:szCs w:val="23"/>
          <w:lang w:eastAsia="en-AU"/>
        </w:rPr>
        <w:t>a.</w:t>
      </w:r>
      <w:r w:rsidRPr="00E26C8E">
        <w:rPr>
          <w:rFonts w:eastAsia="Times New Roman"/>
          <w:color w:val="000000"/>
          <w:sz w:val="23"/>
          <w:szCs w:val="23"/>
          <w:lang w:eastAsia="en-AU"/>
        </w:rPr>
        <w:tab/>
        <w:t>in relation to a mining lease, the aggregate of the costs incurred or reasonably expected to be incurred before operations constituting the mining or recovery of minerals commence under the lease; or</w:t>
      </w:r>
    </w:p>
    <w:p w:rsidR="00E26C8E" w:rsidRPr="00E26C8E" w:rsidRDefault="00E26C8E" w:rsidP="00E26C8E">
      <w:pPr>
        <w:spacing w:after="120" w:line="240" w:lineRule="auto"/>
        <w:ind w:left="1134" w:hanging="425"/>
        <w:jc w:val="left"/>
        <w:textAlignment w:val="baseline"/>
        <w:rPr>
          <w:rFonts w:eastAsia="Times New Roman"/>
          <w:sz w:val="23"/>
          <w:szCs w:val="23"/>
          <w:lang w:eastAsia="en-AU"/>
        </w:rPr>
      </w:pPr>
      <w:r w:rsidRPr="00E26C8E">
        <w:rPr>
          <w:rFonts w:eastAsia="Times New Roman"/>
          <w:color w:val="000000"/>
          <w:sz w:val="23"/>
          <w:szCs w:val="23"/>
          <w:lang w:eastAsia="en-AU"/>
        </w:rPr>
        <w:t>b.</w:t>
      </w:r>
      <w:r w:rsidRPr="00E26C8E">
        <w:rPr>
          <w:rFonts w:eastAsia="Times New Roman"/>
          <w:color w:val="000000"/>
          <w:sz w:val="23"/>
          <w:szCs w:val="23"/>
          <w:lang w:eastAsia="en-AU"/>
        </w:rPr>
        <w:tab/>
        <w:t>in relation to a miscellaneous purposes licence, the aggregate of the capital costs incurred or reasonably expected to be incurred under or in connection with the licence,</w:t>
      </w:r>
      <w:r w:rsidRPr="00E26C8E">
        <w:rPr>
          <w:rFonts w:eastAsia="Times New Roman"/>
          <w:sz w:val="23"/>
          <w:szCs w:val="23"/>
          <w:lang w:eastAsia="en-AU"/>
        </w:rPr>
        <w:t xml:space="preserve"> </w:t>
      </w:r>
      <w:r w:rsidRPr="00E26C8E">
        <w:rPr>
          <w:rFonts w:eastAsia="Times New Roman"/>
          <w:color w:val="000000"/>
          <w:sz w:val="23"/>
          <w:szCs w:val="23"/>
          <w:lang w:eastAsia="en-AU"/>
        </w:rPr>
        <w:t>including costs associated with any of the following:</w:t>
      </w:r>
    </w:p>
    <w:p w:rsidR="00E26C8E" w:rsidRPr="00E26C8E" w:rsidRDefault="00E26C8E" w:rsidP="00E26C8E">
      <w:pPr>
        <w:spacing w:after="120" w:line="240" w:lineRule="auto"/>
        <w:ind w:left="1560" w:hanging="425"/>
        <w:jc w:val="left"/>
        <w:textAlignment w:val="baseline"/>
        <w:rPr>
          <w:rFonts w:eastAsia="Times New Roman"/>
          <w:sz w:val="23"/>
          <w:szCs w:val="23"/>
          <w:lang w:eastAsia="en-AU"/>
        </w:rPr>
      </w:pPr>
      <w:r w:rsidRPr="00E26C8E">
        <w:rPr>
          <w:rFonts w:eastAsia="Times New Roman"/>
          <w:color w:val="000000"/>
          <w:sz w:val="23"/>
          <w:szCs w:val="23"/>
          <w:lang w:eastAsia="en-AU"/>
        </w:rPr>
        <w:t>c.</w:t>
      </w:r>
      <w:r w:rsidRPr="00E26C8E">
        <w:rPr>
          <w:rFonts w:eastAsia="Times New Roman"/>
          <w:color w:val="000000"/>
          <w:sz w:val="23"/>
          <w:szCs w:val="23"/>
          <w:lang w:eastAsia="en-AU"/>
        </w:rPr>
        <w:tab/>
        <w:t>engineering, planning or design work;</w:t>
      </w:r>
    </w:p>
    <w:p w:rsidR="00E26C8E" w:rsidRPr="00E26C8E" w:rsidRDefault="00E26C8E" w:rsidP="00E26C8E">
      <w:pPr>
        <w:spacing w:after="120" w:line="240" w:lineRule="auto"/>
        <w:ind w:left="1560" w:hanging="425"/>
        <w:jc w:val="left"/>
        <w:textAlignment w:val="baseline"/>
        <w:rPr>
          <w:rFonts w:eastAsia="Times New Roman"/>
          <w:sz w:val="23"/>
          <w:szCs w:val="23"/>
          <w:lang w:eastAsia="en-AU"/>
        </w:rPr>
      </w:pPr>
      <w:r w:rsidRPr="00E26C8E">
        <w:rPr>
          <w:rFonts w:eastAsia="Times New Roman"/>
          <w:color w:val="000000"/>
          <w:sz w:val="23"/>
          <w:szCs w:val="23"/>
          <w:lang w:eastAsia="en-AU"/>
        </w:rPr>
        <w:t>d.</w:t>
      </w:r>
      <w:r w:rsidRPr="00E26C8E">
        <w:rPr>
          <w:rFonts w:eastAsia="Times New Roman"/>
          <w:color w:val="000000"/>
          <w:sz w:val="23"/>
          <w:szCs w:val="23"/>
          <w:lang w:eastAsia="en-AU"/>
        </w:rPr>
        <w:tab/>
        <w:t>works associated with open pit development or underground working development;</w:t>
      </w:r>
    </w:p>
    <w:p w:rsidR="00E26C8E" w:rsidRPr="00E26C8E" w:rsidRDefault="00E26C8E" w:rsidP="00E26C8E">
      <w:pPr>
        <w:spacing w:after="120" w:line="240" w:lineRule="auto"/>
        <w:ind w:left="1560" w:hanging="425"/>
        <w:jc w:val="left"/>
        <w:textAlignment w:val="baseline"/>
        <w:rPr>
          <w:rFonts w:eastAsia="Times New Roman"/>
          <w:sz w:val="23"/>
          <w:szCs w:val="23"/>
          <w:lang w:eastAsia="en-AU"/>
        </w:rPr>
      </w:pPr>
      <w:r w:rsidRPr="00E26C8E">
        <w:rPr>
          <w:rFonts w:eastAsia="Times New Roman"/>
          <w:color w:val="000000"/>
          <w:sz w:val="23"/>
          <w:szCs w:val="23"/>
          <w:lang w:eastAsia="en-AU"/>
        </w:rPr>
        <w:t>e.</w:t>
      </w:r>
      <w:r w:rsidRPr="00E26C8E">
        <w:rPr>
          <w:rFonts w:eastAsia="Times New Roman"/>
          <w:color w:val="000000"/>
          <w:sz w:val="23"/>
          <w:szCs w:val="23"/>
          <w:lang w:eastAsia="en-AU"/>
        </w:rPr>
        <w:tab/>
        <w:t>constructing or installing infrastructure for the operations including—</w:t>
      </w:r>
    </w:p>
    <w:p w:rsidR="00E26C8E" w:rsidRPr="00E26C8E" w:rsidRDefault="00E26C8E" w:rsidP="00E26C8E">
      <w:pPr>
        <w:spacing w:after="120" w:line="240" w:lineRule="auto"/>
        <w:ind w:left="1985" w:hanging="426"/>
        <w:jc w:val="left"/>
        <w:textAlignment w:val="baseline"/>
        <w:rPr>
          <w:rFonts w:eastAsia="Times New Roman"/>
          <w:sz w:val="23"/>
          <w:szCs w:val="23"/>
          <w:lang w:eastAsia="en-AU"/>
        </w:rPr>
      </w:pPr>
      <w:r w:rsidRPr="00E26C8E">
        <w:rPr>
          <w:rFonts w:eastAsia="Times New Roman"/>
          <w:color w:val="000000"/>
          <w:sz w:val="23"/>
          <w:szCs w:val="23"/>
          <w:lang w:eastAsia="en-AU"/>
        </w:rPr>
        <w:t>i.</w:t>
      </w:r>
      <w:r w:rsidRPr="00E26C8E">
        <w:rPr>
          <w:rFonts w:eastAsia="Times New Roman"/>
          <w:color w:val="000000"/>
          <w:sz w:val="23"/>
          <w:szCs w:val="23"/>
          <w:lang w:eastAsia="en-AU"/>
        </w:rPr>
        <w:tab/>
        <w:t>pit and underground infrastructure; and</w:t>
      </w:r>
    </w:p>
    <w:p w:rsidR="00E26C8E" w:rsidRPr="00E26C8E" w:rsidRDefault="00E26C8E" w:rsidP="00E26C8E">
      <w:pPr>
        <w:spacing w:after="120" w:line="240" w:lineRule="auto"/>
        <w:ind w:left="1985" w:hanging="426"/>
        <w:jc w:val="left"/>
        <w:textAlignment w:val="baseline"/>
        <w:rPr>
          <w:rFonts w:eastAsia="Times New Roman"/>
          <w:sz w:val="23"/>
          <w:szCs w:val="23"/>
          <w:lang w:eastAsia="en-AU"/>
        </w:rPr>
      </w:pPr>
      <w:r w:rsidRPr="00E26C8E">
        <w:rPr>
          <w:rFonts w:eastAsia="Times New Roman"/>
          <w:color w:val="000000"/>
          <w:sz w:val="23"/>
          <w:szCs w:val="23"/>
          <w:lang w:eastAsia="en-AU"/>
        </w:rPr>
        <w:t>ii.</w:t>
      </w:r>
      <w:r w:rsidRPr="00E26C8E">
        <w:rPr>
          <w:rFonts w:eastAsia="Times New Roman"/>
          <w:color w:val="000000"/>
          <w:sz w:val="23"/>
          <w:szCs w:val="23"/>
          <w:lang w:eastAsia="en-AU"/>
        </w:rPr>
        <w:tab/>
        <w:t>fixed plant; and</w:t>
      </w:r>
    </w:p>
    <w:p w:rsidR="00E26C8E" w:rsidRPr="00E26C8E" w:rsidRDefault="00E26C8E" w:rsidP="00E26C8E">
      <w:pPr>
        <w:spacing w:after="120" w:line="240" w:lineRule="auto"/>
        <w:ind w:left="1985" w:hanging="426"/>
        <w:jc w:val="left"/>
        <w:textAlignment w:val="baseline"/>
        <w:rPr>
          <w:rFonts w:eastAsia="Times New Roman"/>
          <w:sz w:val="23"/>
          <w:szCs w:val="23"/>
          <w:lang w:eastAsia="en-AU"/>
        </w:rPr>
      </w:pPr>
      <w:r w:rsidRPr="00E26C8E">
        <w:rPr>
          <w:rFonts w:eastAsia="Times New Roman"/>
          <w:color w:val="000000"/>
          <w:sz w:val="23"/>
          <w:szCs w:val="23"/>
          <w:lang w:eastAsia="en-AU"/>
        </w:rPr>
        <w:t>iii.</w:t>
      </w:r>
      <w:r w:rsidRPr="00E26C8E">
        <w:rPr>
          <w:rFonts w:eastAsia="Times New Roman"/>
          <w:color w:val="000000"/>
          <w:sz w:val="23"/>
          <w:szCs w:val="23"/>
          <w:lang w:eastAsia="en-AU"/>
        </w:rPr>
        <w:tab/>
        <w:t>rock and tailings waste storage facilities; and</w:t>
      </w:r>
    </w:p>
    <w:p w:rsidR="00E26C8E" w:rsidRPr="00E26C8E" w:rsidRDefault="00E26C8E" w:rsidP="00E26C8E">
      <w:pPr>
        <w:spacing w:after="120" w:line="240" w:lineRule="auto"/>
        <w:ind w:left="1985" w:hanging="426"/>
        <w:jc w:val="left"/>
        <w:textAlignment w:val="baseline"/>
        <w:rPr>
          <w:rFonts w:eastAsia="Times New Roman"/>
          <w:sz w:val="23"/>
          <w:szCs w:val="23"/>
          <w:lang w:eastAsia="en-AU"/>
        </w:rPr>
      </w:pPr>
      <w:r w:rsidRPr="00E26C8E">
        <w:rPr>
          <w:rFonts w:eastAsia="Times New Roman"/>
          <w:color w:val="000000"/>
          <w:sz w:val="23"/>
          <w:szCs w:val="23"/>
          <w:lang w:eastAsia="en-AU"/>
        </w:rPr>
        <w:t>iv.</w:t>
      </w:r>
      <w:r w:rsidRPr="00E26C8E">
        <w:rPr>
          <w:rFonts w:eastAsia="Times New Roman"/>
          <w:color w:val="000000"/>
          <w:sz w:val="23"/>
          <w:szCs w:val="23"/>
          <w:lang w:eastAsia="en-AU"/>
        </w:rPr>
        <w:tab/>
        <w:t>buildings, powerlines, bores and roads;</w:t>
      </w:r>
    </w:p>
    <w:p w:rsidR="00E26C8E" w:rsidRPr="00E26C8E" w:rsidRDefault="00E26C8E" w:rsidP="00E26C8E">
      <w:pPr>
        <w:spacing w:after="120" w:line="240" w:lineRule="auto"/>
        <w:ind w:left="1134" w:hanging="425"/>
        <w:jc w:val="left"/>
        <w:textAlignment w:val="baseline"/>
        <w:rPr>
          <w:rFonts w:eastAsia="Times New Roman"/>
          <w:sz w:val="23"/>
          <w:szCs w:val="23"/>
          <w:lang w:eastAsia="en-AU"/>
        </w:rPr>
      </w:pPr>
      <w:r w:rsidRPr="00E26C8E">
        <w:rPr>
          <w:rFonts w:eastAsia="Times New Roman"/>
          <w:color w:val="000000"/>
          <w:sz w:val="23"/>
          <w:szCs w:val="23"/>
          <w:lang w:eastAsia="en-AU"/>
        </w:rPr>
        <w:t>f.</w:t>
      </w:r>
      <w:r w:rsidRPr="00E26C8E">
        <w:rPr>
          <w:rFonts w:eastAsia="Times New Roman"/>
          <w:color w:val="000000"/>
          <w:sz w:val="23"/>
          <w:szCs w:val="23"/>
          <w:lang w:eastAsia="en-AU"/>
        </w:rPr>
        <w:tab/>
        <w:t>constructing or installing structures, or undertaking earthworks, to prevent, or limit, damage to or impairment of, the environment by the operations;</w:t>
      </w:r>
    </w:p>
    <w:p w:rsidR="00E26C8E" w:rsidRPr="00E26C8E" w:rsidRDefault="00E26C8E" w:rsidP="00E26C8E">
      <w:pPr>
        <w:spacing w:after="120" w:line="240" w:lineRule="auto"/>
        <w:ind w:left="1134" w:hanging="425"/>
        <w:jc w:val="left"/>
        <w:textAlignment w:val="baseline"/>
        <w:rPr>
          <w:rFonts w:eastAsia="Times New Roman"/>
          <w:sz w:val="23"/>
          <w:szCs w:val="23"/>
          <w:lang w:eastAsia="en-AU"/>
        </w:rPr>
      </w:pPr>
      <w:r w:rsidRPr="00E26C8E">
        <w:rPr>
          <w:rFonts w:eastAsia="Times New Roman"/>
          <w:color w:val="000000"/>
          <w:sz w:val="23"/>
          <w:szCs w:val="23"/>
          <w:lang w:eastAsia="en-AU"/>
        </w:rPr>
        <w:t>g.</w:t>
      </w:r>
      <w:r w:rsidRPr="00E26C8E">
        <w:rPr>
          <w:rFonts w:eastAsia="Times New Roman"/>
          <w:color w:val="000000"/>
          <w:sz w:val="23"/>
          <w:szCs w:val="23"/>
          <w:lang w:eastAsia="en-AU"/>
        </w:rPr>
        <w:tab/>
        <w:t>measures associated with the assessment, management, limitation and remediation of the environmental impacts of the operations;</w:t>
      </w:r>
    </w:p>
    <w:p w:rsidR="00E26C8E" w:rsidRPr="00E26C8E" w:rsidRDefault="00E26C8E" w:rsidP="00E26C8E">
      <w:pPr>
        <w:spacing w:after="0" w:line="240" w:lineRule="auto"/>
        <w:jc w:val="left"/>
        <w:rPr>
          <w:rFonts w:eastAsia="Times New Roman"/>
          <w:color w:val="000000"/>
          <w:sz w:val="23"/>
          <w:szCs w:val="23"/>
          <w:lang w:eastAsia="en-AU"/>
        </w:rPr>
      </w:pPr>
      <w:r w:rsidRPr="00E26C8E">
        <w:rPr>
          <w:rFonts w:eastAsia="Times New Roman"/>
          <w:color w:val="000000"/>
          <w:sz w:val="23"/>
          <w:szCs w:val="23"/>
          <w:lang w:eastAsia="en-AU"/>
        </w:rPr>
        <w:br w:type="page"/>
      </w:r>
    </w:p>
    <w:p w:rsidR="00E26C8E" w:rsidRPr="00E26C8E" w:rsidRDefault="00E26C8E" w:rsidP="00E26C8E">
      <w:pPr>
        <w:spacing w:after="120" w:line="240" w:lineRule="auto"/>
        <w:ind w:left="1134" w:hanging="425"/>
        <w:jc w:val="left"/>
        <w:textAlignment w:val="baseline"/>
        <w:rPr>
          <w:rFonts w:eastAsia="Times New Roman"/>
          <w:sz w:val="23"/>
          <w:szCs w:val="23"/>
          <w:lang w:eastAsia="en-AU"/>
        </w:rPr>
      </w:pPr>
      <w:r w:rsidRPr="00E26C8E">
        <w:rPr>
          <w:rFonts w:eastAsia="Times New Roman"/>
          <w:color w:val="000000"/>
          <w:sz w:val="23"/>
          <w:szCs w:val="23"/>
          <w:lang w:eastAsia="en-AU"/>
        </w:rPr>
        <w:lastRenderedPageBreak/>
        <w:t>h.</w:t>
      </w:r>
      <w:r w:rsidRPr="00E26C8E">
        <w:rPr>
          <w:rFonts w:eastAsia="Times New Roman"/>
          <w:color w:val="000000"/>
          <w:sz w:val="23"/>
          <w:szCs w:val="23"/>
          <w:lang w:eastAsia="en-AU"/>
        </w:rPr>
        <w:tab/>
        <w:t>making provision for contingencies, excluding any costs incurred or reasonably expected to be incurred in acquiring land or constructing or installing infrastructure outside the area of the mining lease or miscellaneous purposes licence (as the case may be);</w:t>
      </w:r>
    </w:p>
    <w:p w:rsidR="00E26C8E" w:rsidRPr="00E26C8E" w:rsidRDefault="00E26C8E" w:rsidP="00E26C8E">
      <w:pPr>
        <w:spacing w:after="120" w:line="240" w:lineRule="auto"/>
        <w:ind w:left="1134"/>
        <w:jc w:val="left"/>
        <w:textAlignment w:val="baseline"/>
        <w:rPr>
          <w:rFonts w:ascii="Segoe UI" w:eastAsia="Times New Roman" w:hAnsi="Segoe UI" w:cs="Segoe UI"/>
          <w:sz w:val="18"/>
          <w:szCs w:val="18"/>
          <w:lang w:eastAsia="en-AU"/>
        </w:rPr>
      </w:pPr>
      <w:r w:rsidRPr="00E26C8E">
        <w:rPr>
          <w:rFonts w:eastAsia="Times New Roman"/>
          <w:b/>
          <w:bCs/>
          <w:i/>
          <w:iCs/>
          <w:color w:val="000000"/>
          <w:sz w:val="23"/>
          <w:szCs w:val="23"/>
          <w:lang w:eastAsia="en-AU"/>
        </w:rPr>
        <w:t>conservation park</w:t>
      </w:r>
      <w:r w:rsidRPr="00E26C8E">
        <w:rPr>
          <w:rFonts w:eastAsia="Times New Roman"/>
          <w:color w:val="000000"/>
          <w:sz w:val="23"/>
          <w:szCs w:val="23"/>
          <w:lang w:eastAsia="en-AU"/>
        </w:rPr>
        <w:t xml:space="preserve"> has the same meaning as in the </w:t>
      </w:r>
      <w:hyperlink r:id="rId111" w:tgtFrame="_blank" w:history="1">
        <w:r w:rsidRPr="00E26C8E">
          <w:rPr>
            <w:rFonts w:eastAsia="Times New Roman"/>
            <w:i/>
            <w:iCs/>
            <w:color w:val="000000"/>
            <w:sz w:val="23"/>
            <w:szCs w:val="23"/>
            <w:lang w:eastAsia="en-AU"/>
          </w:rPr>
          <w:t>National Parks and Wildlife Act 1972</w:t>
        </w:r>
      </w:hyperlink>
      <w:r w:rsidRPr="00E26C8E">
        <w:rPr>
          <w:rFonts w:eastAsia="Times New Roman"/>
          <w:color w:val="000000"/>
          <w:sz w:val="23"/>
          <w:szCs w:val="23"/>
          <w:lang w:eastAsia="en-AU"/>
        </w:rPr>
        <w:t>;</w:t>
      </w:r>
    </w:p>
    <w:p w:rsidR="00E26C8E" w:rsidRPr="00E26C8E" w:rsidRDefault="00E26C8E" w:rsidP="00E26C8E">
      <w:pPr>
        <w:spacing w:after="120" w:line="240" w:lineRule="auto"/>
        <w:ind w:left="1134"/>
        <w:jc w:val="left"/>
        <w:textAlignment w:val="baseline"/>
        <w:rPr>
          <w:rFonts w:ascii="Segoe UI" w:eastAsia="Times New Roman" w:hAnsi="Segoe UI" w:cs="Segoe UI"/>
          <w:sz w:val="18"/>
          <w:szCs w:val="18"/>
          <w:lang w:eastAsia="en-AU"/>
        </w:rPr>
      </w:pPr>
      <w:r w:rsidRPr="00E26C8E">
        <w:rPr>
          <w:rFonts w:eastAsia="Times New Roman"/>
          <w:b/>
          <w:bCs/>
          <w:i/>
          <w:iCs/>
          <w:color w:val="000000"/>
          <w:sz w:val="23"/>
          <w:szCs w:val="23"/>
          <w:lang w:eastAsia="en-AU"/>
        </w:rPr>
        <w:t>conservation reserve</w:t>
      </w:r>
      <w:r w:rsidRPr="00E26C8E">
        <w:rPr>
          <w:rFonts w:eastAsia="Times New Roman"/>
          <w:color w:val="000000"/>
          <w:sz w:val="23"/>
          <w:szCs w:val="23"/>
          <w:lang w:eastAsia="en-AU"/>
        </w:rPr>
        <w:t xml:space="preserve"> means—</w:t>
      </w:r>
    </w:p>
    <w:p w:rsidR="00E26C8E" w:rsidRPr="00E26C8E" w:rsidRDefault="00E26C8E" w:rsidP="00E26C8E">
      <w:pPr>
        <w:spacing w:after="120" w:line="240" w:lineRule="auto"/>
        <w:ind w:left="1560" w:hanging="425"/>
        <w:jc w:val="left"/>
        <w:textAlignment w:val="baseline"/>
        <w:rPr>
          <w:rFonts w:ascii="Segoe UI" w:eastAsia="Times New Roman" w:hAnsi="Segoe UI" w:cs="Segoe UI"/>
          <w:sz w:val="18"/>
          <w:szCs w:val="18"/>
          <w:lang w:eastAsia="en-AU"/>
        </w:rPr>
      </w:pPr>
      <w:r w:rsidRPr="00E26C8E">
        <w:rPr>
          <w:rFonts w:eastAsia="Times New Roman"/>
          <w:color w:val="000000"/>
          <w:sz w:val="23"/>
          <w:szCs w:val="23"/>
          <w:lang w:eastAsia="en-AU"/>
        </w:rPr>
        <w:t>(a)</w:t>
      </w:r>
      <w:r w:rsidRPr="00E26C8E">
        <w:rPr>
          <w:rFonts w:eastAsia="Times New Roman"/>
          <w:color w:val="000000"/>
          <w:sz w:val="23"/>
          <w:szCs w:val="23"/>
          <w:lang w:eastAsia="en-AU"/>
        </w:rPr>
        <w:tab/>
        <w:t xml:space="preserve">land dedicated as a conservation reserve under section 5 of the </w:t>
      </w:r>
      <w:hyperlink r:id="rId112" w:tgtFrame="_blank" w:history="1">
        <w:r w:rsidRPr="00E26C8E">
          <w:rPr>
            <w:rFonts w:eastAsia="Times New Roman"/>
            <w:i/>
            <w:iCs/>
            <w:color w:val="000000"/>
            <w:sz w:val="23"/>
            <w:szCs w:val="23"/>
            <w:lang w:eastAsia="en-AU"/>
          </w:rPr>
          <w:t>Crown Lands Act 1929</w:t>
        </w:r>
      </w:hyperlink>
      <w:r w:rsidRPr="00E26C8E">
        <w:rPr>
          <w:rFonts w:eastAsia="Times New Roman"/>
          <w:color w:val="000000"/>
          <w:sz w:val="23"/>
          <w:szCs w:val="23"/>
          <w:lang w:eastAsia="en-AU"/>
        </w:rPr>
        <w:t xml:space="preserve"> or section 18 of the </w:t>
      </w:r>
      <w:hyperlink r:id="rId113" w:tgtFrame="_blank" w:history="1">
        <w:r w:rsidRPr="00E26C8E">
          <w:rPr>
            <w:rFonts w:eastAsia="Times New Roman"/>
            <w:i/>
            <w:iCs/>
            <w:color w:val="000000"/>
            <w:sz w:val="23"/>
            <w:szCs w:val="23"/>
            <w:lang w:eastAsia="en-AU"/>
          </w:rPr>
          <w:t>Crown Land Management Act 2009</w:t>
        </w:r>
      </w:hyperlink>
      <w:r w:rsidRPr="00E26C8E">
        <w:rPr>
          <w:rFonts w:eastAsia="Times New Roman"/>
          <w:color w:val="000000"/>
          <w:sz w:val="23"/>
          <w:szCs w:val="23"/>
          <w:lang w:eastAsia="en-AU"/>
        </w:rPr>
        <w:t>; or</w:t>
      </w:r>
    </w:p>
    <w:p w:rsidR="00E26C8E" w:rsidRPr="00E26C8E" w:rsidRDefault="00E26C8E" w:rsidP="00E26C8E">
      <w:pPr>
        <w:spacing w:after="120" w:line="240" w:lineRule="auto"/>
        <w:ind w:left="1560" w:hanging="425"/>
        <w:jc w:val="left"/>
        <w:textAlignment w:val="baseline"/>
        <w:rPr>
          <w:rFonts w:ascii="Segoe UI" w:eastAsia="Times New Roman" w:hAnsi="Segoe UI" w:cs="Segoe UI"/>
          <w:sz w:val="18"/>
          <w:szCs w:val="18"/>
          <w:lang w:eastAsia="en-AU"/>
        </w:rPr>
      </w:pPr>
      <w:r w:rsidRPr="00E26C8E">
        <w:rPr>
          <w:rFonts w:eastAsia="Times New Roman"/>
          <w:color w:val="000000"/>
          <w:sz w:val="23"/>
          <w:szCs w:val="23"/>
          <w:lang w:eastAsia="en-AU"/>
        </w:rPr>
        <w:t>(b)</w:t>
      </w:r>
      <w:r w:rsidRPr="00E26C8E">
        <w:rPr>
          <w:rFonts w:eastAsia="Times New Roman"/>
          <w:color w:val="000000"/>
          <w:sz w:val="23"/>
          <w:szCs w:val="23"/>
          <w:lang w:eastAsia="en-AU"/>
        </w:rPr>
        <w:tab/>
        <w:t xml:space="preserve">land in relation to which a declaration is in force under section 55 of the </w:t>
      </w:r>
      <w:hyperlink r:id="rId114" w:tgtFrame="_blank" w:history="1">
        <w:r w:rsidRPr="00E26C8E">
          <w:rPr>
            <w:rFonts w:eastAsia="Times New Roman"/>
            <w:i/>
            <w:iCs/>
            <w:color w:val="000000"/>
            <w:sz w:val="23"/>
            <w:szCs w:val="23"/>
            <w:lang w:eastAsia="en-AU"/>
          </w:rPr>
          <w:t>Crown Land Management Act 2009</w:t>
        </w:r>
      </w:hyperlink>
      <w:r w:rsidRPr="00E26C8E">
        <w:rPr>
          <w:rFonts w:eastAsia="Times New Roman"/>
          <w:color w:val="000000"/>
          <w:sz w:val="23"/>
          <w:szCs w:val="23"/>
          <w:lang w:eastAsia="en-AU"/>
        </w:rPr>
        <w:t>;</w:t>
      </w:r>
    </w:p>
    <w:p w:rsidR="00E26C8E" w:rsidRPr="00E26C8E" w:rsidRDefault="00E26C8E" w:rsidP="00E26C8E">
      <w:pPr>
        <w:spacing w:after="120" w:line="240" w:lineRule="auto"/>
        <w:ind w:left="1134"/>
        <w:jc w:val="left"/>
        <w:textAlignment w:val="baseline"/>
        <w:rPr>
          <w:rFonts w:ascii="Segoe UI" w:eastAsia="Times New Roman" w:hAnsi="Segoe UI" w:cs="Segoe UI"/>
          <w:sz w:val="18"/>
          <w:szCs w:val="18"/>
          <w:lang w:eastAsia="en-AU"/>
        </w:rPr>
      </w:pPr>
      <w:r w:rsidRPr="00E26C8E">
        <w:rPr>
          <w:rFonts w:eastAsia="Times New Roman"/>
          <w:b/>
          <w:bCs/>
          <w:i/>
          <w:iCs/>
          <w:color w:val="000000"/>
          <w:sz w:val="23"/>
          <w:szCs w:val="23"/>
          <w:lang w:eastAsia="en-AU"/>
        </w:rPr>
        <w:t>declared RAMSAR wetland</w:t>
      </w:r>
      <w:r w:rsidRPr="00E26C8E">
        <w:rPr>
          <w:rFonts w:eastAsia="Times New Roman"/>
          <w:color w:val="000000"/>
          <w:sz w:val="23"/>
          <w:szCs w:val="23"/>
          <w:lang w:eastAsia="en-AU"/>
        </w:rPr>
        <w:t xml:space="preserve"> has the same meaning as in the </w:t>
      </w:r>
      <w:r w:rsidRPr="00E26C8E">
        <w:rPr>
          <w:rFonts w:eastAsia="Times New Roman"/>
          <w:i/>
          <w:iCs/>
          <w:color w:val="000000"/>
          <w:sz w:val="23"/>
          <w:szCs w:val="23"/>
          <w:lang w:eastAsia="en-AU"/>
        </w:rPr>
        <w:t>Environment Protection and Biodiversity Conservation Act 1999</w:t>
      </w:r>
      <w:r w:rsidRPr="00E26C8E">
        <w:rPr>
          <w:rFonts w:eastAsia="Times New Roman"/>
          <w:color w:val="000000"/>
          <w:sz w:val="23"/>
          <w:szCs w:val="23"/>
          <w:lang w:eastAsia="en-AU"/>
        </w:rPr>
        <w:t xml:space="preserve"> of the Commonwealth;</w:t>
      </w:r>
    </w:p>
    <w:p w:rsidR="00E26C8E" w:rsidRPr="00E26C8E" w:rsidRDefault="00E26C8E" w:rsidP="00E26C8E">
      <w:pPr>
        <w:spacing w:after="120" w:line="240" w:lineRule="auto"/>
        <w:ind w:left="1134"/>
        <w:jc w:val="left"/>
        <w:textAlignment w:val="baseline"/>
        <w:rPr>
          <w:rFonts w:ascii="Segoe UI" w:eastAsia="Times New Roman" w:hAnsi="Segoe UI" w:cs="Segoe UI"/>
          <w:sz w:val="18"/>
          <w:szCs w:val="18"/>
          <w:lang w:eastAsia="en-AU"/>
        </w:rPr>
      </w:pPr>
      <w:r w:rsidRPr="00E26C8E">
        <w:rPr>
          <w:rFonts w:eastAsia="Times New Roman"/>
          <w:b/>
          <w:bCs/>
          <w:i/>
          <w:iCs/>
          <w:color w:val="000000"/>
          <w:sz w:val="23"/>
          <w:szCs w:val="23"/>
          <w:lang w:eastAsia="en-AU"/>
        </w:rPr>
        <w:t>exploration regulation fee zone</w:t>
      </w:r>
      <w:r w:rsidRPr="00E26C8E">
        <w:rPr>
          <w:rFonts w:eastAsia="Times New Roman"/>
          <w:color w:val="000000"/>
          <w:sz w:val="23"/>
          <w:szCs w:val="23"/>
          <w:lang w:eastAsia="en-AU"/>
        </w:rPr>
        <w:t xml:space="preserve">—see regulation 87 of the </w:t>
      </w:r>
      <w:hyperlink r:id="rId115" w:tgtFrame="_blank" w:history="1">
        <w:r w:rsidRPr="00E26C8E">
          <w:rPr>
            <w:rFonts w:eastAsia="Times New Roman"/>
            <w:i/>
            <w:iCs/>
            <w:color w:val="000000"/>
            <w:sz w:val="23"/>
            <w:szCs w:val="23"/>
            <w:lang w:eastAsia="en-AU"/>
          </w:rPr>
          <w:t>Mining Regulations 2020</w:t>
        </w:r>
      </w:hyperlink>
      <w:r w:rsidRPr="00E26C8E">
        <w:rPr>
          <w:rFonts w:eastAsia="Times New Roman"/>
          <w:color w:val="000000"/>
          <w:sz w:val="23"/>
          <w:szCs w:val="23"/>
          <w:lang w:eastAsia="en-AU"/>
        </w:rPr>
        <w:t>;</w:t>
      </w:r>
    </w:p>
    <w:p w:rsidR="00E26C8E" w:rsidRPr="00E26C8E" w:rsidRDefault="00E26C8E" w:rsidP="00E26C8E">
      <w:pPr>
        <w:spacing w:after="120" w:line="240" w:lineRule="auto"/>
        <w:ind w:left="1134"/>
        <w:jc w:val="left"/>
        <w:textAlignment w:val="baseline"/>
        <w:rPr>
          <w:rFonts w:ascii="Segoe UI" w:eastAsia="Times New Roman" w:hAnsi="Segoe UI" w:cs="Segoe UI"/>
          <w:sz w:val="18"/>
          <w:szCs w:val="18"/>
          <w:lang w:eastAsia="en-AU"/>
        </w:rPr>
      </w:pPr>
      <w:r w:rsidRPr="00E26C8E">
        <w:rPr>
          <w:rFonts w:eastAsia="Times New Roman"/>
          <w:b/>
          <w:bCs/>
          <w:i/>
          <w:iCs/>
          <w:color w:val="000000"/>
          <w:sz w:val="23"/>
          <w:szCs w:val="23"/>
          <w:lang w:eastAsia="en-AU"/>
        </w:rPr>
        <w:t>heritage agreement</w:t>
      </w:r>
      <w:r w:rsidRPr="00E26C8E">
        <w:rPr>
          <w:rFonts w:eastAsia="Times New Roman"/>
          <w:color w:val="000000"/>
          <w:sz w:val="23"/>
          <w:szCs w:val="23"/>
          <w:lang w:eastAsia="en-AU"/>
        </w:rPr>
        <w:t xml:space="preserve"> means a heritage agreement entered into under section 23 of the </w:t>
      </w:r>
      <w:hyperlink r:id="rId116" w:tgtFrame="_blank" w:history="1">
        <w:r w:rsidRPr="00E26C8E">
          <w:rPr>
            <w:rFonts w:eastAsia="Times New Roman"/>
            <w:i/>
            <w:iCs/>
            <w:color w:val="000000"/>
            <w:sz w:val="23"/>
            <w:szCs w:val="23"/>
            <w:lang w:eastAsia="en-AU"/>
          </w:rPr>
          <w:t>Native Vegetation Act 1991</w:t>
        </w:r>
      </w:hyperlink>
      <w:r w:rsidRPr="00E26C8E">
        <w:rPr>
          <w:rFonts w:eastAsia="Times New Roman"/>
          <w:color w:val="000000"/>
          <w:sz w:val="23"/>
          <w:szCs w:val="23"/>
          <w:lang w:eastAsia="en-AU"/>
        </w:rPr>
        <w:t>;</w:t>
      </w:r>
    </w:p>
    <w:p w:rsidR="00E26C8E" w:rsidRPr="00E26C8E" w:rsidRDefault="00E26C8E" w:rsidP="00E26C8E">
      <w:pPr>
        <w:spacing w:after="120" w:line="240" w:lineRule="auto"/>
        <w:ind w:left="1134"/>
        <w:jc w:val="left"/>
        <w:textAlignment w:val="baseline"/>
        <w:rPr>
          <w:rFonts w:ascii="Segoe UI" w:eastAsia="Times New Roman" w:hAnsi="Segoe UI" w:cs="Segoe UI"/>
          <w:sz w:val="18"/>
          <w:szCs w:val="18"/>
          <w:lang w:eastAsia="en-AU"/>
        </w:rPr>
      </w:pPr>
      <w:r w:rsidRPr="00E26C8E">
        <w:rPr>
          <w:rFonts w:eastAsia="Times New Roman"/>
          <w:b/>
          <w:bCs/>
          <w:i/>
          <w:iCs/>
          <w:color w:val="000000"/>
          <w:sz w:val="23"/>
          <w:szCs w:val="23"/>
          <w:lang w:eastAsia="en-AU"/>
        </w:rPr>
        <w:t>industrial minerals</w:t>
      </w:r>
      <w:r w:rsidRPr="00E26C8E">
        <w:rPr>
          <w:rFonts w:eastAsia="Times New Roman"/>
          <w:color w:val="000000"/>
          <w:sz w:val="23"/>
          <w:szCs w:val="23"/>
          <w:lang w:eastAsia="en-AU"/>
        </w:rPr>
        <w:t xml:space="preserve"> has the same meaning as in the </w:t>
      </w:r>
      <w:hyperlink r:id="rId117" w:tgtFrame="_blank" w:history="1">
        <w:r w:rsidRPr="00E26C8E">
          <w:rPr>
            <w:rFonts w:eastAsia="Times New Roman"/>
            <w:i/>
            <w:iCs/>
            <w:color w:val="000000"/>
            <w:sz w:val="23"/>
            <w:szCs w:val="23"/>
            <w:lang w:eastAsia="en-AU"/>
          </w:rPr>
          <w:t>Mining Regulations 2020</w:t>
        </w:r>
      </w:hyperlink>
      <w:r w:rsidRPr="00E26C8E">
        <w:rPr>
          <w:rFonts w:eastAsia="Times New Roman"/>
          <w:color w:val="000000"/>
          <w:sz w:val="23"/>
          <w:szCs w:val="23"/>
          <w:lang w:eastAsia="en-AU"/>
        </w:rPr>
        <w:t>;</w:t>
      </w:r>
    </w:p>
    <w:p w:rsidR="00E26C8E" w:rsidRPr="00E26C8E" w:rsidRDefault="00E26C8E" w:rsidP="00E26C8E">
      <w:pPr>
        <w:spacing w:after="120" w:line="240" w:lineRule="auto"/>
        <w:ind w:left="1134"/>
        <w:jc w:val="left"/>
        <w:textAlignment w:val="baseline"/>
        <w:rPr>
          <w:rFonts w:ascii="Segoe UI" w:eastAsia="Times New Roman" w:hAnsi="Segoe UI" w:cs="Segoe UI"/>
          <w:sz w:val="18"/>
          <w:szCs w:val="18"/>
          <w:lang w:eastAsia="en-AU"/>
        </w:rPr>
      </w:pPr>
      <w:r w:rsidRPr="00E26C8E">
        <w:rPr>
          <w:rFonts w:eastAsia="Times New Roman"/>
          <w:b/>
          <w:bCs/>
          <w:i/>
          <w:iCs/>
          <w:color w:val="000000"/>
          <w:sz w:val="23"/>
          <w:szCs w:val="23"/>
          <w:lang w:eastAsia="en-AU"/>
        </w:rPr>
        <w:t>level 1</w:t>
      </w:r>
      <w:r w:rsidRPr="00E26C8E">
        <w:rPr>
          <w:rFonts w:eastAsia="Times New Roman"/>
          <w:color w:val="000000"/>
          <w:sz w:val="23"/>
          <w:szCs w:val="23"/>
          <w:lang w:eastAsia="en-AU"/>
        </w:rPr>
        <w:t xml:space="preserve">, </w:t>
      </w:r>
      <w:r w:rsidRPr="00E26C8E">
        <w:rPr>
          <w:rFonts w:eastAsia="Times New Roman"/>
          <w:b/>
          <w:bCs/>
          <w:i/>
          <w:iCs/>
          <w:color w:val="000000"/>
          <w:sz w:val="23"/>
          <w:szCs w:val="23"/>
          <w:lang w:eastAsia="en-AU"/>
        </w:rPr>
        <w:t>level 2</w:t>
      </w:r>
      <w:r w:rsidRPr="00E26C8E">
        <w:rPr>
          <w:rFonts w:eastAsia="Times New Roman"/>
          <w:color w:val="000000"/>
          <w:sz w:val="23"/>
          <w:szCs w:val="23"/>
          <w:lang w:eastAsia="en-AU"/>
        </w:rPr>
        <w:t xml:space="preserve">, </w:t>
      </w:r>
      <w:r w:rsidRPr="00E26C8E">
        <w:rPr>
          <w:rFonts w:eastAsia="Times New Roman"/>
          <w:b/>
          <w:bCs/>
          <w:i/>
          <w:iCs/>
          <w:color w:val="000000"/>
          <w:sz w:val="23"/>
          <w:szCs w:val="23"/>
          <w:lang w:eastAsia="en-AU"/>
        </w:rPr>
        <w:t>level 3</w:t>
      </w:r>
      <w:r w:rsidRPr="00E26C8E">
        <w:rPr>
          <w:rFonts w:eastAsia="Times New Roman"/>
          <w:color w:val="000000"/>
          <w:sz w:val="23"/>
          <w:szCs w:val="23"/>
          <w:lang w:eastAsia="en-AU"/>
        </w:rPr>
        <w:t xml:space="preserve">, or </w:t>
      </w:r>
      <w:r w:rsidRPr="00E26C8E">
        <w:rPr>
          <w:rFonts w:eastAsia="Times New Roman"/>
          <w:b/>
          <w:bCs/>
          <w:i/>
          <w:iCs/>
          <w:color w:val="000000"/>
          <w:sz w:val="23"/>
          <w:szCs w:val="23"/>
          <w:lang w:eastAsia="en-AU"/>
        </w:rPr>
        <w:t>level 4 change</w:t>
      </w:r>
      <w:r w:rsidRPr="00E26C8E">
        <w:rPr>
          <w:rFonts w:eastAsia="Times New Roman"/>
          <w:color w:val="000000"/>
          <w:sz w:val="23"/>
          <w:szCs w:val="23"/>
          <w:lang w:eastAsia="en-AU"/>
        </w:rPr>
        <w:t xml:space="preserve">—see regulation 87 of the </w:t>
      </w:r>
      <w:hyperlink r:id="rId118" w:tgtFrame="_blank" w:history="1">
        <w:r w:rsidRPr="00E26C8E">
          <w:rPr>
            <w:rFonts w:eastAsia="Times New Roman"/>
            <w:i/>
            <w:iCs/>
            <w:color w:val="000000"/>
            <w:sz w:val="23"/>
            <w:szCs w:val="23"/>
            <w:lang w:eastAsia="en-AU"/>
          </w:rPr>
          <w:t>Mining Regulations 2020</w:t>
        </w:r>
      </w:hyperlink>
      <w:r w:rsidRPr="00E26C8E">
        <w:rPr>
          <w:rFonts w:eastAsia="Times New Roman"/>
          <w:color w:val="000000"/>
          <w:sz w:val="23"/>
          <w:szCs w:val="23"/>
          <w:lang w:eastAsia="en-AU"/>
        </w:rPr>
        <w:t>;</w:t>
      </w:r>
    </w:p>
    <w:p w:rsidR="00E26C8E" w:rsidRPr="00E26C8E" w:rsidRDefault="00E26C8E" w:rsidP="00E26C8E">
      <w:pPr>
        <w:spacing w:after="120" w:line="240" w:lineRule="auto"/>
        <w:ind w:left="1134"/>
        <w:jc w:val="left"/>
        <w:textAlignment w:val="baseline"/>
        <w:rPr>
          <w:rFonts w:ascii="Segoe UI" w:eastAsia="Times New Roman" w:hAnsi="Segoe UI" w:cs="Segoe UI"/>
          <w:sz w:val="18"/>
          <w:szCs w:val="18"/>
          <w:lang w:eastAsia="en-AU"/>
        </w:rPr>
      </w:pPr>
      <w:r w:rsidRPr="00E26C8E">
        <w:rPr>
          <w:rFonts w:eastAsia="Times New Roman"/>
          <w:b/>
          <w:bCs/>
          <w:i/>
          <w:iCs/>
          <w:color w:val="000000"/>
          <w:sz w:val="23"/>
          <w:szCs w:val="23"/>
          <w:lang w:eastAsia="en-AU"/>
        </w:rPr>
        <w:t>tier 1</w:t>
      </w:r>
      <w:r w:rsidRPr="00E26C8E">
        <w:rPr>
          <w:rFonts w:eastAsia="Times New Roman"/>
          <w:color w:val="000000"/>
          <w:sz w:val="23"/>
          <w:szCs w:val="23"/>
          <w:lang w:eastAsia="en-AU"/>
        </w:rPr>
        <w:t xml:space="preserve">, </w:t>
      </w:r>
      <w:r w:rsidRPr="00E26C8E">
        <w:rPr>
          <w:rFonts w:eastAsia="Times New Roman"/>
          <w:b/>
          <w:bCs/>
          <w:i/>
          <w:iCs/>
          <w:color w:val="000000"/>
          <w:sz w:val="23"/>
          <w:szCs w:val="23"/>
          <w:lang w:eastAsia="en-AU"/>
        </w:rPr>
        <w:t>tier 2</w:t>
      </w:r>
      <w:r w:rsidRPr="00E26C8E">
        <w:rPr>
          <w:rFonts w:eastAsia="Times New Roman"/>
          <w:color w:val="000000"/>
          <w:sz w:val="23"/>
          <w:szCs w:val="23"/>
          <w:lang w:eastAsia="en-AU"/>
        </w:rPr>
        <w:t xml:space="preserve">, </w:t>
      </w:r>
      <w:r w:rsidRPr="00E26C8E">
        <w:rPr>
          <w:rFonts w:eastAsia="Times New Roman"/>
          <w:b/>
          <w:bCs/>
          <w:i/>
          <w:iCs/>
          <w:color w:val="000000"/>
          <w:sz w:val="23"/>
          <w:szCs w:val="23"/>
          <w:lang w:eastAsia="en-AU"/>
        </w:rPr>
        <w:t>tier 3</w:t>
      </w:r>
      <w:r w:rsidRPr="00E26C8E">
        <w:rPr>
          <w:rFonts w:eastAsia="Times New Roman"/>
          <w:color w:val="000000"/>
          <w:sz w:val="23"/>
          <w:szCs w:val="23"/>
          <w:lang w:eastAsia="en-AU"/>
        </w:rPr>
        <w:t xml:space="preserve"> or </w:t>
      </w:r>
      <w:r w:rsidRPr="00E26C8E">
        <w:rPr>
          <w:rFonts w:eastAsia="Times New Roman"/>
          <w:b/>
          <w:bCs/>
          <w:i/>
          <w:iCs/>
          <w:color w:val="000000"/>
          <w:sz w:val="23"/>
          <w:szCs w:val="23"/>
          <w:lang w:eastAsia="en-AU"/>
        </w:rPr>
        <w:t>tier 4 draft</w:t>
      </w:r>
      <w:r w:rsidRPr="00E26C8E">
        <w:rPr>
          <w:rFonts w:eastAsia="Times New Roman"/>
          <w:color w:val="000000"/>
          <w:sz w:val="23"/>
          <w:szCs w:val="23"/>
          <w:lang w:eastAsia="en-AU"/>
        </w:rPr>
        <w:t xml:space="preserve"> or </w:t>
      </w:r>
      <w:r w:rsidRPr="00E26C8E">
        <w:rPr>
          <w:rFonts w:eastAsia="Times New Roman"/>
          <w:b/>
          <w:bCs/>
          <w:i/>
          <w:iCs/>
          <w:color w:val="000000"/>
          <w:sz w:val="23"/>
          <w:szCs w:val="23"/>
          <w:lang w:eastAsia="en-AU"/>
        </w:rPr>
        <w:t>tier 1</w:t>
      </w:r>
      <w:r w:rsidRPr="00E26C8E">
        <w:rPr>
          <w:rFonts w:eastAsia="Times New Roman"/>
          <w:color w:val="000000"/>
          <w:sz w:val="23"/>
          <w:szCs w:val="23"/>
          <w:lang w:eastAsia="en-AU"/>
        </w:rPr>
        <w:t xml:space="preserve">, </w:t>
      </w:r>
      <w:r w:rsidRPr="00E26C8E">
        <w:rPr>
          <w:rFonts w:eastAsia="Times New Roman"/>
          <w:b/>
          <w:bCs/>
          <w:i/>
          <w:iCs/>
          <w:color w:val="000000"/>
          <w:sz w:val="23"/>
          <w:szCs w:val="23"/>
          <w:lang w:eastAsia="en-AU"/>
        </w:rPr>
        <w:t>tier 2</w:t>
      </w:r>
      <w:r w:rsidRPr="00E26C8E">
        <w:rPr>
          <w:rFonts w:eastAsia="Times New Roman"/>
          <w:color w:val="000000"/>
          <w:sz w:val="23"/>
          <w:szCs w:val="23"/>
          <w:lang w:eastAsia="en-AU"/>
        </w:rPr>
        <w:t xml:space="preserve">, </w:t>
      </w:r>
      <w:r w:rsidRPr="00E26C8E">
        <w:rPr>
          <w:rFonts w:eastAsia="Times New Roman"/>
          <w:b/>
          <w:bCs/>
          <w:i/>
          <w:iCs/>
          <w:color w:val="000000"/>
          <w:sz w:val="23"/>
          <w:szCs w:val="23"/>
          <w:lang w:eastAsia="en-AU"/>
        </w:rPr>
        <w:t>tier 3</w:t>
      </w:r>
      <w:r w:rsidRPr="00E26C8E">
        <w:rPr>
          <w:rFonts w:eastAsia="Times New Roman"/>
          <w:color w:val="000000"/>
          <w:sz w:val="23"/>
          <w:szCs w:val="23"/>
          <w:lang w:eastAsia="en-AU"/>
        </w:rPr>
        <w:t xml:space="preserve"> or </w:t>
      </w:r>
      <w:r w:rsidRPr="00E26C8E">
        <w:rPr>
          <w:rFonts w:eastAsia="Times New Roman"/>
          <w:b/>
          <w:bCs/>
          <w:i/>
          <w:iCs/>
          <w:color w:val="000000"/>
          <w:sz w:val="23"/>
          <w:szCs w:val="23"/>
          <w:lang w:eastAsia="en-AU"/>
        </w:rPr>
        <w:t>tier 4 program</w:t>
      </w:r>
      <w:r w:rsidRPr="00E26C8E">
        <w:rPr>
          <w:rFonts w:eastAsia="Times New Roman"/>
          <w:color w:val="000000"/>
          <w:sz w:val="23"/>
          <w:szCs w:val="23"/>
          <w:lang w:eastAsia="en-AU"/>
        </w:rPr>
        <w:t>—</w:t>
      </w:r>
      <w:r w:rsidRPr="00E26C8E">
        <w:rPr>
          <w:rFonts w:eastAsia="Times New Roman"/>
          <w:color w:val="000000"/>
          <w:sz w:val="23"/>
          <w:szCs w:val="23"/>
          <w:lang w:eastAsia="en-AU"/>
        </w:rPr>
        <w:br/>
        <w:t xml:space="preserve">see regulation 87 of the </w:t>
      </w:r>
      <w:hyperlink r:id="rId119" w:tgtFrame="_blank" w:history="1">
        <w:r w:rsidRPr="00E26C8E">
          <w:rPr>
            <w:rFonts w:eastAsia="Times New Roman"/>
            <w:i/>
            <w:iCs/>
            <w:color w:val="000000"/>
            <w:sz w:val="23"/>
            <w:szCs w:val="23"/>
            <w:lang w:eastAsia="en-AU"/>
          </w:rPr>
          <w:t>Mining Regulations 2020</w:t>
        </w:r>
      </w:hyperlink>
      <w:r w:rsidRPr="00E26C8E">
        <w:rPr>
          <w:rFonts w:eastAsia="Times New Roman"/>
          <w:color w:val="000000"/>
          <w:sz w:val="23"/>
          <w:szCs w:val="23"/>
          <w:lang w:eastAsia="en-AU"/>
        </w:rPr>
        <w:t>;</w:t>
      </w:r>
    </w:p>
    <w:p w:rsidR="00E26C8E" w:rsidRPr="00E26C8E" w:rsidRDefault="00E26C8E" w:rsidP="00E26C8E">
      <w:pPr>
        <w:spacing w:after="120" w:line="240" w:lineRule="auto"/>
        <w:ind w:left="1134"/>
        <w:jc w:val="left"/>
        <w:textAlignment w:val="baseline"/>
        <w:rPr>
          <w:rFonts w:ascii="Segoe UI" w:eastAsia="Times New Roman" w:hAnsi="Segoe UI" w:cs="Segoe UI"/>
          <w:sz w:val="18"/>
          <w:szCs w:val="18"/>
          <w:lang w:eastAsia="en-AU"/>
        </w:rPr>
      </w:pPr>
      <w:r w:rsidRPr="00E26C8E">
        <w:rPr>
          <w:rFonts w:eastAsia="Times New Roman"/>
          <w:b/>
          <w:bCs/>
          <w:i/>
          <w:iCs/>
          <w:color w:val="000000"/>
          <w:sz w:val="23"/>
          <w:szCs w:val="23"/>
          <w:lang w:eastAsia="en-AU"/>
        </w:rPr>
        <w:t>zone 1 exploration regulation fee zone</w:t>
      </w:r>
      <w:r w:rsidRPr="00E26C8E">
        <w:rPr>
          <w:rFonts w:eastAsia="Times New Roman"/>
          <w:color w:val="000000"/>
          <w:sz w:val="23"/>
          <w:szCs w:val="23"/>
          <w:lang w:eastAsia="en-AU"/>
        </w:rPr>
        <w:t xml:space="preserve">, </w:t>
      </w:r>
      <w:r w:rsidRPr="00E26C8E">
        <w:rPr>
          <w:rFonts w:eastAsia="Times New Roman"/>
          <w:b/>
          <w:bCs/>
          <w:i/>
          <w:iCs/>
          <w:color w:val="000000"/>
          <w:sz w:val="23"/>
          <w:szCs w:val="23"/>
          <w:lang w:eastAsia="en-AU"/>
        </w:rPr>
        <w:t>zone 2 exploration regulation fee zone</w:t>
      </w:r>
      <w:r w:rsidRPr="00E26C8E">
        <w:rPr>
          <w:rFonts w:eastAsia="Times New Roman"/>
          <w:color w:val="000000"/>
          <w:sz w:val="23"/>
          <w:szCs w:val="23"/>
          <w:lang w:eastAsia="en-AU"/>
        </w:rPr>
        <w:t xml:space="preserve"> and </w:t>
      </w:r>
      <w:r w:rsidRPr="00E26C8E">
        <w:rPr>
          <w:rFonts w:eastAsia="Times New Roman"/>
          <w:b/>
          <w:bCs/>
          <w:i/>
          <w:iCs/>
          <w:color w:val="000000"/>
          <w:sz w:val="23"/>
          <w:szCs w:val="23"/>
          <w:lang w:eastAsia="en-AU"/>
        </w:rPr>
        <w:t>zone 3 exploration regulation fee zone</w:t>
      </w:r>
      <w:r w:rsidRPr="00E26C8E">
        <w:rPr>
          <w:rFonts w:eastAsia="Times New Roman"/>
          <w:color w:val="000000"/>
          <w:sz w:val="23"/>
          <w:szCs w:val="23"/>
          <w:lang w:eastAsia="en-AU"/>
        </w:rPr>
        <w:t xml:space="preserve">—see regulation 87 of the </w:t>
      </w:r>
      <w:hyperlink r:id="rId120" w:tgtFrame="_blank" w:history="1">
        <w:r w:rsidRPr="00E26C8E">
          <w:rPr>
            <w:rFonts w:eastAsia="Times New Roman"/>
            <w:i/>
            <w:iCs/>
            <w:color w:val="000000"/>
            <w:sz w:val="23"/>
            <w:szCs w:val="23"/>
            <w:lang w:eastAsia="en-AU"/>
          </w:rPr>
          <w:t>Mining Regulations 2020</w:t>
        </w:r>
      </w:hyperlink>
      <w:r w:rsidRPr="00E26C8E">
        <w:rPr>
          <w:rFonts w:eastAsia="Times New Roman"/>
          <w:color w:val="000000"/>
          <w:sz w:val="23"/>
          <w:szCs w:val="23"/>
          <w:lang w:eastAsia="en-AU"/>
        </w:rPr>
        <w:t>.</w:t>
      </w:r>
    </w:p>
    <w:p w:rsidR="00E26C8E" w:rsidRPr="00E26C8E" w:rsidRDefault="00E26C8E" w:rsidP="00E26C8E">
      <w:pPr>
        <w:spacing w:after="120" w:line="240" w:lineRule="auto"/>
        <w:ind w:left="555" w:hanging="555"/>
        <w:jc w:val="left"/>
        <w:textAlignment w:val="baseline"/>
        <w:rPr>
          <w:rFonts w:ascii="Segoe UI" w:eastAsia="Times New Roman" w:hAnsi="Segoe UI" w:cs="Segoe UI"/>
          <w:b/>
          <w:bCs/>
          <w:color w:val="000000"/>
          <w:sz w:val="18"/>
          <w:szCs w:val="18"/>
          <w:lang w:eastAsia="en-AU"/>
        </w:rPr>
      </w:pPr>
      <w:r w:rsidRPr="00E26C8E">
        <w:rPr>
          <w:rFonts w:eastAsia="Times New Roman"/>
          <w:b/>
          <w:bCs/>
          <w:color w:val="000000"/>
          <w:sz w:val="26"/>
          <w:szCs w:val="26"/>
          <w:lang w:eastAsia="en-AU"/>
        </w:rPr>
        <w:t>4—Fees</w:t>
      </w:r>
    </w:p>
    <w:p w:rsidR="00E26C8E" w:rsidRPr="00E26C8E" w:rsidRDefault="00E26C8E" w:rsidP="00E26C8E">
      <w:pPr>
        <w:spacing w:after="120" w:line="240" w:lineRule="auto"/>
        <w:ind w:left="851" w:hanging="425"/>
        <w:jc w:val="left"/>
        <w:textAlignment w:val="baseline"/>
        <w:rPr>
          <w:rFonts w:eastAsia="Times New Roman"/>
          <w:color w:val="000000"/>
          <w:sz w:val="23"/>
          <w:szCs w:val="23"/>
          <w:lang w:eastAsia="en-AU"/>
        </w:rPr>
      </w:pPr>
      <w:r w:rsidRPr="00E26C8E">
        <w:rPr>
          <w:rFonts w:eastAsia="Times New Roman"/>
          <w:color w:val="000000"/>
          <w:sz w:val="23"/>
          <w:szCs w:val="23"/>
          <w:lang w:eastAsia="en-AU"/>
        </w:rPr>
        <w:t>(1)</w:t>
      </w:r>
      <w:r w:rsidRPr="00E26C8E">
        <w:rPr>
          <w:rFonts w:eastAsia="Times New Roman"/>
          <w:color w:val="000000"/>
          <w:sz w:val="23"/>
          <w:szCs w:val="23"/>
          <w:lang w:eastAsia="en-AU"/>
        </w:rPr>
        <w:tab/>
        <w:t>The fees set out in Schedule 1 are prescribed for the purposes of the Act and payable as specified in that Schedule.</w:t>
      </w:r>
    </w:p>
    <w:p w:rsidR="00E26C8E" w:rsidRPr="00E26C8E" w:rsidRDefault="00E26C8E" w:rsidP="00E26C8E">
      <w:pPr>
        <w:spacing w:after="120" w:line="240" w:lineRule="auto"/>
        <w:ind w:left="851" w:hanging="425"/>
        <w:jc w:val="left"/>
        <w:textAlignment w:val="baseline"/>
        <w:rPr>
          <w:rFonts w:eastAsia="Times New Roman"/>
          <w:color w:val="000000"/>
          <w:sz w:val="23"/>
          <w:szCs w:val="23"/>
          <w:lang w:eastAsia="en-AU"/>
        </w:rPr>
      </w:pPr>
      <w:r w:rsidRPr="00E26C8E">
        <w:rPr>
          <w:rFonts w:eastAsia="Times New Roman"/>
          <w:color w:val="000000"/>
          <w:sz w:val="23"/>
          <w:szCs w:val="23"/>
          <w:lang w:eastAsia="en-AU"/>
        </w:rPr>
        <w:t>(2)</w:t>
      </w:r>
      <w:r w:rsidRPr="00E26C8E">
        <w:rPr>
          <w:rFonts w:eastAsia="Times New Roman"/>
          <w:color w:val="000000"/>
          <w:sz w:val="23"/>
          <w:szCs w:val="23"/>
          <w:lang w:eastAsia="en-AU"/>
        </w:rPr>
        <w:tab/>
        <w:t>The fees set out in Schedule 2 are prescribed for the purposes of the Act and payable in connection with the submission of programs as specified in that Schedule.</w:t>
      </w:r>
    </w:p>
    <w:p w:rsidR="00E26C8E" w:rsidRPr="00E26C8E" w:rsidRDefault="00E26C8E" w:rsidP="00E26C8E">
      <w:pPr>
        <w:spacing w:before="240" w:after="240" w:line="240" w:lineRule="auto"/>
        <w:ind w:left="556" w:hanging="556"/>
        <w:jc w:val="left"/>
        <w:textAlignment w:val="baseline"/>
        <w:rPr>
          <w:rFonts w:eastAsia="Times New Roman"/>
          <w:b/>
          <w:bCs/>
          <w:color w:val="000000"/>
          <w:sz w:val="32"/>
          <w:szCs w:val="32"/>
          <w:lang w:eastAsia="en-AU"/>
        </w:rPr>
      </w:pPr>
      <w:r w:rsidRPr="00E26C8E">
        <w:rPr>
          <w:rFonts w:eastAsia="Times New Roman"/>
          <w:b/>
          <w:bCs/>
          <w:color w:val="000000"/>
          <w:sz w:val="32"/>
          <w:szCs w:val="32"/>
          <w:lang w:eastAsia="en-AU"/>
        </w:rPr>
        <w:t>Schedule 1—Fees</w:t>
      </w:r>
    </w:p>
    <w:tbl>
      <w:tblPr>
        <w:tblW w:w="876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6315"/>
        <w:gridCol w:w="1770"/>
      </w:tblGrid>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r w:rsidRPr="00E26C8E">
              <w:rPr>
                <w:rFonts w:eastAsia="Times New Roman"/>
                <w:color w:val="000000"/>
                <w:sz w:val="20"/>
                <w:szCs w:val="20"/>
                <w:lang w:eastAsia="en-AU"/>
              </w:rPr>
              <w:t>1</w:t>
            </w: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r w:rsidRPr="00E26C8E">
              <w:rPr>
                <w:rFonts w:eastAsia="Times New Roman"/>
                <w:color w:val="000000"/>
                <w:sz w:val="20"/>
                <w:szCs w:val="20"/>
                <w:lang w:eastAsia="en-AU"/>
              </w:rPr>
              <w:t>Application for registration of mineral claim</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$615.00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r w:rsidRPr="00E26C8E">
              <w:rPr>
                <w:rFonts w:eastAsia="Times New Roman"/>
                <w:color w:val="000000"/>
                <w:sz w:val="20"/>
                <w:szCs w:val="20"/>
                <w:lang w:eastAsia="en-AU"/>
              </w:rPr>
              <w:t>2</w:t>
            </w: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r w:rsidRPr="00E26C8E">
              <w:rPr>
                <w:rFonts w:eastAsia="Times New Roman"/>
                <w:color w:val="000000"/>
                <w:sz w:val="20"/>
                <w:szCs w:val="20"/>
                <w:lang w:eastAsia="en-AU"/>
              </w:rPr>
              <w:t>Exploration licence—</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ind w:left="534" w:hanging="534"/>
              <w:jc w:val="left"/>
              <w:textAlignment w:val="baseline"/>
              <w:rPr>
                <w:rFonts w:eastAsia="Times New Roman"/>
                <w:sz w:val="20"/>
                <w:szCs w:val="20"/>
                <w:lang w:eastAsia="en-AU"/>
              </w:rPr>
            </w:pPr>
            <w:r w:rsidRPr="00E26C8E">
              <w:rPr>
                <w:rFonts w:eastAsia="Times New Roman"/>
                <w:color w:val="000000"/>
                <w:sz w:val="20"/>
                <w:szCs w:val="20"/>
                <w:lang w:eastAsia="en-AU"/>
              </w:rPr>
              <w:t>(a)</w:t>
            </w:r>
            <w:r w:rsidRPr="00E26C8E">
              <w:rPr>
                <w:rFonts w:eastAsia="Times New Roman"/>
                <w:color w:val="000000"/>
                <w:sz w:val="20"/>
                <w:szCs w:val="20"/>
                <w:lang w:eastAsia="en-AU"/>
              </w:rPr>
              <w:tab/>
              <w:t>application fee</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$875.00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ind w:left="534" w:hanging="534"/>
              <w:jc w:val="left"/>
              <w:textAlignment w:val="baseline"/>
              <w:rPr>
                <w:rFonts w:eastAsia="Times New Roman"/>
                <w:sz w:val="20"/>
                <w:szCs w:val="20"/>
                <w:lang w:eastAsia="en-AU"/>
              </w:rPr>
            </w:pPr>
            <w:r w:rsidRPr="00E26C8E">
              <w:rPr>
                <w:rFonts w:eastAsia="Times New Roman"/>
                <w:color w:val="000000"/>
                <w:sz w:val="20"/>
                <w:szCs w:val="20"/>
                <w:lang w:eastAsia="en-AU"/>
              </w:rPr>
              <w:t>(b)</w:t>
            </w:r>
            <w:r w:rsidRPr="00E26C8E">
              <w:rPr>
                <w:rFonts w:eastAsia="Times New Roman"/>
                <w:color w:val="000000"/>
                <w:sz w:val="20"/>
                <w:szCs w:val="20"/>
                <w:lang w:eastAsia="en-AU"/>
              </w:rPr>
              <w:tab/>
              <w:t>annual fee—the sum of the following components:</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ind w:left="1026" w:hanging="492"/>
              <w:jc w:val="left"/>
              <w:textAlignment w:val="baseline"/>
              <w:rPr>
                <w:rFonts w:eastAsia="Times New Roman"/>
                <w:sz w:val="20"/>
                <w:szCs w:val="20"/>
                <w:lang w:eastAsia="en-AU"/>
              </w:rPr>
            </w:pPr>
            <w:r w:rsidRPr="00E26C8E">
              <w:rPr>
                <w:rFonts w:eastAsia="Times New Roman"/>
                <w:color w:val="000000"/>
                <w:sz w:val="20"/>
                <w:szCs w:val="20"/>
                <w:lang w:eastAsia="en-AU"/>
              </w:rPr>
              <w:t>(i)</w:t>
            </w:r>
            <w:r w:rsidRPr="00E26C8E">
              <w:rPr>
                <w:rFonts w:eastAsia="Times New Roman"/>
                <w:color w:val="000000"/>
                <w:sz w:val="20"/>
                <w:szCs w:val="20"/>
                <w:lang w:eastAsia="en-AU"/>
              </w:rPr>
              <w:tab/>
              <w:t>administration component</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$175.00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ind w:left="1026" w:hanging="492"/>
              <w:jc w:val="left"/>
              <w:textAlignment w:val="baseline"/>
              <w:rPr>
                <w:rFonts w:eastAsia="Times New Roman"/>
                <w:sz w:val="20"/>
                <w:szCs w:val="20"/>
                <w:lang w:eastAsia="en-AU"/>
              </w:rPr>
            </w:pPr>
            <w:r w:rsidRPr="00E26C8E">
              <w:rPr>
                <w:rFonts w:eastAsia="Times New Roman"/>
                <w:color w:val="000000"/>
                <w:sz w:val="20"/>
                <w:szCs w:val="20"/>
                <w:lang w:eastAsia="en-AU"/>
              </w:rPr>
              <w:t>(ii)</w:t>
            </w:r>
            <w:r w:rsidRPr="00E26C8E">
              <w:rPr>
                <w:rFonts w:eastAsia="Times New Roman"/>
                <w:color w:val="000000"/>
                <w:sz w:val="20"/>
                <w:szCs w:val="20"/>
                <w:lang w:eastAsia="en-AU"/>
              </w:rPr>
              <w:tab/>
              <w:t>regulation component</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ind w:left="1593" w:hanging="567"/>
              <w:jc w:val="left"/>
              <w:textAlignment w:val="baseline"/>
              <w:rPr>
                <w:rFonts w:eastAsia="Times New Roman"/>
                <w:sz w:val="20"/>
                <w:szCs w:val="20"/>
                <w:lang w:eastAsia="en-AU"/>
              </w:rPr>
            </w:pPr>
            <w:r w:rsidRPr="00E26C8E">
              <w:rPr>
                <w:rFonts w:eastAsia="Times New Roman"/>
                <w:color w:val="000000"/>
                <w:sz w:val="20"/>
                <w:szCs w:val="20"/>
                <w:lang w:eastAsia="en-AU"/>
              </w:rPr>
              <w:t>(A)</w:t>
            </w:r>
            <w:r w:rsidRPr="00E26C8E">
              <w:rPr>
                <w:rFonts w:eastAsia="Times New Roman"/>
                <w:color w:val="000000"/>
                <w:sz w:val="20"/>
                <w:szCs w:val="20"/>
                <w:lang w:eastAsia="en-AU"/>
              </w:rPr>
              <w:tab/>
              <w:t>in the case of an exploration licence in respect of land that is wholly within a zone 1 exploration regulation fee zone</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$576.00 or $13.30 per km² or part of a km² in the area of the licence, whichever is the greater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ind w:left="1593" w:hanging="567"/>
              <w:jc w:val="left"/>
              <w:textAlignment w:val="baseline"/>
              <w:rPr>
                <w:rFonts w:eastAsia="Times New Roman"/>
                <w:sz w:val="20"/>
                <w:szCs w:val="20"/>
                <w:lang w:eastAsia="en-AU"/>
              </w:rPr>
            </w:pPr>
            <w:r w:rsidRPr="00E26C8E">
              <w:rPr>
                <w:rFonts w:eastAsia="Times New Roman"/>
                <w:color w:val="000000"/>
                <w:sz w:val="20"/>
                <w:szCs w:val="20"/>
                <w:lang w:eastAsia="en-AU"/>
              </w:rPr>
              <w:t>(B)</w:t>
            </w:r>
            <w:r w:rsidRPr="00E26C8E">
              <w:rPr>
                <w:rFonts w:eastAsia="Times New Roman"/>
                <w:color w:val="000000"/>
                <w:sz w:val="20"/>
                <w:szCs w:val="20"/>
                <w:lang w:eastAsia="en-AU"/>
              </w:rPr>
              <w:tab/>
              <w:t>in the case of an exploration licence in respect of land that is within, or partly within, a zone 2 exploration regulation fee zone (and is not also partly within a zone 3 exploration regulation fee zone)</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$771.00 or $17.80 per km² or part of a km² in the area of the licence, whichever is the greater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ind w:left="1593" w:hanging="567"/>
              <w:jc w:val="left"/>
              <w:textAlignment w:val="baseline"/>
              <w:rPr>
                <w:rFonts w:eastAsia="Times New Roman"/>
                <w:sz w:val="20"/>
                <w:szCs w:val="20"/>
                <w:lang w:eastAsia="en-AU"/>
              </w:rPr>
            </w:pPr>
            <w:r w:rsidRPr="00E26C8E">
              <w:rPr>
                <w:rFonts w:eastAsia="Times New Roman"/>
                <w:color w:val="000000"/>
                <w:sz w:val="20"/>
                <w:szCs w:val="20"/>
                <w:lang w:eastAsia="en-AU"/>
              </w:rPr>
              <w:t>(C)</w:t>
            </w:r>
            <w:r w:rsidRPr="00E26C8E">
              <w:rPr>
                <w:rFonts w:eastAsia="Times New Roman"/>
                <w:color w:val="000000"/>
                <w:sz w:val="20"/>
                <w:szCs w:val="20"/>
                <w:lang w:eastAsia="en-AU"/>
              </w:rPr>
              <w:tab/>
              <w:t>in the case of an exploration licence in respect of land that is within, or partly within, a zone 3 exploration regulation fee zone</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$971.00 or $22.50 per km² or part of a km² in the area of the licence, whichever is the greater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r w:rsidRPr="00E26C8E">
              <w:rPr>
                <w:rFonts w:eastAsia="Times New Roman"/>
                <w:color w:val="000000"/>
                <w:sz w:val="20"/>
                <w:szCs w:val="20"/>
                <w:lang w:eastAsia="en-AU"/>
              </w:rPr>
              <w:t>The fee payable will be calculated according to the nominal area of the licence, and no allowance will be made for land that is not available for exploration.</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r w:rsidRPr="00E26C8E">
              <w:rPr>
                <w:rFonts w:eastAsia="Times New Roman"/>
                <w:color w:val="000000"/>
                <w:sz w:val="20"/>
                <w:szCs w:val="20"/>
                <w:lang w:eastAsia="en-AU"/>
              </w:rPr>
              <w:t>3</w:t>
            </w: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r w:rsidRPr="00E26C8E">
              <w:rPr>
                <w:rFonts w:eastAsia="Times New Roman"/>
                <w:color w:val="000000"/>
                <w:sz w:val="20"/>
                <w:szCs w:val="20"/>
                <w:lang w:eastAsia="en-AU"/>
              </w:rPr>
              <w:t>Mining lease—</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ind w:left="534" w:hanging="534"/>
              <w:jc w:val="left"/>
              <w:textAlignment w:val="baseline"/>
              <w:rPr>
                <w:rFonts w:eastAsia="Times New Roman"/>
                <w:sz w:val="20"/>
                <w:szCs w:val="20"/>
                <w:lang w:eastAsia="en-AU"/>
              </w:rPr>
            </w:pPr>
            <w:r w:rsidRPr="00E26C8E">
              <w:rPr>
                <w:rFonts w:eastAsia="Times New Roman"/>
                <w:color w:val="000000"/>
                <w:sz w:val="20"/>
                <w:szCs w:val="20"/>
                <w:lang w:eastAsia="en-AU"/>
              </w:rPr>
              <w:t>(a)</w:t>
            </w:r>
            <w:r w:rsidRPr="00E26C8E">
              <w:rPr>
                <w:rFonts w:eastAsia="Times New Roman"/>
                <w:color w:val="000000"/>
                <w:sz w:val="20"/>
                <w:szCs w:val="20"/>
                <w:lang w:eastAsia="en-AU"/>
              </w:rPr>
              <w:tab/>
              <w:t>application fee—the sum of the following components:</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ind w:left="1026" w:hanging="492"/>
              <w:jc w:val="left"/>
              <w:textAlignment w:val="baseline"/>
              <w:rPr>
                <w:rFonts w:eastAsia="Times New Roman"/>
                <w:sz w:val="20"/>
                <w:szCs w:val="20"/>
                <w:lang w:eastAsia="en-AU"/>
              </w:rPr>
            </w:pPr>
            <w:r w:rsidRPr="00E26C8E">
              <w:rPr>
                <w:rFonts w:eastAsia="Times New Roman"/>
                <w:color w:val="000000"/>
                <w:sz w:val="20"/>
                <w:szCs w:val="20"/>
                <w:lang w:eastAsia="en-AU"/>
              </w:rPr>
              <w:t>(i)</w:t>
            </w:r>
            <w:r w:rsidRPr="00E26C8E">
              <w:rPr>
                <w:rFonts w:eastAsia="Times New Roman"/>
                <w:color w:val="000000"/>
                <w:sz w:val="20"/>
                <w:szCs w:val="20"/>
                <w:lang w:eastAsia="en-AU"/>
              </w:rPr>
              <w:tab/>
              <w:t>base component</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$1 750.00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ind w:left="1026" w:hanging="492"/>
              <w:jc w:val="left"/>
              <w:textAlignment w:val="baseline"/>
              <w:rPr>
                <w:rFonts w:eastAsia="Times New Roman"/>
                <w:sz w:val="20"/>
                <w:szCs w:val="20"/>
                <w:lang w:eastAsia="en-AU"/>
              </w:rPr>
            </w:pPr>
            <w:r w:rsidRPr="00E26C8E">
              <w:rPr>
                <w:rFonts w:eastAsia="Times New Roman"/>
                <w:color w:val="000000"/>
                <w:sz w:val="20"/>
                <w:szCs w:val="20"/>
                <w:lang w:eastAsia="en-AU"/>
              </w:rPr>
              <w:t>(ii)</w:t>
            </w:r>
            <w:r w:rsidRPr="00E26C8E">
              <w:rPr>
                <w:rFonts w:eastAsia="Times New Roman"/>
                <w:color w:val="000000"/>
                <w:sz w:val="20"/>
                <w:szCs w:val="20"/>
                <w:lang w:eastAsia="en-AU"/>
              </w:rPr>
              <w:tab/>
              <w:t>advertising component</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$945.00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ind w:left="1026" w:hanging="492"/>
              <w:jc w:val="left"/>
              <w:textAlignment w:val="baseline"/>
              <w:rPr>
                <w:rFonts w:eastAsia="Times New Roman"/>
                <w:sz w:val="20"/>
                <w:szCs w:val="20"/>
                <w:lang w:eastAsia="en-AU"/>
              </w:rPr>
            </w:pPr>
            <w:r w:rsidRPr="00E26C8E">
              <w:rPr>
                <w:rFonts w:eastAsia="Times New Roman"/>
                <w:color w:val="000000"/>
                <w:sz w:val="20"/>
                <w:szCs w:val="20"/>
                <w:lang w:eastAsia="en-AU"/>
              </w:rPr>
              <w:t>(iii)</w:t>
            </w:r>
            <w:r w:rsidRPr="00E26C8E">
              <w:rPr>
                <w:rFonts w:eastAsia="Times New Roman"/>
                <w:color w:val="000000"/>
                <w:sz w:val="20"/>
                <w:szCs w:val="20"/>
                <w:lang w:eastAsia="en-AU"/>
              </w:rPr>
              <w:tab/>
              <w:t>assessment component—</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ind w:left="1593" w:hanging="567"/>
              <w:jc w:val="left"/>
              <w:textAlignment w:val="baseline"/>
              <w:rPr>
                <w:rFonts w:eastAsia="Times New Roman"/>
                <w:sz w:val="20"/>
                <w:szCs w:val="20"/>
                <w:lang w:eastAsia="en-AU"/>
              </w:rPr>
            </w:pPr>
            <w:r w:rsidRPr="00E26C8E">
              <w:rPr>
                <w:rFonts w:eastAsia="Times New Roman"/>
                <w:color w:val="000000"/>
                <w:sz w:val="20"/>
                <w:szCs w:val="20"/>
                <w:lang w:eastAsia="en-AU"/>
              </w:rPr>
              <w:t>(A)</w:t>
            </w:r>
            <w:r w:rsidRPr="00E26C8E">
              <w:rPr>
                <w:rFonts w:eastAsia="Times New Roman"/>
                <w:color w:val="000000"/>
                <w:sz w:val="20"/>
                <w:szCs w:val="20"/>
                <w:lang w:eastAsia="en-AU"/>
              </w:rPr>
              <w:tab/>
              <w:t>in the case of a mining lease that is authorised to recover, use and sell or dispose of solely extractive minerals or industrial minerals—</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ind w:left="1877" w:hanging="284"/>
              <w:jc w:val="left"/>
              <w:textAlignment w:val="baseline"/>
              <w:rPr>
                <w:rFonts w:eastAsia="Times New Roman"/>
                <w:sz w:val="20"/>
                <w:szCs w:val="20"/>
                <w:lang w:eastAsia="en-AU"/>
              </w:rPr>
            </w:pPr>
            <w:r w:rsidRPr="00E26C8E">
              <w:rPr>
                <w:rFonts w:eastAsia="Times New Roman"/>
                <w:color w:val="000000"/>
                <w:sz w:val="20"/>
                <w:szCs w:val="20"/>
                <w:lang w:eastAsia="en-AU"/>
              </w:rPr>
              <w:t>•</w:t>
            </w:r>
            <w:r w:rsidRPr="00E26C8E">
              <w:rPr>
                <w:rFonts w:eastAsia="Times New Roman"/>
                <w:color w:val="000000"/>
                <w:sz w:val="20"/>
                <w:szCs w:val="20"/>
                <w:lang w:eastAsia="en-AU"/>
              </w:rPr>
              <w:tab/>
              <w:t>for a mining lease that has an estimated annual production of less than 100 000 tonnes of minerals</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$1 165.00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ind w:left="1877" w:hanging="284"/>
              <w:jc w:val="left"/>
              <w:textAlignment w:val="baseline"/>
              <w:rPr>
                <w:rFonts w:eastAsia="Times New Roman"/>
                <w:sz w:val="20"/>
                <w:szCs w:val="20"/>
                <w:lang w:eastAsia="en-AU"/>
              </w:rPr>
            </w:pPr>
            <w:r w:rsidRPr="00E26C8E">
              <w:rPr>
                <w:rFonts w:eastAsia="Times New Roman"/>
                <w:color w:val="000000"/>
                <w:sz w:val="20"/>
                <w:szCs w:val="20"/>
                <w:lang w:eastAsia="en-AU"/>
              </w:rPr>
              <w:t>•</w:t>
            </w:r>
            <w:r w:rsidRPr="00E26C8E">
              <w:rPr>
                <w:rFonts w:eastAsia="Times New Roman"/>
                <w:color w:val="000000"/>
                <w:sz w:val="20"/>
                <w:szCs w:val="20"/>
                <w:lang w:eastAsia="en-AU"/>
              </w:rPr>
              <w:tab/>
              <w:t>for a mining lease that has an estimated annual production of 100 000 tonnes or more of minerals</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$5 820.00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ind w:left="1593" w:hanging="567"/>
              <w:jc w:val="left"/>
              <w:textAlignment w:val="baseline"/>
              <w:rPr>
                <w:rFonts w:eastAsia="Times New Roman"/>
                <w:sz w:val="20"/>
                <w:szCs w:val="20"/>
                <w:lang w:eastAsia="en-AU"/>
              </w:rPr>
            </w:pPr>
            <w:r w:rsidRPr="00E26C8E">
              <w:rPr>
                <w:rFonts w:eastAsia="Times New Roman"/>
                <w:color w:val="000000"/>
                <w:sz w:val="20"/>
                <w:szCs w:val="20"/>
                <w:lang w:eastAsia="en-AU"/>
              </w:rPr>
              <w:t>(B)</w:t>
            </w:r>
            <w:r w:rsidRPr="00E26C8E">
              <w:rPr>
                <w:rFonts w:eastAsia="Times New Roman"/>
                <w:color w:val="000000"/>
                <w:sz w:val="20"/>
                <w:szCs w:val="20"/>
                <w:lang w:eastAsia="en-AU"/>
              </w:rPr>
              <w:tab/>
              <w:t>in any other case—</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ind w:left="1877" w:hanging="284"/>
              <w:jc w:val="left"/>
              <w:textAlignment w:val="baseline"/>
              <w:rPr>
                <w:rFonts w:eastAsia="Times New Roman"/>
                <w:sz w:val="20"/>
                <w:szCs w:val="20"/>
                <w:lang w:eastAsia="en-AU"/>
              </w:rPr>
            </w:pPr>
            <w:r w:rsidRPr="00E26C8E">
              <w:rPr>
                <w:rFonts w:eastAsia="Times New Roman"/>
                <w:color w:val="000000"/>
                <w:sz w:val="20"/>
                <w:szCs w:val="20"/>
                <w:lang w:eastAsia="en-AU"/>
              </w:rPr>
              <w:t>•</w:t>
            </w:r>
            <w:r w:rsidRPr="00E26C8E">
              <w:rPr>
                <w:rFonts w:eastAsia="Times New Roman"/>
                <w:color w:val="000000"/>
                <w:sz w:val="20"/>
                <w:szCs w:val="20"/>
                <w:lang w:eastAsia="en-AU"/>
              </w:rPr>
              <w:tab/>
              <w:t xml:space="preserve">if the whole or any part of the mining lease area is within the area of a council or a reserve within the meaning of the </w:t>
            </w:r>
            <w:hyperlink r:id="rId121" w:tgtFrame="_blank" w:history="1">
              <w:r w:rsidRPr="00E26C8E">
                <w:rPr>
                  <w:rFonts w:eastAsia="Times New Roman"/>
                  <w:i/>
                  <w:iCs/>
                  <w:color w:val="000000"/>
                  <w:sz w:val="20"/>
                  <w:szCs w:val="20"/>
                  <w:lang w:eastAsia="en-AU"/>
                </w:rPr>
                <w:t>National Parks and Wildlife Act 1972</w:t>
              </w:r>
            </w:hyperlink>
            <w:r w:rsidRPr="00E26C8E">
              <w:rPr>
                <w:rFonts w:eastAsia="Times New Roman"/>
                <w:color w:val="000000"/>
                <w:sz w:val="20"/>
                <w:szCs w:val="20"/>
                <w:lang w:eastAsia="en-AU"/>
              </w:rPr>
              <w:t>—</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ind w:left="2160" w:hanging="283"/>
              <w:jc w:val="left"/>
              <w:textAlignment w:val="baseline"/>
              <w:rPr>
                <w:rFonts w:eastAsia="Times New Roman"/>
                <w:sz w:val="20"/>
                <w:szCs w:val="20"/>
                <w:lang w:eastAsia="en-AU"/>
              </w:rPr>
            </w:pPr>
            <w:r w:rsidRPr="00E26C8E">
              <w:rPr>
                <w:rFonts w:eastAsia="Times New Roman"/>
                <w:color w:val="000000"/>
                <w:sz w:val="20"/>
                <w:szCs w:val="20"/>
                <w:lang w:eastAsia="en-AU"/>
              </w:rPr>
              <w:t>◦</w:t>
            </w:r>
            <w:r w:rsidRPr="00E26C8E">
              <w:rPr>
                <w:rFonts w:eastAsia="Times New Roman"/>
                <w:color w:val="000000"/>
                <w:sz w:val="20"/>
                <w:szCs w:val="20"/>
                <w:lang w:eastAsia="en-AU"/>
              </w:rPr>
              <w:tab/>
              <w:t>for a mining lease that has a capital cost of less than $1 000 000</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$1 165.00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ind w:left="2160" w:hanging="283"/>
              <w:jc w:val="left"/>
              <w:textAlignment w:val="baseline"/>
              <w:rPr>
                <w:rFonts w:eastAsia="Times New Roman"/>
                <w:sz w:val="20"/>
                <w:szCs w:val="20"/>
                <w:lang w:eastAsia="en-AU"/>
              </w:rPr>
            </w:pPr>
            <w:r w:rsidRPr="00E26C8E">
              <w:rPr>
                <w:rFonts w:eastAsia="Times New Roman"/>
                <w:color w:val="000000"/>
                <w:sz w:val="20"/>
                <w:szCs w:val="20"/>
                <w:lang w:eastAsia="en-AU"/>
              </w:rPr>
              <w:t>◦</w:t>
            </w:r>
            <w:r w:rsidRPr="00E26C8E">
              <w:rPr>
                <w:rFonts w:eastAsia="Times New Roman"/>
                <w:color w:val="000000"/>
                <w:sz w:val="20"/>
                <w:szCs w:val="20"/>
                <w:lang w:eastAsia="en-AU"/>
              </w:rPr>
              <w:tab/>
              <w:t>for a mining lease that has a capital cost of $1 000 000 or more</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0.25% of capital cost up to a maximum of $200 000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ind w:left="1877" w:hanging="284"/>
              <w:jc w:val="left"/>
              <w:textAlignment w:val="baseline"/>
              <w:rPr>
                <w:rFonts w:eastAsia="Times New Roman"/>
                <w:sz w:val="20"/>
                <w:szCs w:val="20"/>
                <w:lang w:eastAsia="en-AU"/>
              </w:rPr>
            </w:pPr>
            <w:r w:rsidRPr="00E26C8E">
              <w:rPr>
                <w:rFonts w:eastAsia="Times New Roman"/>
                <w:color w:val="000000"/>
                <w:sz w:val="20"/>
                <w:szCs w:val="20"/>
                <w:lang w:eastAsia="en-AU"/>
              </w:rPr>
              <w:t>•</w:t>
            </w:r>
            <w:r w:rsidRPr="00E26C8E">
              <w:rPr>
                <w:rFonts w:eastAsia="Times New Roman"/>
                <w:color w:val="000000"/>
                <w:sz w:val="20"/>
                <w:szCs w:val="20"/>
                <w:lang w:eastAsia="en-AU"/>
              </w:rPr>
              <w:tab/>
              <w:t xml:space="preserve">if the whole of the mining lease area is outside the area of a council </w:t>
            </w:r>
            <w:r w:rsidRPr="00E26C8E">
              <w:rPr>
                <w:rFonts w:eastAsia="Times New Roman"/>
                <w:i/>
                <w:iCs/>
                <w:color w:val="000000"/>
                <w:sz w:val="20"/>
                <w:szCs w:val="20"/>
                <w:lang w:eastAsia="en-AU"/>
              </w:rPr>
              <w:t>and</w:t>
            </w:r>
            <w:r w:rsidRPr="00E26C8E">
              <w:rPr>
                <w:rFonts w:eastAsia="Times New Roman"/>
                <w:color w:val="000000"/>
                <w:sz w:val="20"/>
                <w:szCs w:val="20"/>
                <w:lang w:eastAsia="en-AU"/>
              </w:rPr>
              <w:t xml:space="preserve"> is outside a reserve within the meaning of the </w:t>
            </w:r>
            <w:hyperlink r:id="rId122" w:tgtFrame="_blank" w:history="1">
              <w:r w:rsidRPr="00E26C8E">
                <w:rPr>
                  <w:rFonts w:eastAsia="Times New Roman"/>
                  <w:i/>
                  <w:iCs/>
                  <w:color w:val="000000"/>
                  <w:sz w:val="20"/>
                  <w:szCs w:val="20"/>
                  <w:lang w:eastAsia="en-AU"/>
                </w:rPr>
                <w:t>National Parks and Wildlife Act 1972</w:t>
              </w:r>
            </w:hyperlink>
            <w:r w:rsidRPr="00E26C8E">
              <w:rPr>
                <w:rFonts w:eastAsia="Times New Roman"/>
                <w:color w:val="000000"/>
                <w:sz w:val="20"/>
                <w:szCs w:val="20"/>
                <w:lang w:eastAsia="en-AU"/>
              </w:rPr>
              <w:t>—</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ind w:left="2160" w:hanging="283"/>
              <w:jc w:val="left"/>
              <w:textAlignment w:val="baseline"/>
              <w:rPr>
                <w:rFonts w:eastAsia="Times New Roman"/>
                <w:sz w:val="20"/>
                <w:szCs w:val="20"/>
                <w:lang w:eastAsia="en-AU"/>
              </w:rPr>
            </w:pPr>
            <w:r w:rsidRPr="00E26C8E">
              <w:rPr>
                <w:rFonts w:eastAsia="Times New Roman"/>
                <w:color w:val="000000"/>
                <w:sz w:val="20"/>
                <w:szCs w:val="20"/>
                <w:lang w:eastAsia="en-AU"/>
              </w:rPr>
              <w:t>◦</w:t>
            </w:r>
            <w:r w:rsidRPr="00E26C8E">
              <w:rPr>
                <w:rFonts w:eastAsia="Times New Roman"/>
                <w:color w:val="000000"/>
                <w:sz w:val="20"/>
                <w:szCs w:val="20"/>
                <w:lang w:eastAsia="en-AU"/>
              </w:rPr>
              <w:tab/>
              <w:t>for a mining lease that has a capital cost of less than $1 000 000</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$1 165.00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ind w:left="2160" w:hanging="283"/>
              <w:jc w:val="left"/>
              <w:textAlignment w:val="baseline"/>
              <w:rPr>
                <w:rFonts w:eastAsia="Times New Roman"/>
                <w:sz w:val="20"/>
                <w:szCs w:val="20"/>
                <w:lang w:eastAsia="en-AU"/>
              </w:rPr>
            </w:pPr>
            <w:r w:rsidRPr="00E26C8E">
              <w:rPr>
                <w:rFonts w:eastAsia="Times New Roman"/>
                <w:color w:val="000000"/>
                <w:sz w:val="20"/>
                <w:szCs w:val="20"/>
                <w:lang w:eastAsia="en-AU"/>
              </w:rPr>
              <w:t>◦</w:t>
            </w:r>
            <w:r w:rsidRPr="00E26C8E">
              <w:rPr>
                <w:rFonts w:eastAsia="Times New Roman"/>
                <w:color w:val="000000"/>
                <w:sz w:val="20"/>
                <w:szCs w:val="20"/>
                <w:lang w:eastAsia="en-AU"/>
              </w:rPr>
              <w:tab/>
              <w:t>for a mining lease that has a capital cost of $1 000 000 or more</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0.125% of capital cost up to a maximum of $200 000 </w:t>
            </w:r>
          </w:p>
        </w:tc>
      </w:tr>
    </w:tbl>
    <w:p w:rsidR="00E26C8E" w:rsidRPr="00E26C8E" w:rsidRDefault="00E26C8E" w:rsidP="00E26C8E">
      <w:pPr>
        <w:rPr>
          <w:rFonts w:eastAsia="Times New Roman"/>
          <w:szCs w:val="20"/>
        </w:rPr>
      </w:pPr>
      <w:r w:rsidRPr="00E26C8E">
        <w:rPr>
          <w:rFonts w:eastAsia="Times New Roman"/>
          <w:szCs w:val="20"/>
        </w:rPr>
        <w:br w:type="page"/>
      </w:r>
    </w:p>
    <w:tbl>
      <w:tblPr>
        <w:tblW w:w="876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6315"/>
        <w:gridCol w:w="1770"/>
      </w:tblGrid>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ind w:left="534" w:hanging="534"/>
              <w:jc w:val="left"/>
              <w:textAlignment w:val="baseline"/>
              <w:rPr>
                <w:rFonts w:eastAsia="Times New Roman"/>
                <w:sz w:val="20"/>
                <w:szCs w:val="20"/>
                <w:lang w:eastAsia="en-AU"/>
              </w:rPr>
            </w:pPr>
            <w:r w:rsidRPr="00E26C8E">
              <w:rPr>
                <w:rFonts w:eastAsia="Times New Roman"/>
                <w:color w:val="000000"/>
                <w:sz w:val="20"/>
                <w:szCs w:val="20"/>
                <w:lang w:eastAsia="en-AU"/>
              </w:rPr>
              <w:t>(b)</w:t>
            </w:r>
            <w:r w:rsidRPr="00E26C8E">
              <w:rPr>
                <w:rFonts w:eastAsia="Times New Roman"/>
                <w:color w:val="000000"/>
                <w:sz w:val="20"/>
                <w:szCs w:val="20"/>
                <w:lang w:eastAsia="en-AU"/>
              </w:rPr>
              <w:tab/>
              <w:t>annual fee—the sum of the following components:</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ind w:left="1026" w:hanging="492"/>
              <w:jc w:val="left"/>
              <w:textAlignment w:val="baseline"/>
              <w:rPr>
                <w:rFonts w:eastAsia="Times New Roman"/>
                <w:sz w:val="20"/>
                <w:szCs w:val="20"/>
                <w:lang w:eastAsia="en-AU"/>
              </w:rPr>
            </w:pPr>
            <w:r w:rsidRPr="00E26C8E">
              <w:rPr>
                <w:rFonts w:eastAsia="Times New Roman"/>
                <w:color w:val="000000"/>
                <w:sz w:val="20"/>
                <w:szCs w:val="20"/>
                <w:lang w:eastAsia="en-AU"/>
              </w:rPr>
              <w:t>(i)</w:t>
            </w:r>
            <w:r w:rsidRPr="00E26C8E">
              <w:rPr>
                <w:rFonts w:eastAsia="Times New Roman"/>
                <w:color w:val="000000"/>
                <w:sz w:val="20"/>
                <w:szCs w:val="20"/>
                <w:lang w:eastAsia="en-AU"/>
              </w:rPr>
              <w:tab/>
              <w:t>administration component</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$175.00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ind w:left="1026" w:hanging="492"/>
              <w:jc w:val="left"/>
              <w:textAlignment w:val="baseline"/>
              <w:rPr>
                <w:rFonts w:eastAsia="Times New Roman"/>
                <w:sz w:val="20"/>
                <w:szCs w:val="20"/>
                <w:lang w:eastAsia="en-AU"/>
              </w:rPr>
            </w:pPr>
            <w:r w:rsidRPr="00E26C8E">
              <w:rPr>
                <w:rFonts w:eastAsia="Times New Roman"/>
                <w:color w:val="000000"/>
                <w:sz w:val="20"/>
                <w:szCs w:val="20"/>
                <w:lang w:eastAsia="en-AU"/>
              </w:rPr>
              <w:t>(ii)</w:t>
            </w:r>
            <w:r w:rsidRPr="00E26C8E">
              <w:rPr>
                <w:rFonts w:eastAsia="Times New Roman"/>
                <w:color w:val="000000"/>
                <w:sz w:val="20"/>
                <w:szCs w:val="20"/>
                <w:lang w:eastAsia="en-AU"/>
              </w:rPr>
              <w:tab/>
              <w:t>regulation component (other than for a mining lease that is authorised to recover, use and sell or dispose of solely extractive minerals)</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$345.00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r w:rsidRPr="00E26C8E">
              <w:rPr>
                <w:rFonts w:eastAsia="Times New Roman"/>
                <w:color w:val="000000"/>
                <w:sz w:val="20"/>
                <w:szCs w:val="20"/>
                <w:lang w:eastAsia="en-AU"/>
              </w:rPr>
              <w:t>4</w:t>
            </w: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r w:rsidRPr="00E26C8E">
              <w:rPr>
                <w:rFonts w:eastAsia="Times New Roman"/>
                <w:color w:val="000000"/>
                <w:sz w:val="20"/>
                <w:szCs w:val="20"/>
                <w:lang w:eastAsia="en-AU"/>
              </w:rPr>
              <w:t>Miscellaneous purposes licence—</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ind w:left="534" w:hanging="534"/>
              <w:jc w:val="left"/>
              <w:textAlignment w:val="baseline"/>
              <w:rPr>
                <w:rFonts w:eastAsia="Times New Roman"/>
                <w:sz w:val="20"/>
                <w:szCs w:val="20"/>
                <w:lang w:eastAsia="en-AU"/>
              </w:rPr>
            </w:pPr>
            <w:r w:rsidRPr="00E26C8E">
              <w:rPr>
                <w:rFonts w:eastAsia="Times New Roman"/>
                <w:color w:val="000000"/>
                <w:sz w:val="20"/>
                <w:szCs w:val="20"/>
                <w:lang w:eastAsia="en-AU"/>
              </w:rPr>
              <w:t>(a)</w:t>
            </w:r>
            <w:r w:rsidRPr="00E26C8E">
              <w:rPr>
                <w:rFonts w:eastAsia="Times New Roman"/>
                <w:color w:val="000000"/>
                <w:sz w:val="20"/>
                <w:szCs w:val="20"/>
                <w:lang w:eastAsia="en-AU"/>
              </w:rPr>
              <w:tab/>
              <w:t>application fee—the sum of the following components:</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ind w:left="1026" w:hanging="492"/>
              <w:jc w:val="left"/>
              <w:textAlignment w:val="baseline"/>
              <w:rPr>
                <w:rFonts w:eastAsia="Times New Roman"/>
                <w:sz w:val="20"/>
                <w:szCs w:val="20"/>
                <w:lang w:eastAsia="en-AU"/>
              </w:rPr>
            </w:pPr>
            <w:r w:rsidRPr="00E26C8E">
              <w:rPr>
                <w:rFonts w:eastAsia="Times New Roman"/>
                <w:color w:val="000000"/>
                <w:sz w:val="20"/>
                <w:szCs w:val="20"/>
                <w:lang w:eastAsia="en-AU"/>
              </w:rPr>
              <w:t>(i)</w:t>
            </w:r>
            <w:r w:rsidRPr="00E26C8E">
              <w:rPr>
                <w:rFonts w:eastAsia="Times New Roman"/>
                <w:color w:val="000000"/>
                <w:sz w:val="20"/>
                <w:szCs w:val="20"/>
                <w:lang w:eastAsia="en-AU"/>
              </w:rPr>
              <w:tab/>
              <w:t>base component</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$1 750.00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ind w:left="1026" w:hanging="492"/>
              <w:jc w:val="left"/>
              <w:textAlignment w:val="baseline"/>
              <w:rPr>
                <w:rFonts w:eastAsia="Times New Roman"/>
                <w:sz w:val="20"/>
                <w:szCs w:val="20"/>
                <w:lang w:eastAsia="en-AU"/>
              </w:rPr>
            </w:pPr>
            <w:r w:rsidRPr="00E26C8E">
              <w:rPr>
                <w:rFonts w:eastAsia="Times New Roman"/>
                <w:color w:val="000000"/>
                <w:sz w:val="20"/>
                <w:szCs w:val="20"/>
                <w:lang w:eastAsia="en-AU"/>
              </w:rPr>
              <w:t>(ii)</w:t>
            </w:r>
            <w:r w:rsidRPr="00E26C8E">
              <w:rPr>
                <w:rFonts w:eastAsia="Times New Roman"/>
                <w:color w:val="000000"/>
                <w:sz w:val="20"/>
                <w:szCs w:val="20"/>
                <w:lang w:eastAsia="en-AU"/>
              </w:rPr>
              <w:tab/>
              <w:t>advertising component</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$945.00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ind w:left="1026" w:hanging="492"/>
              <w:jc w:val="left"/>
              <w:textAlignment w:val="baseline"/>
              <w:rPr>
                <w:rFonts w:eastAsia="Times New Roman"/>
                <w:sz w:val="20"/>
                <w:szCs w:val="20"/>
                <w:lang w:eastAsia="en-AU"/>
              </w:rPr>
            </w:pPr>
            <w:r w:rsidRPr="00E26C8E">
              <w:rPr>
                <w:rFonts w:eastAsia="Times New Roman"/>
                <w:color w:val="000000"/>
                <w:sz w:val="20"/>
                <w:szCs w:val="20"/>
                <w:lang w:eastAsia="en-AU"/>
              </w:rPr>
              <w:t>(iii)</w:t>
            </w:r>
            <w:r w:rsidRPr="00E26C8E">
              <w:rPr>
                <w:rFonts w:eastAsia="Times New Roman"/>
                <w:color w:val="000000"/>
                <w:sz w:val="20"/>
                <w:szCs w:val="20"/>
                <w:lang w:eastAsia="en-AU"/>
              </w:rPr>
              <w:tab/>
              <w:t>assessment component—the sum of the following components:</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ind w:left="1593" w:hanging="567"/>
              <w:jc w:val="left"/>
              <w:textAlignment w:val="baseline"/>
              <w:rPr>
                <w:rFonts w:eastAsia="Times New Roman"/>
                <w:sz w:val="20"/>
                <w:szCs w:val="20"/>
                <w:lang w:eastAsia="en-AU"/>
              </w:rPr>
            </w:pPr>
            <w:r w:rsidRPr="00E26C8E">
              <w:rPr>
                <w:rFonts w:eastAsia="Times New Roman"/>
                <w:color w:val="000000"/>
                <w:sz w:val="20"/>
                <w:szCs w:val="20"/>
                <w:lang w:eastAsia="en-AU"/>
              </w:rPr>
              <w:t>(A)</w:t>
            </w:r>
            <w:r w:rsidRPr="00E26C8E">
              <w:rPr>
                <w:rFonts w:eastAsia="Times New Roman"/>
                <w:color w:val="000000"/>
                <w:sz w:val="20"/>
                <w:szCs w:val="20"/>
                <w:lang w:eastAsia="en-AU"/>
              </w:rPr>
              <w:tab/>
              <w:t xml:space="preserve">if the whole or any part of the miscellaneous purposes licence area is within the area of a council or a reserve within the meaning of the </w:t>
            </w:r>
            <w:hyperlink r:id="rId123" w:tgtFrame="_blank" w:history="1">
              <w:r w:rsidRPr="00E26C8E">
                <w:rPr>
                  <w:rFonts w:eastAsia="Times New Roman"/>
                  <w:i/>
                  <w:iCs/>
                  <w:color w:val="000000"/>
                  <w:sz w:val="20"/>
                  <w:szCs w:val="20"/>
                  <w:lang w:eastAsia="en-AU"/>
                </w:rPr>
                <w:t>National Parks and Wildlife Act 1972</w:t>
              </w:r>
            </w:hyperlink>
            <w:r w:rsidRPr="00E26C8E">
              <w:rPr>
                <w:rFonts w:eastAsia="Times New Roman"/>
                <w:color w:val="000000"/>
                <w:sz w:val="20"/>
                <w:szCs w:val="20"/>
                <w:lang w:eastAsia="en-AU"/>
              </w:rPr>
              <w:t>—</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ind w:left="1877" w:hanging="284"/>
              <w:jc w:val="left"/>
              <w:textAlignment w:val="baseline"/>
              <w:rPr>
                <w:rFonts w:eastAsia="Times New Roman"/>
                <w:sz w:val="20"/>
                <w:szCs w:val="20"/>
                <w:lang w:eastAsia="en-AU"/>
              </w:rPr>
            </w:pPr>
            <w:r w:rsidRPr="00E26C8E">
              <w:rPr>
                <w:rFonts w:eastAsia="Times New Roman"/>
                <w:color w:val="000000"/>
                <w:sz w:val="20"/>
                <w:szCs w:val="20"/>
                <w:lang w:eastAsia="en-AU"/>
              </w:rPr>
              <w:t>•</w:t>
            </w:r>
            <w:r w:rsidRPr="00E26C8E">
              <w:rPr>
                <w:rFonts w:eastAsia="Times New Roman"/>
                <w:color w:val="000000"/>
                <w:sz w:val="20"/>
                <w:szCs w:val="20"/>
                <w:lang w:eastAsia="en-AU"/>
              </w:rPr>
              <w:tab/>
              <w:t>for a licence that has a capital cost of less than $1 000 000</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$1 165.00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ind w:left="1877" w:hanging="284"/>
              <w:jc w:val="left"/>
              <w:textAlignment w:val="baseline"/>
              <w:rPr>
                <w:rFonts w:eastAsia="Times New Roman"/>
                <w:sz w:val="20"/>
                <w:szCs w:val="20"/>
                <w:lang w:eastAsia="en-AU"/>
              </w:rPr>
            </w:pPr>
            <w:r w:rsidRPr="00E26C8E">
              <w:rPr>
                <w:rFonts w:eastAsia="Times New Roman"/>
                <w:color w:val="000000"/>
                <w:sz w:val="20"/>
                <w:szCs w:val="20"/>
                <w:lang w:eastAsia="en-AU"/>
              </w:rPr>
              <w:t>•</w:t>
            </w:r>
            <w:r w:rsidRPr="00E26C8E">
              <w:rPr>
                <w:rFonts w:eastAsia="Times New Roman"/>
                <w:color w:val="000000"/>
                <w:sz w:val="20"/>
                <w:szCs w:val="20"/>
                <w:lang w:eastAsia="en-AU"/>
              </w:rPr>
              <w:tab/>
              <w:t>or a licence that has a capital cost of $1 000 000 or more</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0.25% of capital cost up to a maximum of $200 000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ind w:left="1575" w:hanging="549"/>
              <w:jc w:val="left"/>
              <w:textAlignment w:val="baseline"/>
              <w:rPr>
                <w:rFonts w:eastAsia="Times New Roman"/>
                <w:sz w:val="20"/>
                <w:szCs w:val="20"/>
                <w:lang w:eastAsia="en-AU"/>
              </w:rPr>
            </w:pPr>
            <w:r w:rsidRPr="00E26C8E">
              <w:rPr>
                <w:rFonts w:eastAsia="Times New Roman"/>
                <w:color w:val="000000"/>
                <w:sz w:val="20"/>
                <w:szCs w:val="20"/>
                <w:lang w:eastAsia="en-AU"/>
              </w:rPr>
              <w:t>(B)</w:t>
            </w:r>
            <w:r w:rsidRPr="00E26C8E">
              <w:rPr>
                <w:rFonts w:eastAsia="Times New Roman"/>
                <w:color w:val="000000"/>
                <w:sz w:val="20"/>
                <w:szCs w:val="20"/>
                <w:lang w:eastAsia="en-AU"/>
              </w:rPr>
              <w:tab/>
              <w:t xml:space="preserve">if the whole of the miscellaneous purposes licence area is outside the area of a council </w:t>
            </w:r>
            <w:r w:rsidRPr="00E26C8E">
              <w:rPr>
                <w:rFonts w:eastAsia="Times New Roman"/>
                <w:i/>
                <w:iCs/>
                <w:color w:val="000000"/>
                <w:sz w:val="20"/>
                <w:szCs w:val="20"/>
                <w:lang w:eastAsia="en-AU"/>
              </w:rPr>
              <w:t>and</w:t>
            </w:r>
            <w:r w:rsidRPr="00E26C8E">
              <w:rPr>
                <w:rFonts w:eastAsia="Times New Roman"/>
                <w:color w:val="000000"/>
                <w:sz w:val="20"/>
                <w:szCs w:val="20"/>
                <w:lang w:eastAsia="en-AU"/>
              </w:rPr>
              <w:t xml:space="preserve"> is outside a reserve within the meaning of the </w:t>
            </w:r>
            <w:hyperlink r:id="rId124" w:tgtFrame="_blank" w:history="1">
              <w:r w:rsidRPr="00E26C8E">
                <w:rPr>
                  <w:rFonts w:eastAsia="Times New Roman"/>
                  <w:i/>
                  <w:iCs/>
                  <w:color w:val="000000"/>
                  <w:sz w:val="20"/>
                  <w:szCs w:val="20"/>
                  <w:lang w:eastAsia="en-AU"/>
                </w:rPr>
                <w:t>National Parks and Wildlife Act 1972</w:t>
              </w:r>
            </w:hyperlink>
            <w:r w:rsidRPr="00E26C8E">
              <w:rPr>
                <w:rFonts w:eastAsia="Times New Roman"/>
                <w:color w:val="000000"/>
                <w:sz w:val="20"/>
                <w:szCs w:val="20"/>
                <w:lang w:eastAsia="en-AU"/>
              </w:rPr>
              <w:t>—</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ind w:left="1877" w:hanging="284"/>
              <w:jc w:val="left"/>
              <w:textAlignment w:val="baseline"/>
              <w:rPr>
                <w:rFonts w:eastAsia="Times New Roman"/>
                <w:sz w:val="20"/>
                <w:szCs w:val="20"/>
                <w:lang w:eastAsia="en-AU"/>
              </w:rPr>
            </w:pPr>
            <w:r w:rsidRPr="00E26C8E">
              <w:rPr>
                <w:rFonts w:eastAsia="Times New Roman"/>
                <w:color w:val="000000"/>
                <w:sz w:val="20"/>
                <w:szCs w:val="20"/>
                <w:lang w:eastAsia="en-AU"/>
              </w:rPr>
              <w:t>•</w:t>
            </w:r>
            <w:r w:rsidRPr="00E26C8E">
              <w:rPr>
                <w:rFonts w:eastAsia="Times New Roman"/>
                <w:color w:val="000000"/>
                <w:sz w:val="20"/>
                <w:szCs w:val="20"/>
                <w:lang w:eastAsia="en-AU"/>
              </w:rPr>
              <w:tab/>
              <w:t>for a licence that has a capital cost of less than $1 000 000</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$1 165.00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ind w:left="1877" w:hanging="284"/>
              <w:jc w:val="left"/>
              <w:textAlignment w:val="baseline"/>
              <w:rPr>
                <w:rFonts w:eastAsia="Times New Roman"/>
                <w:sz w:val="20"/>
                <w:szCs w:val="20"/>
                <w:lang w:eastAsia="en-AU"/>
              </w:rPr>
            </w:pPr>
            <w:r w:rsidRPr="00E26C8E">
              <w:rPr>
                <w:rFonts w:eastAsia="Times New Roman"/>
                <w:color w:val="000000"/>
                <w:sz w:val="20"/>
                <w:szCs w:val="20"/>
                <w:lang w:eastAsia="en-AU"/>
              </w:rPr>
              <w:t>•</w:t>
            </w:r>
            <w:r w:rsidRPr="00E26C8E">
              <w:rPr>
                <w:rFonts w:eastAsia="Times New Roman"/>
                <w:color w:val="000000"/>
                <w:sz w:val="20"/>
                <w:szCs w:val="20"/>
                <w:lang w:eastAsia="en-AU"/>
              </w:rPr>
              <w:tab/>
              <w:t>for a licence that has a capital cost of $1 000 000 or more</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0.125% of capital cost up to a maximum of $200 000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ind w:left="459" w:hanging="459"/>
              <w:jc w:val="left"/>
              <w:textAlignment w:val="baseline"/>
              <w:rPr>
                <w:rFonts w:eastAsia="Times New Roman"/>
                <w:sz w:val="20"/>
                <w:szCs w:val="20"/>
                <w:lang w:eastAsia="en-AU"/>
              </w:rPr>
            </w:pPr>
            <w:r w:rsidRPr="00E26C8E">
              <w:rPr>
                <w:rFonts w:eastAsia="Times New Roman"/>
                <w:color w:val="000000"/>
                <w:sz w:val="20"/>
                <w:szCs w:val="20"/>
                <w:lang w:eastAsia="en-AU"/>
              </w:rPr>
              <w:t>(b)</w:t>
            </w:r>
            <w:r w:rsidRPr="00E26C8E">
              <w:rPr>
                <w:rFonts w:eastAsia="Times New Roman"/>
                <w:color w:val="000000"/>
                <w:sz w:val="20"/>
                <w:szCs w:val="20"/>
                <w:lang w:eastAsia="en-AU"/>
              </w:rPr>
              <w:tab/>
              <w:t>annual fee—the sum of the following components:</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ind w:left="1026" w:hanging="492"/>
              <w:jc w:val="left"/>
              <w:textAlignment w:val="baseline"/>
              <w:rPr>
                <w:rFonts w:eastAsia="Times New Roman"/>
                <w:sz w:val="20"/>
                <w:szCs w:val="20"/>
                <w:lang w:eastAsia="en-AU"/>
              </w:rPr>
            </w:pPr>
            <w:r w:rsidRPr="00E26C8E">
              <w:rPr>
                <w:rFonts w:eastAsia="Times New Roman"/>
                <w:color w:val="000000"/>
                <w:sz w:val="20"/>
                <w:szCs w:val="20"/>
                <w:lang w:eastAsia="en-AU"/>
              </w:rPr>
              <w:t>(i)</w:t>
            </w:r>
            <w:r w:rsidRPr="00E26C8E">
              <w:rPr>
                <w:rFonts w:eastAsia="Times New Roman"/>
                <w:color w:val="000000"/>
                <w:sz w:val="20"/>
                <w:szCs w:val="20"/>
                <w:lang w:eastAsia="en-AU"/>
              </w:rPr>
              <w:tab/>
              <w:t>administration component</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$175.00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ind w:left="1026" w:hanging="492"/>
              <w:jc w:val="left"/>
              <w:textAlignment w:val="baseline"/>
              <w:rPr>
                <w:rFonts w:eastAsia="Times New Roman"/>
                <w:sz w:val="20"/>
                <w:szCs w:val="20"/>
                <w:lang w:eastAsia="en-AU"/>
              </w:rPr>
            </w:pPr>
            <w:r w:rsidRPr="00E26C8E">
              <w:rPr>
                <w:rFonts w:eastAsia="Times New Roman"/>
                <w:color w:val="000000"/>
                <w:sz w:val="20"/>
                <w:szCs w:val="20"/>
                <w:lang w:eastAsia="en-AU"/>
              </w:rPr>
              <w:t>(ii)</w:t>
            </w:r>
            <w:r w:rsidRPr="00E26C8E">
              <w:rPr>
                <w:rFonts w:eastAsia="Times New Roman"/>
                <w:color w:val="000000"/>
                <w:sz w:val="20"/>
                <w:szCs w:val="20"/>
                <w:lang w:eastAsia="en-AU"/>
              </w:rPr>
              <w:tab/>
              <w:t>regulation component</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$345.00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r w:rsidRPr="00E26C8E">
              <w:rPr>
                <w:rFonts w:eastAsia="Times New Roman"/>
                <w:color w:val="000000"/>
                <w:sz w:val="20"/>
                <w:szCs w:val="20"/>
                <w:lang w:eastAsia="en-AU"/>
              </w:rPr>
              <w:t>5</w:t>
            </w: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r w:rsidRPr="00E26C8E">
              <w:rPr>
                <w:rFonts w:eastAsia="Times New Roman"/>
                <w:color w:val="000000"/>
                <w:sz w:val="20"/>
                <w:szCs w:val="20"/>
                <w:lang w:eastAsia="en-AU"/>
              </w:rPr>
              <w:t>Retention lease—</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ind w:left="534" w:hanging="534"/>
              <w:jc w:val="left"/>
              <w:textAlignment w:val="baseline"/>
              <w:rPr>
                <w:rFonts w:eastAsia="Times New Roman"/>
                <w:sz w:val="20"/>
                <w:szCs w:val="20"/>
                <w:lang w:eastAsia="en-AU"/>
              </w:rPr>
            </w:pPr>
            <w:r w:rsidRPr="00E26C8E">
              <w:rPr>
                <w:rFonts w:eastAsia="Times New Roman"/>
                <w:color w:val="000000"/>
                <w:sz w:val="20"/>
                <w:szCs w:val="20"/>
                <w:lang w:eastAsia="en-AU"/>
              </w:rPr>
              <w:t>(a)</w:t>
            </w:r>
            <w:r w:rsidRPr="00E26C8E">
              <w:rPr>
                <w:rFonts w:eastAsia="Times New Roman"/>
                <w:color w:val="000000"/>
                <w:sz w:val="20"/>
                <w:szCs w:val="20"/>
                <w:lang w:eastAsia="en-AU"/>
              </w:rPr>
              <w:tab/>
              <w:t>application fee for an applicant who intends to carry out only exploration operations under the lease—the sum of the following components:</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ind w:left="1026" w:hanging="492"/>
              <w:jc w:val="left"/>
              <w:textAlignment w:val="baseline"/>
              <w:rPr>
                <w:rFonts w:eastAsia="Times New Roman"/>
                <w:sz w:val="20"/>
                <w:szCs w:val="20"/>
                <w:lang w:eastAsia="en-AU"/>
              </w:rPr>
            </w:pPr>
            <w:r w:rsidRPr="00E26C8E">
              <w:rPr>
                <w:rFonts w:eastAsia="Times New Roman"/>
                <w:color w:val="000000"/>
                <w:sz w:val="20"/>
                <w:szCs w:val="20"/>
                <w:lang w:eastAsia="en-AU"/>
              </w:rPr>
              <w:t>(i)</w:t>
            </w:r>
            <w:r w:rsidRPr="00E26C8E">
              <w:rPr>
                <w:rFonts w:eastAsia="Times New Roman"/>
                <w:color w:val="000000"/>
                <w:sz w:val="20"/>
                <w:szCs w:val="20"/>
                <w:lang w:eastAsia="en-AU"/>
              </w:rPr>
              <w:tab/>
              <w:t>base component</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$875.00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ind w:left="1026" w:hanging="492"/>
              <w:jc w:val="left"/>
              <w:textAlignment w:val="baseline"/>
              <w:rPr>
                <w:rFonts w:eastAsia="Times New Roman"/>
                <w:sz w:val="20"/>
                <w:szCs w:val="20"/>
                <w:lang w:eastAsia="en-AU"/>
              </w:rPr>
            </w:pPr>
            <w:r w:rsidRPr="00E26C8E">
              <w:rPr>
                <w:rFonts w:eastAsia="Times New Roman"/>
                <w:color w:val="000000"/>
                <w:sz w:val="20"/>
                <w:szCs w:val="20"/>
                <w:lang w:eastAsia="en-AU"/>
              </w:rPr>
              <w:t>(ii)</w:t>
            </w:r>
            <w:r w:rsidRPr="00E26C8E">
              <w:rPr>
                <w:rFonts w:eastAsia="Times New Roman"/>
                <w:color w:val="000000"/>
                <w:sz w:val="20"/>
                <w:szCs w:val="20"/>
                <w:lang w:eastAsia="en-AU"/>
              </w:rPr>
              <w:tab/>
              <w:t>assessment component; or</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$1 165.00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ind w:left="534" w:hanging="534"/>
              <w:jc w:val="left"/>
              <w:textAlignment w:val="baseline"/>
              <w:rPr>
                <w:rFonts w:eastAsia="Times New Roman"/>
                <w:sz w:val="20"/>
                <w:szCs w:val="20"/>
                <w:lang w:eastAsia="en-AU"/>
              </w:rPr>
            </w:pPr>
            <w:r w:rsidRPr="00E26C8E">
              <w:rPr>
                <w:rFonts w:eastAsia="Times New Roman"/>
                <w:color w:val="000000"/>
                <w:sz w:val="20"/>
                <w:szCs w:val="20"/>
                <w:lang w:eastAsia="en-AU"/>
              </w:rPr>
              <w:t>(b)</w:t>
            </w:r>
            <w:r w:rsidRPr="00E26C8E">
              <w:rPr>
                <w:rFonts w:eastAsia="Times New Roman"/>
                <w:color w:val="000000"/>
                <w:sz w:val="20"/>
                <w:szCs w:val="20"/>
                <w:lang w:eastAsia="en-AU"/>
              </w:rPr>
              <w:tab/>
              <w:t>application fee in any other case—the sum of the following components:</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ind w:left="1026" w:hanging="492"/>
              <w:jc w:val="left"/>
              <w:textAlignment w:val="baseline"/>
              <w:rPr>
                <w:rFonts w:eastAsia="Times New Roman"/>
                <w:sz w:val="20"/>
                <w:szCs w:val="20"/>
                <w:lang w:eastAsia="en-AU"/>
              </w:rPr>
            </w:pPr>
            <w:r w:rsidRPr="00E26C8E">
              <w:rPr>
                <w:rFonts w:eastAsia="Times New Roman"/>
                <w:color w:val="000000"/>
                <w:sz w:val="20"/>
                <w:szCs w:val="20"/>
                <w:lang w:eastAsia="en-AU"/>
              </w:rPr>
              <w:t>(i)</w:t>
            </w:r>
            <w:r w:rsidRPr="00E26C8E">
              <w:rPr>
                <w:rFonts w:eastAsia="Times New Roman"/>
                <w:color w:val="000000"/>
                <w:sz w:val="20"/>
                <w:szCs w:val="20"/>
                <w:lang w:eastAsia="en-AU"/>
              </w:rPr>
              <w:tab/>
              <w:t>base component</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$875.00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ind w:left="1026" w:hanging="492"/>
              <w:jc w:val="left"/>
              <w:textAlignment w:val="baseline"/>
              <w:rPr>
                <w:rFonts w:eastAsia="Times New Roman"/>
                <w:sz w:val="20"/>
                <w:szCs w:val="20"/>
                <w:lang w:eastAsia="en-AU"/>
              </w:rPr>
            </w:pPr>
            <w:r w:rsidRPr="00E26C8E">
              <w:rPr>
                <w:rFonts w:eastAsia="Times New Roman"/>
                <w:color w:val="000000"/>
                <w:sz w:val="20"/>
                <w:szCs w:val="20"/>
                <w:lang w:eastAsia="en-AU"/>
              </w:rPr>
              <w:t>(ii)</w:t>
            </w:r>
            <w:r w:rsidRPr="00E26C8E">
              <w:rPr>
                <w:rFonts w:eastAsia="Times New Roman"/>
                <w:color w:val="000000"/>
                <w:sz w:val="20"/>
                <w:szCs w:val="20"/>
                <w:lang w:eastAsia="en-AU"/>
              </w:rPr>
              <w:tab/>
              <w:t>advertising component</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945.00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ind w:left="1026" w:hanging="492"/>
              <w:jc w:val="left"/>
              <w:textAlignment w:val="baseline"/>
              <w:rPr>
                <w:rFonts w:eastAsia="Times New Roman"/>
                <w:sz w:val="20"/>
                <w:szCs w:val="20"/>
                <w:lang w:eastAsia="en-AU"/>
              </w:rPr>
            </w:pPr>
            <w:r w:rsidRPr="00E26C8E">
              <w:rPr>
                <w:rFonts w:eastAsia="Times New Roman"/>
                <w:color w:val="000000"/>
                <w:sz w:val="20"/>
                <w:szCs w:val="20"/>
                <w:lang w:eastAsia="en-AU"/>
              </w:rPr>
              <w:t>(iii)</w:t>
            </w:r>
            <w:r w:rsidRPr="00E26C8E">
              <w:rPr>
                <w:rFonts w:eastAsia="Times New Roman"/>
                <w:color w:val="000000"/>
                <w:sz w:val="20"/>
                <w:szCs w:val="20"/>
                <w:lang w:eastAsia="en-AU"/>
              </w:rPr>
              <w:tab/>
              <w:t>assessment component</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$5 820.00 </w:t>
            </w:r>
          </w:p>
        </w:tc>
      </w:tr>
    </w:tbl>
    <w:p w:rsidR="00E26C8E" w:rsidRPr="00E26C8E" w:rsidRDefault="00E26C8E" w:rsidP="00E26C8E">
      <w:pPr>
        <w:rPr>
          <w:rFonts w:eastAsia="Times New Roman"/>
          <w:szCs w:val="20"/>
        </w:rPr>
      </w:pPr>
      <w:r w:rsidRPr="00E26C8E">
        <w:rPr>
          <w:rFonts w:eastAsia="Times New Roman"/>
          <w:szCs w:val="20"/>
        </w:rPr>
        <w:br w:type="page"/>
      </w:r>
    </w:p>
    <w:tbl>
      <w:tblPr>
        <w:tblW w:w="876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6315"/>
        <w:gridCol w:w="1770"/>
      </w:tblGrid>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ind w:left="534" w:hanging="534"/>
              <w:jc w:val="left"/>
              <w:textAlignment w:val="baseline"/>
              <w:rPr>
                <w:rFonts w:eastAsia="Times New Roman"/>
                <w:sz w:val="20"/>
                <w:szCs w:val="20"/>
                <w:lang w:eastAsia="en-AU"/>
              </w:rPr>
            </w:pPr>
            <w:r w:rsidRPr="00E26C8E">
              <w:rPr>
                <w:rFonts w:eastAsia="Times New Roman"/>
                <w:color w:val="000000"/>
                <w:sz w:val="20"/>
                <w:szCs w:val="20"/>
                <w:lang w:eastAsia="en-AU"/>
              </w:rPr>
              <w:t>(c)</w:t>
            </w:r>
            <w:r w:rsidRPr="00E26C8E">
              <w:rPr>
                <w:rFonts w:eastAsia="Times New Roman"/>
                <w:color w:val="000000"/>
                <w:sz w:val="20"/>
                <w:szCs w:val="20"/>
                <w:lang w:eastAsia="en-AU"/>
              </w:rPr>
              <w:tab/>
              <w:t>annual fee—the sum of the following components:</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ind w:left="1026" w:hanging="492"/>
              <w:jc w:val="left"/>
              <w:textAlignment w:val="baseline"/>
              <w:rPr>
                <w:rFonts w:eastAsia="Times New Roman"/>
                <w:sz w:val="20"/>
                <w:szCs w:val="20"/>
                <w:lang w:eastAsia="en-AU"/>
              </w:rPr>
            </w:pPr>
            <w:r w:rsidRPr="00E26C8E">
              <w:rPr>
                <w:rFonts w:eastAsia="Times New Roman"/>
                <w:color w:val="000000"/>
                <w:sz w:val="20"/>
                <w:szCs w:val="20"/>
                <w:lang w:eastAsia="en-AU"/>
              </w:rPr>
              <w:t>(i)</w:t>
            </w:r>
            <w:r w:rsidRPr="00E26C8E">
              <w:rPr>
                <w:rFonts w:eastAsia="Times New Roman"/>
                <w:color w:val="000000"/>
                <w:sz w:val="20"/>
                <w:szCs w:val="20"/>
                <w:lang w:eastAsia="en-AU"/>
              </w:rPr>
              <w:tab/>
              <w:t>administration component</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$175.00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ind w:left="1026" w:hanging="492"/>
              <w:jc w:val="left"/>
              <w:textAlignment w:val="baseline"/>
              <w:rPr>
                <w:rFonts w:eastAsia="Times New Roman"/>
                <w:sz w:val="20"/>
                <w:szCs w:val="20"/>
                <w:lang w:eastAsia="en-AU"/>
              </w:rPr>
            </w:pPr>
            <w:r w:rsidRPr="00E26C8E">
              <w:rPr>
                <w:rFonts w:eastAsia="Times New Roman"/>
                <w:color w:val="000000"/>
                <w:sz w:val="20"/>
                <w:szCs w:val="20"/>
                <w:lang w:eastAsia="en-AU"/>
              </w:rPr>
              <w:t>(ii)</w:t>
            </w:r>
            <w:r w:rsidRPr="00E26C8E">
              <w:rPr>
                <w:rFonts w:eastAsia="Times New Roman"/>
                <w:color w:val="000000"/>
                <w:sz w:val="20"/>
                <w:szCs w:val="20"/>
                <w:lang w:eastAsia="en-AU"/>
              </w:rPr>
              <w:tab/>
              <w:t>regulation component</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$345.00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r w:rsidRPr="00E26C8E">
              <w:rPr>
                <w:rFonts w:eastAsia="Times New Roman"/>
                <w:color w:val="000000"/>
                <w:sz w:val="20"/>
                <w:szCs w:val="20"/>
                <w:lang w:eastAsia="en-AU"/>
              </w:rPr>
              <w:t>6</w:t>
            </w: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r w:rsidRPr="00E26C8E">
              <w:rPr>
                <w:rFonts w:eastAsia="Times New Roman"/>
                <w:color w:val="000000"/>
                <w:sz w:val="20"/>
                <w:szCs w:val="20"/>
                <w:lang w:eastAsia="en-AU"/>
              </w:rPr>
              <w:t>Special mining enterprise—</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ind w:left="534" w:hanging="534"/>
              <w:jc w:val="left"/>
              <w:textAlignment w:val="baseline"/>
              <w:rPr>
                <w:rFonts w:eastAsia="Times New Roman"/>
                <w:sz w:val="20"/>
                <w:szCs w:val="20"/>
                <w:lang w:eastAsia="en-AU"/>
              </w:rPr>
            </w:pPr>
            <w:r w:rsidRPr="00E26C8E">
              <w:rPr>
                <w:rFonts w:eastAsia="Times New Roman"/>
                <w:color w:val="000000"/>
                <w:sz w:val="20"/>
                <w:szCs w:val="20"/>
                <w:lang w:eastAsia="en-AU"/>
              </w:rPr>
              <w:t>(a)</w:t>
            </w:r>
            <w:r w:rsidRPr="00E26C8E">
              <w:rPr>
                <w:rFonts w:eastAsia="Times New Roman"/>
                <w:color w:val="000000"/>
                <w:sz w:val="20"/>
                <w:szCs w:val="20"/>
                <w:lang w:eastAsia="en-AU"/>
              </w:rPr>
              <w:tab/>
              <w:t>application phase fee</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$250 000.00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ind w:left="534" w:hanging="534"/>
              <w:jc w:val="left"/>
              <w:textAlignment w:val="baseline"/>
              <w:rPr>
                <w:rFonts w:eastAsia="Times New Roman"/>
                <w:sz w:val="20"/>
                <w:szCs w:val="20"/>
                <w:lang w:eastAsia="en-AU"/>
              </w:rPr>
            </w:pPr>
            <w:r w:rsidRPr="00E26C8E">
              <w:rPr>
                <w:rFonts w:eastAsia="Times New Roman"/>
                <w:color w:val="000000"/>
                <w:sz w:val="20"/>
                <w:szCs w:val="20"/>
                <w:lang w:eastAsia="en-AU"/>
              </w:rPr>
              <w:t>(b)</w:t>
            </w:r>
            <w:r w:rsidRPr="00E26C8E">
              <w:rPr>
                <w:rFonts w:eastAsia="Times New Roman"/>
                <w:color w:val="000000"/>
                <w:sz w:val="20"/>
                <w:szCs w:val="20"/>
                <w:lang w:eastAsia="en-AU"/>
              </w:rPr>
              <w:tab/>
              <w:t>concept phase fee</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$25 000.00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r w:rsidRPr="00E26C8E">
              <w:rPr>
                <w:rFonts w:eastAsia="Times New Roman"/>
                <w:color w:val="000000"/>
                <w:sz w:val="20"/>
                <w:szCs w:val="20"/>
                <w:lang w:eastAsia="en-AU"/>
              </w:rPr>
              <w:t>7</w:t>
            </w: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r w:rsidRPr="00E26C8E">
              <w:rPr>
                <w:rFonts w:eastAsia="Times New Roman"/>
                <w:color w:val="000000"/>
                <w:sz w:val="20"/>
                <w:szCs w:val="20"/>
                <w:lang w:eastAsia="en-AU"/>
              </w:rPr>
              <w:t>Private mine—annual fee</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$175.00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r w:rsidRPr="00E26C8E">
              <w:rPr>
                <w:rFonts w:eastAsia="Times New Roman"/>
                <w:color w:val="000000"/>
                <w:sz w:val="20"/>
                <w:szCs w:val="20"/>
                <w:lang w:eastAsia="en-AU"/>
              </w:rPr>
              <w:t>8</w:t>
            </w: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r w:rsidRPr="00E26C8E">
              <w:rPr>
                <w:rFonts w:eastAsia="Times New Roman"/>
                <w:color w:val="000000"/>
                <w:sz w:val="20"/>
                <w:szCs w:val="20"/>
                <w:lang w:eastAsia="en-AU"/>
              </w:rPr>
              <w:t>Application for consent to transfer a mineral tenement or an interest in a mineral tenement—</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ind w:left="534" w:hanging="534"/>
              <w:jc w:val="left"/>
              <w:textAlignment w:val="baseline"/>
              <w:rPr>
                <w:rFonts w:eastAsia="Times New Roman"/>
                <w:sz w:val="20"/>
                <w:szCs w:val="20"/>
                <w:lang w:eastAsia="en-AU"/>
              </w:rPr>
            </w:pPr>
            <w:r w:rsidRPr="00E26C8E">
              <w:rPr>
                <w:rFonts w:eastAsia="Times New Roman"/>
                <w:color w:val="000000"/>
                <w:sz w:val="20"/>
                <w:szCs w:val="20"/>
                <w:lang w:eastAsia="en-AU"/>
              </w:rPr>
              <w:t>(a)</w:t>
            </w:r>
            <w:r w:rsidRPr="00E26C8E">
              <w:rPr>
                <w:rFonts w:eastAsia="Times New Roman"/>
                <w:color w:val="000000"/>
                <w:sz w:val="20"/>
                <w:szCs w:val="20"/>
                <w:lang w:eastAsia="en-AU"/>
              </w:rPr>
              <w:tab/>
              <w:t>base fee</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$615.00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ind w:left="534" w:hanging="534"/>
              <w:jc w:val="left"/>
              <w:textAlignment w:val="baseline"/>
              <w:rPr>
                <w:rFonts w:eastAsia="Times New Roman"/>
                <w:sz w:val="20"/>
                <w:szCs w:val="20"/>
                <w:lang w:eastAsia="en-AU"/>
              </w:rPr>
            </w:pPr>
            <w:r w:rsidRPr="00E26C8E">
              <w:rPr>
                <w:rFonts w:eastAsia="Times New Roman"/>
                <w:color w:val="000000"/>
                <w:sz w:val="20"/>
                <w:szCs w:val="20"/>
                <w:lang w:eastAsia="en-AU"/>
              </w:rPr>
              <w:t>(b)</w:t>
            </w:r>
            <w:r w:rsidRPr="00E26C8E">
              <w:rPr>
                <w:rFonts w:eastAsia="Times New Roman"/>
                <w:color w:val="000000"/>
                <w:sz w:val="20"/>
                <w:szCs w:val="20"/>
                <w:lang w:eastAsia="en-AU"/>
              </w:rPr>
              <w:tab/>
              <w:t>plus—</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ind w:left="1026" w:hanging="492"/>
              <w:jc w:val="left"/>
              <w:textAlignment w:val="baseline"/>
              <w:rPr>
                <w:rFonts w:eastAsia="Times New Roman"/>
                <w:sz w:val="20"/>
                <w:szCs w:val="20"/>
                <w:lang w:eastAsia="en-AU"/>
              </w:rPr>
            </w:pPr>
            <w:r w:rsidRPr="00E26C8E">
              <w:rPr>
                <w:rFonts w:eastAsia="Times New Roman"/>
                <w:color w:val="000000"/>
                <w:sz w:val="20"/>
                <w:szCs w:val="20"/>
                <w:lang w:eastAsia="en-AU"/>
              </w:rPr>
              <w:t>(i)</w:t>
            </w:r>
            <w:r w:rsidRPr="00E26C8E">
              <w:rPr>
                <w:rFonts w:eastAsia="Times New Roman"/>
                <w:color w:val="000000"/>
                <w:sz w:val="20"/>
                <w:szCs w:val="20"/>
                <w:lang w:eastAsia="en-AU"/>
              </w:rPr>
              <w:tab/>
              <w:t>if the mineral tenement to which the application relates has an estimated rehabilitation liability of less than $10 million as set out in the program approved under Part 10A of the Act; or</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$1 500.00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ind w:left="1026" w:hanging="492"/>
              <w:jc w:val="left"/>
              <w:textAlignment w:val="baseline"/>
              <w:rPr>
                <w:rFonts w:eastAsia="Times New Roman"/>
                <w:color w:val="000000"/>
                <w:sz w:val="20"/>
                <w:szCs w:val="20"/>
                <w:lang w:eastAsia="en-AU"/>
              </w:rPr>
            </w:pPr>
            <w:r w:rsidRPr="00E26C8E">
              <w:rPr>
                <w:rFonts w:eastAsia="Times New Roman"/>
                <w:color w:val="000000"/>
                <w:sz w:val="20"/>
                <w:szCs w:val="20"/>
                <w:lang w:eastAsia="en-AU"/>
              </w:rPr>
              <w:t>(ii)</w:t>
            </w:r>
            <w:r w:rsidRPr="00E26C8E">
              <w:rPr>
                <w:rFonts w:eastAsia="Times New Roman"/>
                <w:color w:val="000000"/>
                <w:sz w:val="20"/>
                <w:szCs w:val="20"/>
                <w:lang w:eastAsia="en-AU"/>
              </w:rPr>
              <w:tab/>
              <w:t>if the mineral tenement to which the application relates has an estimated rehabilitation liability of $10 million or more as set out in the program approved under Part 10A of the Act</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$3 000.00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r w:rsidRPr="00E26C8E">
              <w:rPr>
                <w:rFonts w:eastAsia="Times New Roman"/>
                <w:color w:val="000000"/>
                <w:sz w:val="20"/>
                <w:szCs w:val="20"/>
                <w:lang w:eastAsia="en-AU"/>
              </w:rPr>
              <w:t>9</w:t>
            </w: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r w:rsidRPr="00E26C8E">
              <w:rPr>
                <w:rFonts w:eastAsia="Times New Roman"/>
                <w:color w:val="000000"/>
                <w:sz w:val="20"/>
                <w:szCs w:val="20"/>
                <w:lang w:eastAsia="en-AU"/>
              </w:rPr>
              <w:t>Application for approval under section 56R of the Act to make a change to which Part 8B Division 7 of the Act applies—</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ind w:left="534" w:hanging="534"/>
              <w:jc w:val="left"/>
              <w:textAlignment w:val="baseline"/>
              <w:rPr>
                <w:rFonts w:eastAsia="Times New Roman"/>
                <w:sz w:val="20"/>
                <w:szCs w:val="20"/>
                <w:lang w:eastAsia="en-AU"/>
              </w:rPr>
            </w:pPr>
            <w:r w:rsidRPr="00E26C8E">
              <w:rPr>
                <w:rFonts w:eastAsia="Times New Roman"/>
                <w:color w:val="000000"/>
                <w:sz w:val="20"/>
                <w:szCs w:val="20"/>
                <w:lang w:eastAsia="en-AU"/>
              </w:rPr>
              <w:t>(a)</w:t>
            </w:r>
            <w:r w:rsidRPr="00E26C8E">
              <w:rPr>
                <w:rFonts w:eastAsia="Times New Roman"/>
                <w:color w:val="000000"/>
                <w:sz w:val="20"/>
                <w:szCs w:val="20"/>
                <w:lang w:eastAsia="en-AU"/>
              </w:rPr>
              <w:tab/>
              <w:t>in relation to a mining lease that is authorised to recover, use and sell or dispose of solely extractive minerals or industrial minerals—</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ind w:left="1026" w:hanging="492"/>
              <w:jc w:val="left"/>
              <w:textAlignment w:val="baseline"/>
              <w:rPr>
                <w:rFonts w:eastAsia="Times New Roman"/>
                <w:sz w:val="20"/>
                <w:szCs w:val="20"/>
                <w:lang w:eastAsia="en-AU"/>
              </w:rPr>
            </w:pPr>
            <w:r w:rsidRPr="00E26C8E">
              <w:rPr>
                <w:rFonts w:eastAsia="Times New Roman"/>
                <w:color w:val="000000"/>
                <w:sz w:val="20"/>
                <w:szCs w:val="20"/>
                <w:lang w:eastAsia="en-AU"/>
              </w:rPr>
              <w:t>(i)</w:t>
            </w:r>
            <w:r w:rsidRPr="00E26C8E">
              <w:rPr>
                <w:rFonts w:eastAsia="Times New Roman"/>
                <w:color w:val="000000"/>
                <w:sz w:val="20"/>
                <w:szCs w:val="20"/>
                <w:lang w:eastAsia="en-AU"/>
              </w:rPr>
              <w:tab/>
              <w:t>for a level 1 change</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$250.00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ind w:left="1026" w:hanging="492"/>
              <w:jc w:val="left"/>
              <w:textAlignment w:val="baseline"/>
              <w:rPr>
                <w:rFonts w:eastAsia="Times New Roman"/>
                <w:sz w:val="20"/>
                <w:szCs w:val="20"/>
                <w:lang w:eastAsia="en-AU"/>
              </w:rPr>
            </w:pPr>
            <w:r w:rsidRPr="00E26C8E">
              <w:rPr>
                <w:rFonts w:eastAsia="Times New Roman"/>
                <w:color w:val="000000"/>
                <w:sz w:val="20"/>
                <w:szCs w:val="20"/>
                <w:lang w:eastAsia="en-AU"/>
              </w:rPr>
              <w:t>(ii)</w:t>
            </w:r>
            <w:r w:rsidRPr="00E26C8E">
              <w:rPr>
                <w:rFonts w:eastAsia="Times New Roman"/>
                <w:color w:val="000000"/>
                <w:sz w:val="20"/>
                <w:szCs w:val="20"/>
                <w:lang w:eastAsia="en-AU"/>
              </w:rPr>
              <w:tab/>
              <w:t>for a level 2 change</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$2 000.00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ind w:left="1026" w:hanging="492"/>
              <w:jc w:val="left"/>
              <w:textAlignment w:val="baseline"/>
              <w:rPr>
                <w:rFonts w:eastAsia="Times New Roman"/>
                <w:sz w:val="20"/>
                <w:szCs w:val="20"/>
                <w:lang w:eastAsia="en-AU"/>
              </w:rPr>
            </w:pPr>
            <w:r w:rsidRPr="00E26C8E">
              <w:rPr>
                <w:rFonts w:eastAsia="Times New Roman"/>
                <w:color w:val="000000"/>
                <w:sz w:val="20"/>
                <w:szCs w:val="20"/>
                <w:lang w:eastAsia="en-AU"/>
              </w:rPr>
              <w:t>(iii)</w:t>
            </w:r>
            <w:r w:rsidRPr="00E26C8E">
              <w:rPr>
                <w:rFonts w:eastAsia="Times New Roman"/>
                <w:color w:val="000000"/>
                <w:sz w:val="20"/>
                <w:szCs w:val="20"/>
                <w:lang w:eastAsia="en-AU"/>
              </w:rPr>
              <w:tab/>
              <w:t>for a level 3 change</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$5 000.00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ind w:left="534" w:hanging="534"/>
              <w:jc w:val="left"/>
              <w:textAlignment w:val="baseline"/>
              <w:rPr>
                <w:rFonts w:eastAsia="Times New Roman"/>
                <w:sz w:val="20"/>
                <w:szCs w:val="20"/>
                <w:lang w:eastAsia="en-AU"/>
              </w:rPr>
            </w:pPr>
            <w:r w:rsidRPr="00E26C8E">
              <w:rPr>
                <w:rFonts w:eastAsia="Times New Roman"/>
                <w:color w:val="000000"/>
                <w:sz w:val="20"/>
                <w:szCs w:val="20"/>
                <w:lang w:eastAsia="en-AU"/>
              </w:rPr>
              <w:t>(b)</w:t>
            </w:r>
            <w:r w:rsidRPr="00E26C8E">
              <w:rPr>
                <w:rFonts w:eastAsia="Times New Roman"/>
                <w:color w:val="000000"/>
                <w:sz w:val="20"/>
                <w:szCs w:val="20"/>
                <w:lang w:eastAsia="en-AU"/>
              </w:rPr>
              <w:tab/>
              <w:t>in relation to a mining lease in any other case—</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ind w:left="1026" w:hanging="492"/>
              <w:jc w:val="left"/>
              <w:textAlignment w:val="baseline"/>
              <w:rPr>
                <w:rFonts w:eastAsia="Times New Roman"/>
                <w:sz w:val="20"/>
                <w:szCs w:val="20"/>
                <w:lang w:eastAsia="en-AU"/>
              </w:rPr>
            </w:pPr>
            <w:r w:rsidRPr="00E26C8E">
              <w:rPr>
                <w:rFonts w:eastAsia="Times New Roman"/>
                <w:color w:val="000000"/>
                <w:sz w:val="20"/>
                <w:szCs w:val="20"/>
                <w:lang w:eastAsia="en-AU"/>
              </w:rPr>
              <w:t>(i)</w:t>
            </w:r>
            <w:r w:rsidRPr="00E26C8E">
              <w:rPr>
                <w:rFonts w:eastAsia="Times New Roman"/>
                <w:color w:val="000000"/>
                <w:sz w:val="20"/>
                <w:szCs w:val="20"/>
                <w:lang w:eastAsia="en-AU"/>
              </w:rPr>
              <w:tab/>
              <w:t>for a level 1 change</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$500.00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ind w:left="1026" w:hanging="492"/>
              <w:jc w:val="left"/>
              <w:textAlignment w:val="baseline"/>
              <w:rPr>
                <w:rFonts w:eastAsia="Times New Roman"/>
                <w:sz w:val="20"/>
                <w:szCs w:val="20"/>
                <w:lang w:eastAsia="en-AU"/>
              </w:rPr>
            </w:pPr>
            <w:r w:rsidRPr="00E26C8E">
              <w:rPr>
                <w:rFonts w:eastAsia="Times New Roman"/>
                <w:color w:val="000000"/>
                <w:sz w:val="20"/>
                <w:szCs w:val="20"/>
                <w:lang w:eastAsia="en-AU"/>
              </w:rPr>
              <w:t>(ii)</w:t>
            </w:r>
            <w:r w:rsidRPr="00E26C8E">
              <w:rPr>
                <w:rFonts w:eastAsia="Times New Roman"/>
                <w:color w:val="000000"/>
                <w:sz w:val="20"/>
                <w:szCs w:val="20"/>
                <w:lang w:eastAsia="en-AU"/>
              </w:rPr>
              <w:tab/>
              <w:t>for a level 2 change</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$1 500.00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ind w:left="1026" w:hanging="492"/>
              <w:jc w:val="left"/>
              <w:textAlignment w:val="baseline"/>
              <w:rPr>
                <w:rFonts w:eastAsia="Times New Roman"/>
                <w:sz w:val="20"/>
                <w:szCs w:val="20"/>
                <w:lang w:eastAsia="en-AU"/>
              </w:rPr>
            </w:pPr>
            <w:r w:rsidRPr="00E26C8E">
              <w:rPr>
                <w:rFonts w:eastAsia="Times New Roman"/>
                <w:color w:val="000000"/>
                <w:sz w:val="20"/>
                <w:szCs w:val="20"/>
                <w:lang w:eastAsia="en-AU"/>
              </w:rPr>
              <w:t>(iii)</w:t>
            </w:r>
            <w:r w:rsidRPr="00E26C8E">
              <w:rPr>
                <w:rFonts w:eastAsia="Times New Roman"/>
                <w:color w:val="000000"/>
                <w:sz w:val="20"/>
                <w:szCs w:val="20"/>
                <w:lang w:eastAsia="en-AU"/>
              </w:rPr>
              <w:tab/>
              <w:t>for a level 3 change</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$10 000.00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ind w:left="1026" w:hanging="492"/>
              <w:jc w:val="left"/>
              <w:textAlignment w:val="baseline"/>
              <w:rPr>
                <w:rFonts w:eastAsia="Times New Roman"/>
                <w:sz w:val="20"/>
                <w:szCs w:val="20"/>
                <w:lang w:eastAsia="en-AU"/>
              </w:rPr>
            </w:pPr>
            <w:r w:rsidRPr="00E26C8E">
              <w:rPr>
                <w:rFonts w:eastAsia="Times New Roman"/>
                <w:color w:val="000000"/>
                <w:sz w:val="20"/>
                <w:szCs w:val="20"/>
                <w:lang w:eastAsia="en-AU"/>
              </w:rPr>
              <w:t>(iv)</w:t>
            </w:r>
            <w:r w:rsidRPr="00E26C8E">
              <w:rPr>
                <w:rFonts w:eastAsia="Times New Roman"/>
                <w:color w:val="000000"/>
                <w:sz w:val="20"/>
                <w:szCs w:val="20"/>
                <w:lang w:eastAsia="en-AU"/>
              </w:rPr>
              <w:tab/>
              <w:t>for a level 4 change</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$25 000.00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ind w:left="534" w:hanging="534"/>
              <w:jc w:val="left"/>
              <w:textAlignment w:val="baseline"/>
              <w:rPr>
                <w:rFonts w:eastAsia="Times New Roman"/>
                <w:sz w:val="20"/>
                <w:szCs w:val="20"/>
                <w:lang w:eastAsia="en-AU"/>
              </w:rPr>
            </w:pPr>
            <w:r w:rsidRPr="00E26C8E">
              <w:rPr>
                <w:rFonts w:eastAsia="Times New Roman"/>
                <w:color w:val="000000"/>
                <w:sz w:val="20"/>
                <w:szCs w:val="20"/>
                <w:lang w:eastAsia="en-AU"/>
              </w:rPr>
              <w:t>(c)</w:t>
            </w:r>
            <w:r w:rsidRPr="00E26C8E">
              <w:rPr>
                <w:rFonts w:eastAsia="Times New Roman"/>
                <w:color w:val="000000"/>
                <w:sz w:val="20"/>
                <w:szCs w:val="20"/>
                <w:lang w:eastAsia="en-AU"/>
              </w:rPr>
              <w:tab/>
              <w:t>in relation to a retention lease</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$2 500.00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ind w:left="534" w:hanging="534"/>
              <w:jc w:val="left"/>
              <w:textAlignment w:val="baseline"/>
              <w:rPr>
                <w:rFonts w:eastAsia="Times New Roman"/>
                <w:sz w:val="20"/>
                <w:szCs w:val="20"/>
                <w:lang w:eastAsia="en-AU"/>
              </w:rPr>
            </w:pPr>
            <w:r w:rsidRPr="00E26C8E">
              <w:rPr>
                <w:rFonts w:eastAsia="Times New Roman"/>
                <w:color w:val="000000"/>
                <w:sz w:val="20"/>
                <w:szCs w:val="20"/>
                <w:lang w:eastAsia="en-AU"/>
              </w:rPr>
              <w:t>(d)</w:t>
            </w:r>
            <w:r w:rsidRPr="00E26C8E">
              <w:rPr>
                <w:rFonts w:eastAsia="Times New Roman"/>
                <w:color w:val="000000"/>
                <w:sz w:val="20"/>
                <w:szCs w:val="20"/>
                <w:lang w:eastAsia="en-AU"/>
              </w:rPr>
              <w:tab/>
              <w:t>in relation to a miscellaneous purpose licence</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An amount equal to the fee payable under this notice in connection with the submission of a change in respect of the primary mining tenement to which the licence is ancillary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r w:rsidRPr="00E26C8E">
              <w:rPr>
                <w:rFonts w:eastAsia="Times New Roman"/>
                <w:color w:val="000000"/>
                <w:sz w:val="20"/>
                <w:szCs w:val="20"/>
                <w:lang w:eastAsia="en-AU"/>
              </w:rPr>
              <w:t>10</w:t>
            </w: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r w:rsidRPr="00E26C8E">
              <w:rPr>
                <w:rFonts w:eastAsia="Times New Roman"/>
                <w:color w:val="000000"/>
                <w:sz w:val="20"/>
                <w:szCs w:val="20"/>
                <w:lang w:eastAsia="en-AU"/>
              </w:rPr>
              <w:t>Application for approval under section 30AA(4)(c) of the Act</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$615.00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r w:rsidRPr="00E26C8E">
              <w:rPr>
                <w:rFonts w:eastAsia="Times New Roman"/>
                <w:color w:val="000000"/>
                <w:sz w:val="20"/>
                <w:szCs w:val="20"/>
                <w:lang w:eastAsia="en-AU"/>
              </w:rPr>
              <w:t>11</w:t>
            </w: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r w:rsidRPr="00E26C8E">
              <w:rPr>
                <w:rFonts w:eastAsia="Times New Roman"/>
                <w:color w:val="000000"/>
                <w:sz w:val="20"/>
                <w:szCs w:val="20"/>
                <w:lang w:eastAsia="en-AU"/>
              </w:rPr>
              <w:t>Application for approval of retention status in relation to a licence—</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ind w:left="534" w:hanging="534"/>
              <w:jc w:val="left"/>
              <w:textAlignment w:val="baseline"/>
              <w:rPr>
                <w:rFonts w:eastAsia="Times New Roman"/>
                <w:sz w:val="20"/>
                <w:szCs w:val="20"/>
                <w:lang w:eastAsia="en-AU"/>
              </w:rPr>
            </w:pPr>
            <w:r w:rsidRPr="00E26C8E">
              <w:rPr>
                <w:rFonts w:eastAsia="Times New Roman"/>
                <w:color w:val="000000"/>
                <w:sz w:val="20"/>
                <w:szCs w:val="20"/>
                <w:lang w:eastAsia="en-AU"/>
              </w:rPr>
              <w:t>(a)</w:t>
            </w:r>
            <w:r w:rsidRPr="00E26C8E">
              <w:rPr>
                <w:rFonts w:eastAsia="Times New Roman"/>
                <w:color w:val="000000"/>
                <w:sz w:val="20"/>
                <w:szCs w:val="20"/>
                <w:lang w:eastAsia="en-AU"/>
              </w:rPr>
              <w:tab/>
              <w:t>under section 33B(3)(a) of the Act</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$615.00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ind w:left="534" w:hanging="534"/>
              <w:jc w:val="left"/>
              <w:textAlignment w:val="baseline"/>
              <w:rPr>
                <w:rFonts w:eastAsia="Times New Roman"/>
                <w:sz w:val="20"/>
                <w:szCs w:val="20"/>
                <w:lang w:eastAsia="en-AU"/>
              </w:rPr>
            </w:pPr>
            <w:r w:rsidRPr="00E26C8E">
              <w:rPr>
                <w:rFonts w:eastAsia="Times New Roman"/>
                <w:color w:val="000000"/>
                <w:sz w:val="20"/>
                <w:szCs w:val="20"/>
                <w:lang w:eastAsia="en-AU"/>
              </w:rPr>
              <w:t>(b)</w:t>
            </w:r>
            <w:r w:rsidRPr="00E26C8E">
              <w:rPr>
                <w:rFonts w:eastAsia="Times New Roman"/>
                <w:color w:val="000000"/>
                <w:sz w:val="20"/>
                <w:szCs w:val="20"/>
                <w:lang w:eastAsia="en-AU"/>
              </w:rPr>
              <w:tab/>
              <w:t>under section 33B(3)(b) of the Act</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$1 000.00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ind w:left="534" w:hanging="534"/>
              <w:jc w:val="left"/>
              <w:textAlignment w:val="baseline"/>
              <w:rPr>
                <w:rFonts w:eastAsia="Times New Roman"/>
                <w:sz w:val="20"/>
                <w:szCs w:val="20"/>
                <w:lang w:eastAsia="en-AU"/>
              </w:rPr>
            </w:pPr>
            <w:r w:rsidRPr="00E26C8E">
              <w:rPr>
                <w:rFonts w:eastAsia="Times New Roman"/>
                <w:color w:val="000000"/>
                <w:sz w:val="20"/>
                <w:szCs w:val="20"/>
                <w:lang w:eastAsia="en-AU"/>
              </w:rPr>
              <w:t>(c)</w:t>
            </w:r>
            <w:r w:rsidRPr="00E26C8E">
              <w:rPr>
                <w:rFonts w:eastAsia="Times New Roman"/>
                <w:color w:val="000000"/>
                <w:sz w:val="20"/>
                <w:szCs w:val="20"/>
                <w:lang w:eastAsia="en-AU"/>
              </w:rPr>
              <w:tab/>
              <w:t>under section 33B(3)(c) of the Act</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$615.00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r w:rsidRPr="00E26C8E">
              <w:rPr>
                <w:rFonts w:eastAsia="Times New Roman"/>
                <w:color w:val="000000"/>
                <w:sz w:val="20"/>
                <w:szCs w:val="20"/>
                <w:lang w:eastAsia="en-AU"/>
              </w:rPr>
              <w:lastRenderedPageBreak/>
              <w:t>12</w:t>
            </w: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r w:rsidRPr="00E26C8E">
              <w:rPr>
                <w:rFonts w:eastAsia="Times New Roman"/>
                <w:color w:val="000000"/>
                <w:sz w:val="20"/>
                <w:szCs w:val="20"/>
                <w:lang w:eastAsia="en-AU"/>
              </w:rPr>
              <w:t>Application for the amalgamation of the areas of 2 or more mineral tenements</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$615.00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r w:rsidRPr="00E26C8E">
              <w:rPr>
                <w:rFonts w:eastAsia="Times New Roman"/>
                <w:color w:val="000000"/>
                <w:sz w:val="20"/>
                <w:szCs w:val="20"/>
                <w:lang w:eastAsia="en-AU"/>
              </w:rPr>
              <w:t>13</w:t>
            </w: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r w:rsidRPr="00E26C8E">
              <w:rPr>
                <w:rFonts w:eastAsia="Times New Roman"/>
                <w:color w:val="000000"/>
                <w:sz w:val="20"/>
                <w:szCs w:val="20"/>
                <w:lang w:eastAsia="en-AU"/>
              </w:rPr>
              <w:t>Application for renewal of—</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ind w:left="534" w:hanging="534"/>
              <w:jc w:val="left"/>
              <w:textAlignment w:val="baseline"/>
              <w:rPr>
                <w:rFonts w:eastAsia="Times New Roman"/>
                <w:sz w:val="20"/>
                <w:szCs w:val="20"/>
                <w:lang w:eastAsia="en-AU"/>
              </w:rPr>
            </w:pPr>
            <w:r w:rsidRPr="00E26C8E">
              <w:rPr>
                <w:rFonts w:eastAsia="Times New Roman"/>
                <w:color w:val="000000"/>
                <w:sz w:val="20"/>
                <w:szCs w:val="20"/>
                <w:lang w:eastAsia="en-AU"/>
              </w:rPr>
              <w:t>(a)</w:t>
            </w:r>
            <w:r w:rsidRPr="00E26C8E">
              <w:rPr>
                <w:rFonts w:eastAsia="Times New Roman"/>
                <w:color w:val="000000"/>
                <w:sz w:val="20"/>
                <w:szCs w:val="20"/>
                <w:lang w:eastAsia="en-AU"/>
              </w:rPr>
              <w:tab/>
              <w:t>mining lease</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$615.00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ind w:left="534" w:hanging="534"/>
              <w:jc w:val="left"/>
              <w:textAlignment w:val="baseline"/>
              <w:rPr>
                <w:rFonts w:eastAsia="Times New Roman"/>
                <w:sz w:val="20"/>
                <w:szCs w:val="20"/>
                <w:lang w:eastAsia="en-AU"/>
              </w:rPr>
            </w:pPr>
            <w:r w:rsidRPr="00E26C8E">
              <w:rPr>
                <w:rFonts w:eastAsia="Times New Roman"/>
                <w:color w:val="000000"/>
                <w:sz w:val="20"/>
                <w:szCs w:val="20"/>
                <w:lang w:eastAsia="en-AU"/>
              </w:rPr>
              <w:t>(b)</w:t>
            </w:r>
            <w:r w:rsidRPr="00E26C8E">
              <w:rPr>
                <w:rFonts w:eastAsia="Times New Roman"/>
                <w:color w:val="000000"/>
                <w:sz w:val="20"/>
                <w:szCs w:val="20"/>
                <w:lang w:eastAsia="en-AU"/>
              </w:rPr>
              <w:tab/>
              <w:t>retention lease</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$615.00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ind w:left="534" w:hanging="534"/>
              <w:jc w:val="left"/>
              <w:textAlignment w:val="baseline"/>
              <w:rPr>
                <w:rFonts w:eastAsia="Times New Roman"/>
                <w:sz w:val="20"/>
                <w:szCs w:val="20"/>
                <w:lang w:eastAsia="en-AU"/>
              </w:rPr>
            </w:pPr>
            <w:r w:rsidRPr="00E26C8E">
              <w:rPr>
                <w:rFonts w:eastAsia="Times New Roman"/>
                <w:color w:val="000000"/>
                <w:sz w:val="20"/>
                <w:szCs w:val="20"/>
                <w:lang w:eastAsia="en-AU"/>
              </w:rPr>
              <w:t>(c)</w:t>
            </w:r>
            <w:r w:rsidRPr="00E26C8E">
              <w:rPr>
                <w:rFonts w:eastAsia="Times New Roman"/>
                <w:color w:val="000000"/>
                <w:sz w:val="20"/>
                <w:szCs w:val="20"/>
                <w:lang w:eastAsia="en-AU"/>
              </w:rPr>
              <w:tab/>
              <w:t>miscellaneous purposes licence</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$615.00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ind w:left="534" w:hanging="534"/>
              <w:jc w:val="left"/>
              <w:textAlignment w:val="baseline"/>
              <w:rPr>
                <w:rFonts w:eastAsia="Times New Roman"/>
                <w:sz w:val="20"/>
                <w:szCs w:val="20"/>
                <w:lang w:eastAsia="en-AU"/>
              </w:rPr>
            </w:pPr>
            <w:r w:rsidRPr="00E26C8E">
              <w:rPr>
                <w:rFonts w:eastAsia="Times New Roman"/>
                <w:color w:val="000000"/>
                <w:sz w:val="20"/>
                <w:szCs w:val="20"/>
                <w:lang w:eastAsia="en-AU"/>
              </w:rPr>
              <w:t>(d)</w:t>
            </w:r>
            <w:r w:rsidRPr="00E26C8E">
              <w:rPr>
                <w:rFonts w:eastAsia="Times New Roman"/>
                <w:color w:val="000000"/>
                <w:sz w:val="20"/>
                <w:szCs w:val="20"/>
                <w:lang w:eastAsia="en-AU"/>
              </w:rPr>
              <w:tab/>
              <w:t>exploration licence</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$615.00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r w:rsidRPr="00E26C8E">
              <w:rPr>
                <w:rFonts w:eastAsia="Times New Roman"/>
                <w:color w:val="000000"/>
                <w:sz w:val="20"/>
                <w:szCs w:val="20"/>
                <w:lang w:eastAsia="en-AU"/>
              </w:rPr>
              <w:t>14</w:t>
            </w: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r w:rsidRPr="00E26C8E">
              <w:rPr>
                <w:rFonts w:eastAsia="Times New Roman"/>
                <w:color w:val="000000"/>
                <w:sz w:val="20"/>
                <w:szCs w:val="20"/>
                <w:lang w:eastAsia="en-AU"/>
              </w:rPr>
              <w:t>Lodgement of an agreement (including an indigenous land use agreement) or determination with the Mining Registrar under Part 9B of the Act</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$615.00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r w:rsidRPr="00E26C8E">
              <w:rPr>
                <w:rFonts w:eastAsia="Times New Roman"/>
                <w:color w:val="000000"/>
                <w:sz w:val="20"/>
                <w:szCs w:val="20"/>
                <w:lang w:eastAsia="en-AU"/>
              </w:rPr>
              <w:t>15</w:t>
            </w: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r w:rsidRPr="00E26C8E">
              <w:rPr>
                <w:rFonts w:eastAsia="Times New Roman"/>
                <w:color w:val="000000"/>
                <w:sz w:val="20"/>
                <w:szCs w:val="20"/>
                <w:lang w:eastAsia="en-AU"/>
              </w:rPr>
              <w:t>Application for the registration of a mortgage</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$1 000.00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r w:rsidRPr="00E26C8E">
              <w:rPr>
                <w:rFonts w:eastAsia="Times New Roman"/>
                <w:color w:val="000000"/>
                <w:sz w:val="20"/>
                <w:szCs w:val="20"/>
                <w:lang w:eastAsia="en-AU"/>
              </w:rPr>
              <w:t>16</w:t>
            </w: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r w:rsidRPr="00E26C8E">
              <w:rPr>
                <w:rFonts w:eastAsia="Times New Roman"/>
                <w:color w:val="000000"/>
                <w:sz w:val="20"/>
                <w:szCs w:val="20"/>
                <w:lang w:eastAsia="en-AU"/>
              </w:rPr>
              <w:t>Application for registration of a caveat</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$1 000.00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r w:rsidRPr="00E26C8E">
              <w:rPr>
                <w:rFonts w:eastAsia="Times New Roman"/>
                <w:color w:val="000000"/>
                <w:sz w:val="20"/>
                <w:szCs w:val="20"/>
                <w:lang w:eastAsia="en-AU"/>
              </w:rPr>
              <w:t>17</w:t>
            </w: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r w:rsidRPr="00E26C8E">
              <w:rPr>
                <w:rFonts w:eastAsia="Times New Roman"/>
                <w:color w:val="000000"/>
                <w:sz w:val="20"/>
                <w:szCs w:val="20"/>
                <w:lang w:eastAsia="en-AU"/>
              </w:rPr>
              <w:t>Application for registration of dealing on Mining Register</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$1 000.00 </w:t>
            </w:r>
          </w:p>
        </w:tc>
      </w:tr>
      <w:tr w:rsidR="00E26C8E" w:rsidRPr="00E26C8E" w:rsidTr="00046B75">
        <w:trPr>
          <w:cantSplit/>
          <w:jc w:val="center"/>
        </w:trPr>
        <w:tc>
          <w:tcPr>
            <w:tcW w:w="67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r w:rsidRPr="00E26C8E">
              <w:rPr>
                <w:rFonts w:eastAsia="Times New Roman"/>
                <w:color w:val="000000"/>
                <w:sz w:val="20"/>
                <w:szCs w:val="20"/>
                <w:lang w:eastAsia="en-AU"/>
              </w:rPr>
              <w:t>18</w:t>
            </w:r>
          </w:p>
        </w:tc>
        <w:tc>
          <w:tcPr>
            <w:tcW w:w="631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r w:rsidRPr="00E26C8E">
              <w:rPr>
                <w:rFonts w:eastAsia="Times New Roman"/>
                <w:color w:val="000000"/>
                <w:sz w:val="20"/>
                <w:szCs w:val="20"/>
                <w:lang w:eastAsia="en-AU"/>
              </w:rPr>
              <w:t>Application for withdrawal of registration of a caveat, mortgage or dealing</w:t>
            </w:r>
          </w:p>
        </w:tc>
        <w:tc>
          <w:tcPr>
            <w:tcW w:w="1770"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$500.00 </w:t>
            </w:r>
          </w:p>
        </w:tc>
      </w:tr>
    </w:tbl>
    <w:p w:rsidR="00E26C8E" w:rsidRPr="00E26C8E" w:rsidRDefault="00E26C8E" w:rsidP="00E26C8E">
      <w:pPr>
        <w:spacing w:before="240" w:after="240" w:line="240" w:lineRule="auto"/>
        <w:ind w:left="556" w:hanging="556"/>
        <w:jc w:val="left"/>
        <w:textAlignment w:val="baseline"/>
        <w:rPr>
          <w:rFonts w:ascii="Segoe UI" w:eastAsia="Times New Roman" w:hAnsi="Segoe UI" w:cs="Segoe UI"/>
          <w:sz w:val="18"/>
          <w:szCs w:val="18"/>
          <w:lang w:eastAsia="en-AU"/>
        </w:rPr>
      </w:pPr>
      <w:r w:rsidRPr="00E26C8E">
        <w:rPr>
          <w:rFonts w:eastAsia="Times New Roman"/>
          <w:b/>
          <w:bCs/>
          <w:color w:val="000000"/>
          <w:sz w:val="32"/>
          <w:szCs w:val="32"/>
          <w:lang w:eastAsia="en-AU"/>
        </w:rPr>
        <w:t>Schedule 2—Fees in relation to submission of programs etc.</w:t>
      </w:r>
    </w:p>
    <w:tbl>
      <w:tblPr>
        <w:tblW w:w="876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0"/>
        <w:gridCol w:w="6525"/>
        <w:gridCol w:w="1635"/>
      </w:tblGrid>
      <w:tr w:rsidR="00E26C8E" w:rsidRPr="00E26C8E" w:rsidTr="00046B75">
        <w:trPr>
          <w:cantSplit/>
          <w:jc w:val="center"/>
        </w:trPr>
        <w:tc>
          <w:tcPr>
            <w:tcW w:w="600"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r w:rsidRPr="00E26C8E">
              <w:rPr>
                <w:rFonts w:eastAsia="Times New Roman"/>
                <w:color w:val="000000"/>
                <w:sz w:val="20"/>
                <w:szCs w:val="20"/>
                <w:lang w:eastAsia="en-AU"/>
              </w:rPr>
              <w:t>1</w:t>
            </w:r>
          </w:p>
        </w:tc>
        <w:tc>
          <w:tcPr>
            <w:tcW w:w="6525"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jc w:val="left"/>
              <w:textAlignment w:val="baseline"/>
              <w:rPr>
                <w:rFonts w:eastAsia="Times New Roman"/>
                <w:sz w:val="20"/>
                <w:szCs w:val="20"/>
                <w:lang w:eastAsia="en-AU"/>
              </w:rPr>
            </w:pPr>
            <w:r w:rsidRPr="00E26C8E">
              <w:rPr>
                <w:rFonts w:eastAsia="Times New Roman"/>
                <w:color w:val="000000"/>
                <w:sz w:val="20"/>
                <w:szCs w:val="20"/>
                <w:lang w:eastAsia="en-AU"/>
              </w:rPr>
              <w:t>Submission of a program in respect of a mineral claim or exploration licence—</w:t>
            </w:r>
          </w:p>
        </w:tc>
        <w:tc>
          <w:tcPr>
            <w:tcW w:w="1635"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 </w:t>
            </w:r>
          </w:p>
        </w:tc>
      </w:tr>
      <w:tr w:rsidR="00E26C8E" w:rsidRPr="00E26C8E" w:rsidTr="00046B75">
        <w:trPr>
          <w:cantSplit/>
          <w:jc w:val="center"/>
        </w:trPr>
        <w:tc>
          <w:tcPr>
            <w:tcW w:w="600"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525"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ind w:left="534" w:hanging="534"/>
              <w:jc w:val="left"/>
              <w:textAlignment w:val="baseline"/>
              <w:rPr>
                <w:rFonts w:eastAsia="Times New Roman"/>
                <w:sz w:val="20"/>
                <w:szCs w:val="20"/>
                <w:lang w:eastAsia="en-AU"/>
              </w:rPr>
            </w:pPr>
            <w:r w:rsidRPr="00E26C8E">
              <w:rPr>
                <w:rFonts w:eastAsia="Times New Roman"/>
                <w:color w:val="000000"/>
                <w:sz w:val="20"/>
                <w:szCs w:val="20"/>
                <w:lang w:eastAsia="en-AU"/>
              </w:rPr>
              <w:t>(a)</w:t>
            </w:r>
            <w:r w:rsidRPr="00E26C8E">
              <w:rPr>
                <w:rFonts w:eastAsia="Times New Roman"/>
                <w:color w:val="000000"/>
                <w:sz w:val="20"/>
                <w:szCs w:val="20"/>
                <w:lang w:eastAsia="en-AU"/>
              </w:rPr>
              <w:tab/>
              <w:t>base fee</w:t>
            </w:r>
          </w:p>
        </w:tc>
        <w:tc>
          <w:tcPr>
            <w:tcW w:w="1635"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$1 500.00 </w:t>
            </w:r>
          </w:p>
        </w:tc>
      </w:tr>
      <w:tr w:rsidR="00E26C8E" w:rsidRPr="00E26C8E" w:rsidTr="00046B75">
        <w:trPr>
          <w:cantSplit/>
          <w:jc w:val="center"/>
        </w:trPr>
        <w:tc>
          <w:tcPr>
            <w:tcW w:w="600"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525"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ind w:left="534" w:hanging="534"/>
              <w:jc w:val="left"/>
              <w:textAlignment w:val="baseline"/>
              <w:rPr>
                <w:rFonts w:eastAsia="Times New Roman"/>
                <w:sz w:val="20"/>
                <w:szCs w:val="20"/>
                <w:lang w:eastAsia="en-AU"/>
              </w:rPr>
            </w:pPr>
            <w:r w:rsidRPr="00E26C8E">
              <w:rPr>
                <w:rFonts w:eastAsia="Times New Roman"/>
                <w:color w:val="000000"/>
                <w:sz w:val="20"/>
                <w:szCs w:val="20"/>
                <w:lang w:eastAsia="en-AU"/>
              </w:rPr>
              <w:t>(b)</w:t>
            </w:r>
            <w:r w:rsidRPr="00E26C8E">
              <w:rPr>
                <w:rFonts w:eastAsia="Times New Roman"/>
                <w:color w:val="000000"/>
                <w:sz w:val="20"/>
                <w:szCs w:val="20"/>
                <w:lang w:eastAsia="en-AU"/>
              </w:rPr>
              <w:tab/>
              <w:t>plus—</w:t>
            </w:r>
          </w:p>
        </w:tc>
        <w:tc>
          <w:tcPr>
            <w:tcW w:w="1635"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 </w:t>
            </w:r>
          </w:p>
        </w:tc>
      </w:tr>
      <w:tr w:rsidR="00E26C8E" w:rsidRPr="00E26C8E" w:rsidTr="00046B75">
        <w:trPr>
          <w:cantSplit/>
          <w:jc w:val="center"/>
        </w:trPr>
        <w:tc>
          <w:tcPr>
            <w:tcW w:w="600"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525"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ind w:left="1026" w:hanging="492"/>
              <w:jc w:val="left"/>
              <w:textAlignment w:val="baseline"/>
              <w:rPr>
                <w:rFonts w:eastAsia="Times New Roman"/>
                <w:sz w:val="20"/>
                <w:szCs w:val="20"/>
                <w:lang w:eastAsia="en-AU"/>
              </w:rPr>
            </w:pPr>
            <w:r w:rsidRPr="00E26C8E">
              <w:rPr>
                <w:rFonts w:eastAsia="Times New Roman"/>
                <w:color w:val="000000"/>
                <w:sz w:val="20"/>
                <w:szCs w:val="20"/>
                <w:lang w:eastAsia="en-AU"/>
              </w:rPr>
              <w:t>(i)</w:t>
            </w:r>
            <w:r w:rsidRPr="00E26C8E">
              <w:rPr>
                <w:rFonts w:eastAsia="Times New Roman"/>
                <w:color w:val="000000"/>
                <w:sz w:val="20"/>
                <w:szCs w:val="20"/>
                <w:lang w:eastAsia="en-AU"/>
              </w:rPr>
              <w:tab/>
              <w:t>if the program provides for the use of declared equipment in a specially protected area or an area adjacent to a specially protected area; or</w:t>
            </w:r>
          </w:p>
        </w:tc>
        <w:tc>
          <w:tcPr>
            <w:tcW w:w="1635"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$500.00 </w:t>
            </w:r>
          </w:p>
        </w:tc>
      </w:tr>
      <w:tr w:rsidR="00E26C8E" w:rsidRPr="00E26C8E" w:rsidTr="00046B75">
        <w:trPr>
          <w:cantSplit/>
          <w:jc w:val="center"/>
        </w:trPr>
        <w:tc>
          <w:tcPr>
            <w:tcW w:w="600"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525"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ind w:left="1026" w:hanging="492"/>
              <w:jc w:val="left"/>
              <w:textAlignment w:val="baseline"/>
              <w:rPr>
                <w:rFonts w:eastAsia="Times New Roman"/>
                <w:sz w:val="20"/>
                <w:szCs w:val="20"/>
                <w:lang w:eastAsia="en-AU"/>
              </w:rPr>
            </w:pPr>
            <w:r w:rsidRPr="00E26C8E">
              <w:rPr>
                <w:rFonts w:eastAsia="Times New Roman"/>
                <w:color w:val="000000"/>
                <w:sz w:val="20"/>
                <w:szCs w:val="20"/>
                <w:lang w:eastAsia="en-AU"/>
              </w:rPr>
              <w:t>(ii)</w:t>
            </w:r>
            <w:r w:rsidRPr="00E26C8E">
              <w:rPr>
                <w:rFonts w:eastAsia="Times New Roman"/>
                <w:color w:val="000000"/>
                <w:sz w:val="20"/>
                <w:szCs w:val="20"/>
                <w:lang w:eastAsia="en-AU"/>
              </w:rPr>
              <w:tab/>
              <w:t>if the program provides for mining operations to occur in a conservation reserve, a regional reserve, a prescribed lake, a prescribed watercourse, a prescribed well, a State Heritage Area, a State Heritage Place or a declared RAMSAR wetland or on land subject to a heritage agreement; or</w:t>
            </w:r>
          </w:p>
        </w:tc>
        <w:tc>
          <w:tcPr>
            <w:tcW w:w="1635"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$500.00 </w:t>
            </w:r>
          </w:p>
        </w:tc>
      </w:tr>
      <w:tr w:rsidR="00E26C8E" w:rsidRPr="00E26C8E" w:rsidTr="00046B75">
        <w:trPr>
          <w:cantSplit/>
          <w:jc w:val="center"/>
        </w:trPr>
        <w:tc>
          <w:tcPr>
            <w:tcW w:w="600"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525"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ind w:left="1026" w:hanging="492"/>
              <w:jc w:val="left"/>
              <w:textAlignment w:val="baseline"/>
              <w:rPr>
                <w:rFonts w:eastAsia="Times New Roman"/>
                <w:sz w:val="20"/>
                <w:szCs w:val="20"/>
                <w:lang w:eastAsia="en-AU"/>
              </w:rPr>
            </w:pPr>
            <w:r w:rsidRPr="00E26C8E">
              <w:rPr>
                <w:rFonts w:eastAsia="Times New Roman"/>
                <w:color w:val="000000"/>
                <w:sz w:val="20"/>
                <w:szCs w:val="20"/>
                <w:lang w:eastAsia="en-AU"/>
              </w:rPr>
              <w:t>(iii)</w:t>
            </w:r>
            <w:r w:rsidRPr="00E26C8E">
              <w:rPr>
                <w:rFonts w:eastAsia="Times New Roman"/>
                <w:color w:val="000000"/>
                <w:sz w:val="20"/>
                <w:szCs w:val="20"/>
                <w:lang w:eastAsia="en-AU"/>
              </w:rPr>
              <w:tab/>
              <w:t>if the program provides for mining operations to occur in a national park, a conservation park or a recreation park</w:t>
            </w:r>
          </w:p>
        </w:tc>
        <w:tc>
          <w:tcPr>
            <w:tcW w:w="1635"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$1 500.00 </w:t>
            </w:r>
          </w:p>
        </w:tc>
      </w:tr>
      <w:tr w:rsidR="00E26C8E" w:rsidRPr="00E26C8E" w:rsidTr="00046B75">
        <w:trPr>
          <w:cantSplit/>
          <w:jc w:val="center"/>
        </w:trPr>
        <w:tc>
          <w:tcPr>
            <w:tcW w:w="600"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r w:rsidRPr="00E26C8E">
              <w:rPr>
                <w:rFonts w:eastAsia="Times New Roman"/>
                <w:color w:val="000000"/>
                <w:sz w:val="20"/>
                <w:szCs w:val="20"/>
                <w:lang w:eastAsia="en-AU"/>
              </w:rPr>
              <w:t>2</w:t>
            </w:r>
          </w:p>
        </w:tc>
        <w:tc>
          <w:tcPr>
            <w:tcW w:w="652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r w:rsidRPr="00E26C8E">
              <w:rPr>
                <w:rFonts w:eastAsia="Times New Roman"/>
                <w:color w:val="000000"/>
                <w:sz w:val="20"/>
                <w:szCs w:val="20"/>
                <w:lang w:eastAsia="en-AU"/>
              </w:rPr>
              <w:t>Submission of a program in respect of a mining lease (other than if item 8 applies)</w:t>
            </w:r>
          </w:p>
        </w:tc>
        <w:tc>
          <w:tcPr>
            <w:tcW w:w="1635"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An amount equal to 50% of the assessment component of the application fee payable under this notice in respect of the tenement </w:t>
            </w:r>
          </w:p>
        </w:tc>
      </w:tr>
      <w:tr w:rsidR="00E26C8E" w:rsidRPr="00E26C8E" w:rsidTr="00046B75">
        <w:trPr>
          <w:cantSplit/>
          <w:jc w:val="center"/>
        </w:trPr>
        <w:tc>
          <w:tcPr>
            <w:tcW w:w="600"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r w:rsidRPr="00E26C8E">
              <w:rPr>
                <w:rFonts w:eastAsia="Times New Roman"/>
                <w:color w:val="000000"/>
                <w:sz w:val="20"/>
                <w:szCs w:val="20"/>
                <w:lang w:eastAsia="en-AU"/>
              </w:rPr>
              <w:t>3</w:t>
            </w:r>
          </w:p>
        </w:tc>
        <w:tc>
          <w:tcPr>
            <w:tcW w:w="652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r w:rsidRPr="00E26C8E">
              <w:rPr>
                <w:rFonts w:eastAsia="Times New Roman"/>
                <w:color w:val="000000"/>
                <w:sz w:val="20"/>
                <w:szCs w:val="20"/>
                <w:lang w:eastAsia="en-AU"/>
              </w:rPr>
              <w:t>Submission of a program in respect of a retention lease (other than if item 8 applies)</w:t>
            </w:r>
          </w:p>
        </w:tc>
        <w:tc>
          <w:tcPr>
            <w:tcW w:w="1635"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$2 700.00 </w:t>
            </w:r>
          </w:p>
        </w:tc>
      </w:tr>
      <w:tr w:rsidR="00E26C8E" w:rsidRPr="00E26C8E" w:rsidTr="00046B75">
        <w:trPr>
          <w:cantSplit/>
          <w:jc w:val="center"/>
        </w:trPr>
        <w:tc>
          <w:tcPr>
            <w:tcW w:w="600"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r w:rsidRPr="00E26C8E">
              <w:rPr>
                <w:rFonts w:eastAsia="Times New Roman"/>
                <w:color w:val="000000"/>
                <w:sz w:val="20"/>
                <w:szCs w:val="20"/>
                <w:lang w:eastAsia="en-AU"/>
              </w:rPr>
              <w:t>4</w:t>
            </w:r>
          </w:p>
        </w:tc>
        <w:tc>
          <w:tcPr>
            <w:tcW w:w="652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r w:rsidRPr="00E26C8E">
              <w:rPr>
                <w:rFonts w:eastAsia="Times New Roman"/>
                <w:color w:val="000000"/>
                <w:sz w:val="20"/>
                <w:szCs w:val="20"/>
                <w:lang w:eastAsia="en-AU"/>
              </w:rPr>
              <w:t xml:space="preserve">Submission of a program in respect of a miscellaneous purposes licence </w:t>
            </w:r>
            <w:r w:rsidRPr="00E26C8E">
              <w:rPr>
                <w:rFonts w:eastAsia="Times New Roman"/>
                <w:color w:val="000000"/>
                <w:sz w:val="20"/>
                <w:szCs w:val="20"/>
                <w:lang w:eastAsia="en-AU"/>
              </w:rPr>
              <w:br/>
              <w:t>(other than if item 8 applies)</w:t>
            </w:r>
          </w:p>
        </w:tc>
        <w:tc>
          <w:tcPr>
            <w:tcW w:w="1635"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An amount equal to the fee payable under this notice in connection with the submission of a program in respect of the primary mining tenement to which the licence is ancillary </w:t>
            </w:r>
          </w:p>
        </w:tc>
      </w:tr>
      <w:tr w:rsidR="00E26C8E" w:rsidRPr="00E26C8E" w:rsidTr="00046B75">
        <w:trPr>
          <w:cantSplit/>
          <w:jc w:val="center"/>
        </w:trPr>
        <w:tc>
          <w:tcPr>
            <w:tcW w:w="600"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r w:rsidRPr="00E26C8E">
              <w:rPr>
                <w:rFonts w:eastAsia="Times New Roman"/>
                <w:color w:val="000000"/>
                <w:sz w:val="20"/>
                <w:szCs w:val="20"/>
                <w:lang w:eastAsia="en-AU"/>
              </w:rPr>
              <w:lastRenderedPageBreak/>
              <w:t>5</w:t>
            </w:r>
          </w:p>
        </w:tc>
        <w:tc>
          <w:tcPr>
            <w:tcW w:w="652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r w:rsidRPr="00E26C8E">
              <w:rPr>
                <w:rFonts w:eastAsia="Times New Roman"/>
                <w:color w:val="000000"/>
                <w:sz w:val="20"/>
                <w:szCs w:val="20"/>
                <w:lang w:eastAsia="en-AU"/>
              </w:rPr>
              <w:t>Combined program submitted for the purposes of section 70B of the Act relating to a group of mining tenements</w:t>
            </w:r>
          </w:p>
        </w:tc>
        <w:tc>
          <w:tcPr>
            <w:tcW w:w="1635"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An amount equal to the fee payable under this notice in connection with the submission of a program in respect of the primary mining tenement within the group </w:t>
            </w:r>
          </w:p>
        </w:tc>
      </w:tr>
      <w:tr w:rsidR="00E26C8E" w:rsidRPr="00E26C8E" w:rsidTr="00046B75">
        <w:trPr>
          <w:cantSplit/>
          <w:jc w:val="center"/>
        </w:trPr>
        <w:tc>
          <w:tcPr>
            <w:tcW w:w="600"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r w:rsidRPr="00E26C8E">
              <w:rPr>
                <w:rFonts w:eastAsia="Times New Roman"/>
                <w:color w:val="000000"/>
                <w:sz w:val="20"/>
                <w:szCs w:val="20"/>
                <w:lang w:eastAsia="en-AU"/>
              </w:rPr>
              <w:t>6</w:t>
            </w:r>
          </w:p>
        </w:tc>
        <w:tc>
          <w:tcPr>
            <w:tcW w:w="6525"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jc w:val="left"/>
              <w:textAlignment w:val="baseline"/>
              <w:rPr>
                <w:rFonts w:eastAsia="Times New Roman"/>
                <w:sz w:val="20"/>
                <w:szCs w:val="20"/>
                <w:lang w:eastAsia="en-AU"/>
              </w:rPr>
            </w:pPr>
            <w:r w:rsidRPr="00E26C8E">
              <w:rPr>
                <w:rFonts w:eastAsia="Times New Roman"/>
                <w:color w:val="000000"/>
                <w:sz w:val="20"/>
                <w:szCs w:val="20"/>
                <w:lang w:eastAsia="en-AU"/>
              </w:rPr>
              <w:t>Submission to the Director of a draft set of objectives and criteria under section 73G(4) of the Act (other than if item 8 applies)</w:t>
            </w:r>
          </w:p>
        </w:tc>
        <w:tc>
          <w:tcPr>
            <w:tcW w:w="1635"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$2 500.00 </w:t>
            </w:r>
          </w:p>
        </w:tc>
      </w:tr>
      <w:tr w:rsidR="00E26C8E" w:rsidRPr="00E26C8E" w:rsidTr="00046B75">
        <w:trPr>
          <w:cantSplit/>
          <w:jc w:val="center"/>
        </w:trPr>
        <w:tc>
          <w:tcPr>
            <w:tcW w:w="600"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r w:rsidRPr="00E26C8E">
              <w:rPr>
                <w:rFonts w:eastAsia="Times New Roman"/>
                <w:color w:val="000000"/>
                <w:sz w:val="20"/>
                <w:szCs w:val="20"/>
                <w:lang w:eastAsia="en-AU"/>
              </w:rPr>
              <w:t>7</w:t>
            </w:r>
          </w:p>
        </w:tc>
        <w:tc>
          <w:tcPr>
            <w:tcW w:w="652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r w:rsidRPr="00E26C8E">
              <w:rPr>
                <w:rFonts w:eastAsia="Times New Roman"/>
                <w:color w:val="000000"/>
                <w:sz w:val="20"/>
                <w:szCs w:val="20"/>
                <w:lang w:eastAsia="en-AU"/>
              </w:rPr>
              <w:t>Submission to the Director of a draft of objectives or criteria as altered under section 73G(4) of the Act (other than if item 8 applies)—</w:t>
            </w:r>
          </w:p>
        </w:tc>
        <w:tc>
          <w:tcPr>
            <w:tcW w:w="1635"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 </w:t>
            </w:r>
          </w:p>
        </w:tc>
      </w:tr>
      <w:tr w:rsidR="00E26C8E" w:rsidRPr="00E26C8E" w:rsidTr="00046B75">
        <w:trPr>
          <w:cantSplit/>
          <w:jc w:val="center"/>
        </w:trPr>
        <w:tc>
          <w:tcPr>
            <w:tcW w:w="600"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525"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ind w:left="534" w:hanging="534"/>
              <w:jc w:val="left"/>
              <w:textAlignment w:val="baseline"/>
              <w:rPr>
                <w:rFonts w:eastAsia="Times New Roman"/>
                <w:sz w:val="20"/>
                <w:szCs w:val="20"/>
                <w:lang w:eastAsia="en-AU"/>
              </w:rPr>
            </w:pPr>
            <w:r w:rsidRPr="00E26C8E">
              <w:rPr>
                <w:rFonts w:eastAsia="Times New Roman"/>
                <w:color w:val="000000"/>
                <w:sz w:val="20"/>
                <w:szCs w:val="20"/>
                <w:lang w:eastAsia="en-AU"/>
              </w:rPr>
              <w:t>(a)</w:t>
            </w:r>
            <w:r w:rsidRPr="00E26C8E">
              <w:rPr>
                <w:rFonts w:eastAsia="Times New Roman"/>
                <w:color w:val="000000"/>
                <w:sz w:val="20"/>
                <w:szCs w:val="20"/>
                <w:lang w:eastAsia="en-AU"/>
              </w:rPr>
              <w:tab/>
              <w:t>in the case of a tier 1 draft</w:t>
            </w:r>
          </w:p>
        </w:tc>
        <w:tc>
          <w:tcPr>
            <w:tcW w:w="1635"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$1 000.00 </w:t>
            </w:r>
          </w:p>
        </w:tc>
      </w:tr>
      <w:tr w:rsidR="00E26C8E" w:rsidRPr="00E26C8E" w:rsidTr="00046B75">
        <w:trPr>
          <w:cantSplit/>
          <w:jc w:val="center"/>
        </w:trPr>
        <w:tc>
          <w:tcPr>
            <w:tcW w:w="600"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525"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ind w:left="534" w:hanging="534"/>
              <w:jc w:val="left"/>
              <w:textAlignment w:val="baseline"/>
              <w:rPr>
                <w:rFonts w:eastAsia="Times New Roman"/>
                <w:sz w:val="20"/>
                <w:szCs w:val="20"/>
                <w:lang w:eastAsia="en-AU"/>
              </w:rPr>
            </w:pPr>
            <w:r w:rsidRPr="00E26C8E">
              <w:rPr>
                <w:rFonts w:eastAsia="Times New Roman"/>
                <w:color w:val="000000"/>
                <w:sz w:val="20"/>
                <w:szCs w:val="20"/>
                <w:lang w:eastAsia="en-AU"/>
              </w:rPr>
              <w:t>(b)</w:t>
            </w:r>
            <w:r w:rsidRPr="00E26C8E">
              <w:rPr>
                <w:rFonts w:eastAsia="Times New Roman"/>
                <w:color w:val="000000"/>
                <w:sz w:val="20"/>
                <w:szCs w:val="20"/>
                <w:lang w:eastAsia="en-AU"/>
              </w:rPr>
              <w:tab/>
              <w:t>in the case of a tier 2 draft</w:t>
            </w:r>
          </w:p>
        </w:tc>
        <w:tc>
          <w:tcPr>
            <w:tcW w:w="1635"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$2 500.00 </w:t>
            </w:r>
          </w:p>
        </w:tc>
      </w:tr>
      <w:tr w:rsidR="00E26C8E" w:rsidRPr="00E26C8E" w:rsidTr="00046B75">
        <w:trPr>
          <w:cantSplit/>
          <w:jc w:val="center"/>
        </w:trPr>
        <w:tc>
          <w:tcPr>
            <w:tcW w:w="600"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525"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ind w:left="534" w:hanging="534"/>
              <w:jc w:val="left"/>
              <w:textAlignment w:val="baseline"/>
              <w:rPr>
                <w:rFonts w:eastAsia="Times New Roman"/>
                <w:sz w:val="20"/>
                <w:szCs w:val="20"/>
                <w:lang w:eastAsia="en-AU"/>
              </w:rPr>
            </w:pPr>
            <w:r w:rsidRPr="00E26C8E">
              <w:rPr>
                <w:rFonts w:eastAsia="Times New Roman"/>
                <w:color w:val="000000"/>
                <w:sz w:val="20"/>
                <w:szCs w:val="20"/>
                <w:lang w:eastAsia="en-AU"/>
              </w:rPr>
              <w:t>(c)</w:t>
            </w:r>
            <w:r w:rsidRPr="00E26C8E">
              <w:rPr>
                <w:rFonts w:eastAsia="Times New Roman"/>
                <w:color w:val="000000"/>
                <w:sz w:val="20"/>
                <w:szCs w:val="20"/>
                <w:lang w:eastAsia="en-AU"/>
              </w:rPr>
              <w:tab/>
              <w:t>in the case of a tier 3 draft</w:t>
            </w:r>
          </w:p>
        </w:tc>
        <w:tc>
          <w:tcPr>
            <w:tcW w:w="1635"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$5 000.00 </w:t>
            </w:r>
          </w:p>
        </w:tc>
      </w:tr>
      <w:tr w:rsidR="00E26C8E" w:rsidRPr="00E26C8E" w:rsidTr="00046B75">
        <w:trPr>
          <w:cantSplit/>
          <w:jc w:val="center"/>
        </w:trPr>
        <w:tc>
          <w:tcPr>
            <w:tcW w:w="600"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525"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ind w:left="534"/>
              <w:jc w:val="left"/>
              <w:textAlignment w:val="baseline"/>
              <w:rPr>
                <w:rFonts w:eastAsia="Times New Roman"/>
                <w:color w:val="000000"/>
                <w:sz w:val="20"/>
                <w:szCs w:val="20"/>
                <w:lang w:eastAsia="en-AU"/>
              </w:rPr>
            </w:pPr>
            <w:r w:rsidRPr="00E26C8E">
              <w:rPr>
                <w:rFonts w:eastAsia="Times New Roman"/>
                <w:color w:val="000000"/>
                <w:sz w:val="20"/>
                <w:szCs w:val="20"/>
                <w:lang w:eastAsia="en-AU"/>
              </w:rPr>
              <w:t>plus—</w:t>
            </w:r>
          </w:p>
        </w:tc>
        <w:tc>
          <w:tcPr>
            <w:tcW w:w="1635"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 </w:t>
            </w:r>
          </w:p>
        </w:tc>
      </w:tr>
      <w:tr w:rsidR="00E26C8E" w:rsidRPr="00E26C8E" w:rsidTr="00046B75">
        <w:trPr>
          <w:cantSplit/>
          <w:jc w:val="center"/>
        </w:trPr>
        <w:tc>
          <w:tcPr>
            <w:tcW w:w="600"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525"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ind w:left="534" w:hanging="534"/>
              <w:jc w:val="left"/>
              <w:textAlignment w:val="baseline"/>
              <w:rPr>
                <w:rFonts w:eastAsia="Times New Roman"/>
                <w:sz w:val="20"/>
                <w:szCs w:val="20"/>
                <w:lang w:eastAsia="en-AU"/>
              </w:rPr>
            </w:pPr>
            <w:r w:rsidRPr="00E26C8E">
              <w:rPr>
                <w:rFonts w:eastAsia="Times New Roman"/>
                <w:color w:val="000000"/>
                <w:sz w:val="20"/>
                <w:szCs w:val="20"/>
                <w:lang w:eastAsia="en-AU"/>
              </w:rPr>
              <w:t>(d)</w:t>
            </w:r>
            <w:r w:rsidRPr="00E26C8E">
              <w:rPr>
                <w:rFonts w:eastAsia="Times New Roman"/>
                <w:color w:val="000000"/>
                <w:sz w:val="20"/>
                <w:szCs w:val="20"/>
                <w:lang w:eastAsia="en-AU"/>
              </w:rPr>
              <w:tab/>
              <w:t xml:space="preserve">if the draft relates to new mining operations to be carried out at a </w:t>
            </w:r>
            <w:r w:rsidRPr="00E26C8E">
              <w:rPr>
                <w:rFonts w:eastAsia="Times New Roman"/>
                <w:color w:val="000000"/>
                <w:sz w:val="20"/>
                <w:szCs w:val="20"/>
                <w:lang w:eastAsia="en-AU"/>
              </w:rPr>
              <w:br/>
              <w:t>private mine</w:t>
            </w:r>
          </w:p>
        </w:tc>
        <w:tc>
          <w:tcPr>
            <w:tcW w:w="1635"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$945.00 </w:t>
            </w:r>
          </w:p>
        </w:tc>
      </w:tr>
      <w:tr w:rsidR="00E26C8E" w:rsidRPr="00E26C8E" w:rsidTr="00046B75">
        <w:trPr>
          <w:cantSplit/>
          <w:jc w:val="center"/>
        </w:trPr>
        <w:tc>
          <w:tcPr>
            <w:tcW w:w="600"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r w:rsidRPr="00E26C8E">
              <w:rPr>
                <w:rFonts w:eastAsia="Times New Roman"/>
                <w:color w:val="000000"/>
                <w:sz w:val="20"/>
                <w:szCs w:val="20"/>
                <w:lang w:eastAsia="en-AU"/>
              </w:rPr>
              <w:t>8</w:t>
            </w:r>
          </w:p>
        </w:tc>
        <w:tc>
          <w:tcPr>
            <w:tcW w:w="652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r w:rsidRPr="00E26C8E">
              <w:rPr>
                <w:rFonts w:eastAsia="Times New Roman"/>
                <w:color w:val="000000"/>
                <w:sz w:val="20"/>
                <w:szCs w:val="20"/>
                <w:lang w:eastAsia="en-AU"/>
              </w:rPr>
              <w:t>Despite items 2, 3, 4, 6 and 7, if—</w:t>
            </w:r>
          </w:p>
          <w:p w:rsidR="00E26C8E" w:rsidRPr="00E26C8E" w:rsidRDefault="00E26C8E" w:rsidP="00E26C8E">
            <w:pPr>
              <w:spacing w:after="120" w:line="240" w:lineRule="auto"/>
              <w:ind w:left="534" w:hanging="534"/>
              <w:jc w:val="left"/>
              <w:textAlignment w:val="baseline"/>
              <w:rPr>
                <w:rFonts w:eastAsia="Times New Roman"/>
                <w:sz w:val="20"/>
                <w:szCs w:val="20"/>
                <w:lang w:eastAsia="en-AU"/>
              </w:rPr>
            </w:pPr>
            <w:r w:rsidRPr="00E26C8E">
              <w:rPr>
                <w:rFonts w:eastAsia="Times New Roman"/>
                <w:color w:val="000000"/>
                <w:sz w:val="20"/>
                <w:szCs w:val="20"/>
                <w:lang w:eastAsia="en-AU"/>
              </w:rPr>
              <w:t>(a)</w:t>
            </w:r>
            <w:r w:rsidRPr="00E26C8E">
              <w:rPr>
                <w:rFonts w:eastAsia="Times New Roman"/>
                <w:color w:val="000000"/>
                <w:sz w:val="20"/>
                <w:szCs w:val="20"/>
                <w:lang w:eastAsia="en-AU"/>
              </w:rPr>
              <w:tab/>
              <w:t xml:space="preserve">land subject to a mining lease is contiguous with land on which a </w:t>
            </w:r>
            <w:r w:rsidRPr="00E26C8E">
              <w:rPr>
                <w:rFonts w:eastAsia="Times New Roman"/>
                <w:color w:val="000000"/>
                <w:sz w:val="20"/>
                <w:szCs w:val="20"/>
                <w:lang w:eastAsia="en-AU"/>
              </w:rPr>
              <w:br/>
              <w:t>private mine is situated; and</w:t>
            </w:r>
          </w:p>
        </w:tc>
        <w:tc>
          <w:tcPr>
            <w:tcW w:w="1635"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 </w:t>
            </w:r>
          </w:p>
        </w:tc>
      </w:tr>
      <w:tr w:rsidR="00E26C8E" w:rsidRPr="00E26C8E" w:rsidTr="00046B75">
        <w:trPr>
          <w:cantSplit/>
          <w:jc w:val="center"/>
        </w:trPr>
        <w:tc>
          <w:tcPr>
            <w:tcW w:w="600"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525" w:type="dxa"/>
            <w:tcBorders>
              <w:top w:val="nil"/>
              <w:left w:val="nil"/>
              <w:bottom w:val="nil"/>
              <w:right w:val="nil"/>
            </w:tcBorders>
            <w:shd w:val="clear" w:color="auto" w:fill="auto"/>
            <w:hideMark/>
          </w:tcPr>
          <w:p w:rsidR="00E26C8E" w:rsidRPr="00E26C8E" w:rsidRDefault="00E26C8E" w:rsidP="00E26C8E">
            <w:pPr>
              <w:spacing w:after="120" w:line="240" w:lineRule="auto"/>
              <w:ind w:left="534" w:hanging="534"/>
              <w:jc w:val="left"/>
              <w:textAlignment w:val="baseline"/>
              <w:rPr>
                <w:rFonts w:eastAsia="Times New Roman"/>
                <w:color w:val="000000"/>
                <w:sz w:val="20"/>
                <w:szCs w:val="20"/>
                <w:lang w:eastAsia="en-AU"/>
              </w:rPr>
            </w:pPr>
            <w:r w:rsidRPr="00E26C8E">
              <w:rPr>
                <w:rFonts w:eastAsia="Times New Roman"/>
                <w:color w:val="000000"/>
                <w:sz w:val="20"/>
                <w:szCs w:val="20"/>
                <w:lang w:eastAsia="en-AU"/>
              </w:rPr>
              <w:t>(b)</w:t>
            </w:r>
            <w:r w:rsidRPr="00E26C8E">
              <w:rPr>
                <w:rFonts w:eastAsia="Times New Roman"/>
                <w:color w:val="000000"/>
                <w:sz w:val="20"/>
                <w:szCs w:val="20"/>
                <w:lang w:eastAsia="en-AU"/>
              </w:rPr>
              <w:tab/>
              <w:t>a single document is submitted in respect of mining operations on the land to satisfy the requirements of both sections 70B(4) and 73G(4) of the Act,</w:t>
            </w:r>
          </w:p>
          <w:p w:rsidR="00E26C8E" w:rsidRPr="00E26C8E" w:rsidRDefault="00E26C8E" w:rsidP="00E26C8E">
            <w:pPr>
              <w:spacing w:after="120" w:line="240" w:lineRule="auto"/>
              <w:ind w:left="534" w:hanging="534"/>
              <w:jc w:val="left"/>
              <w:textAlignment w:val="baseline"/>
              <w:rPr>
                <w:rFonts w:eastAsia="Times New Roman"/>
                <w:sz w:val="20"/>
                <w:szCs w:val="20"/>
                <w:lang w:eastAsia="en-AU"/>
              </w:rPr>
            </w:pPr>
            <w:r w:rsidRPr="00E26C8E">
              <w:rPr>
                <w:rFonts w:eastAsia="Times New Roman"/>
                <w:color w:val="000000"/>
                <w:sz w:val="20"/>
                <w:szCs w:val="20"/>
                <w:lang w:eastAsia="en-AU"/>
              </w:rPr>
              <w:t>the following provisions apply:</w:t>
            </w:r>
          </w:p>
        </w:tc>
        <w:tc>
          <w:tcPr>
            <w:tcW w:w="1635"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 </w:t>
            </w:r>
          </w:p>
        </w:tc>
      </w:tr>
      <w:tr w:rsidR="00E26C8E" w:rsidRPr="00E26C8E" w:rsidTr="00046B75">
        <w:trPr>
          <w:cantSplit/>
          <w:jc w:val="center"/>
        </w:trPr>
        <w:tc>
          <w:tcPr>
            <w:tcW w:w="600"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525"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ind w:left="534" w:hanging="534"/>
              <w:jc w:val="left"/>
              <w:textAlignment w:val="baseline"/>
              <w:rPr>
                <w:rFonts w:eastAsia="Times New Roman"/>
                <w:sz w:val="20"/>
                <w:szCs w:val="20"/>
                <w:lang w:eastAsia="en-AU"/>
              </w:rPr>
            </w:pPr>
            <w:r w:rsidRPr="00E26C8E">
              <w:rPr>
                <w:rFonts w:eastAsia="Times New Roman"/>
                <w:color w:val="000000"/>
                <w:sz w:val="20"/>
                <w:szCs w:val="20"/>
                <w:lang w:eastAsia="en-AU"/>
              </w:rPr>
              <w:t>(c)</w:t>
            </w:r>
            <w:r w:rsidRPr="00E26C8E">
              <w:rPr>
                <w:rFonts w:eastAsia="Times New Roman"/>
                <w:color w:val="000000"/>
                <w:sz w:val="20"/>
                <w:szCs w:val="20"/>
                <w:lang w:eastAsia="en-AU"/>
              </w:rPr>
              <w:tab/>
              <w:t>the fee payable on submission of initial document is</w:t>
            </w:r>
          </w:p>
        </w:tc>
        <w:tc>
          <w:tcPr>
            <w:tcW w:w="1635"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$1 250.00 </w:t>
            </w:r>
          </w:p>
        </w:tc>
      </w:tr>
      <w:tr w:rsidR="00E26C8E" w:rsidRPr="00E26C8E" w:rsidTr="00046B75">
        <w:trPr>
          <w:cantSplit/>
          <w:jc w:val="center"/>
        </w:trPr>
        <w:tc>
          <w:tcPr>
            <w:tcW w:w="600"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525" w:type="dxa"/>
            <w:tcBorders>
              <w:top w:val="nil"/>
              <w:left w:val="nil"/>
              <w:bottom w:val="nil"/>
              <w:right w:val="nil"/>
            </w:tcBorders>
            <w:shd w:val="clear" w:color="auto" w:fill="auto"/>
            <w:hideMark/>
          </w:tcPr>
          <w:p w:rsidR="00E26C8E" w:rsidRPr="00E26C8E" w:rsidRDefault="00E26C8E" w:rsidP="00E26C8E">
            <w:pPr>
              <w:spacing w:after="120" w:line="240" w:lineRule="auto"/>
              <w:ind w:left="534" w:hanging="534"/>
              <w:jc w:val="left"/>
              <w:textAlignment w:val="baseline"/>
              <w:rPr>
                <w:rFonts w:eastAsia="Times New Roman"/>
                <w:sz w:val="20"/>
                <w:szCs w:val="20"/>
                <w:lang w:eastAsia="en-AU"/>
              </w:rPr>
            </w:pPr>
            <w:r w:rsidRPr="00E26C8E">
              <w:rPr>
                <w:rFonts w:eastAsia="Times New Roman"/>
                <w:color w:val="000000"/>
                <w:sz w:val="20"/>
                <w:szCs w:val="20"/>
                <w:lang w:eastAsia="en-AU"/>
              </w:rPr>
              <w:t>(d)</w:t>
            </w:r>
            <w:r w:rsidRPr="00E26C8E">
              <w:rPr>
                <w:rFonts w:eastAsia="Times New Roman"/>
                <w:color w:val="000000"/>
                <w:sz w:val="20"/>
                <w:szCs w:val="20"/>
                <w:lang w:eastAsia="en-AU"/>
              </w:rPr>
              <w:tab/>
              <w:t>the fees set out in item 9 apply for the purposes of determining the fee payable in connection with the submission of a revised document as if it were a revised program for the purposes set out in that item</w:t>
            </w:r>
          </w:p>
        </w:tc>
        <w:tc>
          <w:tcPr>
            <w:tcW w:w="1635"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 </w:t>
            </w:r>
          </w:p>
        </w:tc>
      </w:tr>
      <w:tr w:rsidR="00E26C8E" w:rsidRPr="00E26C8E" w:rsidTr="00046B75">
        <w:trPr>
          <w:cantSplit/>
          <w:jc w:val="center"/>
        </w:trPr>
        <w:tc>
          <w:tcPr>
            <w:tcW w:w="600"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r w:rsidRPr="00E26C8E">
              <w:rPr>
                <w:rFonts w:eastAsia="Times New Roman"/>
                <w:color w:val="000000"/>
                <w:sz w:val="20"/>
                <w:szCs w:val="20"/>
                <w:lang w:eastAsia="en-AU"/>
              </w:rPr>
              <w:t>9</w:t>
            </w:r>
          </w:p>
        </w:tc>
        <w:tc>
          <w:tcPr>
            <w:tcW w:w="652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r w:rsidRPr="00E26C8E">
              <w:rPr>
                <w:rFonts w:eastAsia="Times New Roman"/>
                <w:color w:val="000000"/>
                <w:sz w:val="20"/>
                <w:szCs w:val="20"/>
                <w:lang w:eastAsia="en-AU"/>
              </w:rPr>
              <w:t>Submission of revised program—</w:t>
            </w:r>
          </w:p>
          <w:p w:rsidR="00E26C8E" w:rsidRPr="00E26C8E" w:rsidRDefault="00E26C8E" w:rsidP="00E26C8E">
            <w:pPr>
              <w:spacing w:after="120" w:line="240" w:lineRule="auto"/>
              <w:ind w:left="534" w:hanging="534"/>
              <w:jc w:val="left"/>
              <w:textAlignment w:val="baseline"/>
              <w:rPr>
                <w:rFonts w:eastAsia="Times New Roman"/>
                <w:sz w:val="20"/>
                <w:szCs w:val="20"/>
                <w:lang w:eastAsia="en-AU"/>
              </w:rPr>
            </w:pPr>
            <w:r w:rsidRPr="00E26C8E">
              <w:rPr>
                <w:rFonts w:eastAsia="Times New Roman"/>
                <w:color w:val="000000"/>
                <w:sz w:val="20"/>
                <w:szCs w:val="20"/>
                <w:lang w:eastAsia="en-AU"/>
              </w:rPr>
              <w:t>(a)</w:t>
            </w:r>
            <w:r w:rsidRPr="00E26C8E">
              <w:rPr>
                <w:rFonts w:eastAsia="Times New Roman"/>
                <w:color w:val="000000"/>
                <w:sz w:val="20"/>
                <w:szCs w:val="20"/>
                <w:lang w:eastAsia="en-AU"/>
              </w:rPr>
              <w:tab/>
              <w:t>in respect of a mineral claim or exploration licence—</w:t>
            </w:r>
          </w:p>
        </w:tc>
        <w:tc>
          <w:tcPr>
            <w:tcW w:w="1635"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 </w:t>
            </w:r>
          </w:p>
        </w:tc>
      </w:tr>
      <w:tr w:rsidR="00E26C8E" w:rsidRPr="00E26C8E" w:rsidTr="00046B75">
        <w:trPr>
          <w:cantSplit/>
          <w:jc w:val="center"/>
        </w:trPr>
        <w:tc>
          <w:tcPr>
            <w:tcW w:w="600"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525"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ind w:left="1026" w:hanging="492"/>
              <w:jc w:val="left"/>
              <w:textAlignment w:val="baseline"/>
              <w:rPr>
                <w:rFonts w:eastAsia="Times New Roman"/>
                <w:sz w:val="20"/>
                <w:szCs w:val="20"/>
                <w:lang w:eastAsia="en-AU"/>
              </w:rPr>
            </w:pPr>
            <w:r w:rsidRPr="00E26C8E">
              <w:rPr>
                <w:rFonts w:eastAsia="Times New Roman"/>
                <w:color w:val="000000"/>
                <w:sz w:val="20"/>
                <w:szCs w:val="20"/>
                <w:lang w:eastAsia="en-AU"/>
              </w:rPr>
              <w:t>(i)</w:t>
            </w:r>
            <w:r w:rsidRPr="00E26C8E">
              <w:rPr>
                <w:rFonts w:eastAsia="Times New Roman"/>
                <w:color w:val="000000"/>
                <w:sz w:val="20"/>
                <w:szCs w:val="20"/>
                <w:lang w:eastAsia="en-AU"/>
              </w:rPr>
              <w:tab/>
              <w:t xml:space="preserve">if the program provides for the use of declared equipment in a specially protected area or an area adjacent to a specially </w:t>
            </w:r>
            <w:r w:rsidRPr="00E26C8E">
              <w:rPr>
                <w:rFonts w:eastAsia="Times New Roman"/>
                <w:color w:val="000000"/>
                <w:sz w:val="20"/>
                <w:szCs w:val="20"/>
                <w:lang w:eastAsia="en-AU"/>
              </w:rPr>
              <w:br/>
              <w:t>protected area</w:t>
            </w:r>
          </w:p>
        </w:tc>
        <w:tc>
          <w:tcPr>
            <w:tcW w:w="1635"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$500.00 </w:t>
            </w:r>
          </w:p>
        </w:tc>
      </w:tr>
      <w:tr w:rsidR="00E26C8E" w:rsidRPr="00E26C8E" w:rsidTr="00046B75">
        <w:trPr>
          <w:cantSplit/>
          <w:jc w:val="center"/>
        </w:trPr>
        <w:tc>
          <w:tcPr>
            <w:tcW w:w="600"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525"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ind w:left="1026" w:hanging="492"/>
              <w:jc w:val="left"/>
              <w:textAlignment w:val="baseline"/>
              <w:rPr>
                <w:rFonts w:eastAsia="Times New Roman"/>
                <w:color w:val="000000"/>
                <w:sz w:val="20"/>
                <w:szCs w:val="20"/>
                <w:lang w:eastAsia="en-AU"/>
              </w:rPr>
            </w:pPr>
            <w:r w:rsidRPr="00E26C8E">
              <w:rPr>
                <w:rFonts w:eastAsia="Times New Roman"/>
                <w:color w:val="000000"/>
                <w:sz w:val="20"/>
                <w:szCs w:val="20"/>
                <w:lang w:eastAsia="en-AU"/>
              </w:rPr>
              <w:t>(ii)</w:t>
            </w:r>
            <w:r w:rsidRPr="00E26C8E">
              <w:rPr>
                <w:rFonts w:eastAsia="Times New Roman"/>
                <w:color w:val="000000"/>
                <w:sz w:val="20"/>
                <w:szCs w:val="20"/>
                <w:lang w:eastAsia="en-AU"/>
              </w:rPr>
              <w:tab/>
              <w:t>if the program provides for mining operations to occur in a conservation reserve, a regional reserve, a prescribed lake, a prescribed watercourse, a prescribed well, a State Heritage Area, a State Heritage Place or a declared RAMSAR wetland or on land subject to a heritage agreement</w:t>
            </w:r>
          </w:p>
        </w:tc>
        <w:tc>
          <w:tcPr>
            <w:tcW w:w="1635"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$500.00 </w:t>
            </w:r>
          </w:p>
        </w:tc>
      </w:tr>
      <w:tr w:rsidR="00E26C8E" w:rsidRPr="00E26C8E" w:rsidTr="00046B75">
        <w:trPr>
          <w:cantSplit/>
          <w:jc w:val="center"/>
        </w:trPr>
        <w:tc>
          <w:tcPr>
            <w:tcW w:w="600"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525"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ind w:left="1026" w:hanging="492"/>
              <w:jc w:val="left"/>
              <w:textAlignment w:val="baseline"/>
              <w:rPr>
                <w:rFonts w:eastAsia="Times New Roman"/>
                <w:sz w:val="20"/>
                <w:szCs w:val="20"/>
                <w:lang w:eastAsia="en-AU"/>
              </w:rPr>
            </w:pPr>
            <w:r w:rsidRPr="00E26C8E">
              <w:rPr>
                <w:rFonts w:eastAsia="Times New Roman"/>
                <w:color w:val="000000"/>
                <w:sz w:val="20"/>
                <w:szCs w:val="20"/>
                <w:lang w:eastAsia="en-AU"/>
              </w:rPr>
              <w:t>(iii)</w:t>
            </w:r>
            <w:r w:rsidRPr="00E26C8E">
              <w:rPr>
                <w:rFonts w:eastAsia="Times New Roman"/>
                <w:color w:val="000000"/>
                <w:sz w:val="20"/>
                <w:szCs w:val="20"/>
                <w:lang w:eastAsia="en-AU"/>
              </w:rPr>
              <w:tab/>
              <w:t xml:space="preserve">if the program provides for mining operations to occur in a national park, a conservation park or a recreation park </w:t>
            </w:r>
          </w:p>
        </w:tc>
        <w:tc>
          <w:tcPr>
            <w:tcW w:w="1635"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$1 500.00 </w:t>
            </w:r>
          </w:p>
        </w:tc>
      </w:tr>
      <w:tr w:rsidR="00E26C8E" w:rsidRPr="00E26C8E" w:rsidTr="00046B75">
        <w:trPr>
          <w:cantSplit/>
          <w:jc w:val="center"/>
        </w:trPr>
        <w:tc>
          <w:tcPr>
            <w:tcW w:w="600"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525"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ind w:left="534" w:hanging="534"/>
              <w:jc w:val="left"/>
              <w:textAlignment w:val="baseline"/>
              <w:rPr>
                <w:rFonts w:eastAsia="Times New Roman"/>
                <w:sz w:val="20"/>
                <w:szCs w:val="20"/>
                <w:lang w:eastAsia="en-AU"/>
              </w:rPr>
            </w:pPr>
            <w:r w:rsidRPr="00E26C8E">
              <w:rPr>
                <w:rFonts w:eastAsia="Times New Roman"/>
                <w:color w:val="000000"/>
                <w:sz w:val="20"/>
                <w:szCs w:val="20"/>
                <w:lang w:eastAsia="en-AU"/>
              </w:rPr>
              <w:t>(b)</w:t>
            </w:r>
            <w:r w:rsidRPr="00E26C8E">
              <w:rPr>
                <w:rFonts w:eastAsia="Times New Roman"/>
                <w:color w:val="000000"/>
                <w:sz w:val="20"/>
                <w:szCs w:val="20"/>
                <w:lang w:eastAsia="en-AU"/>
              </w:rPr>
              <w:tab/>
              <w:t>in respect of a mining lease that authorises mining operations for the recovery of extractive minerals or industrial minerals—</w:t>
            </w:r>
          </w:p>
        </w:tc>
        <w:tc>
          <w:tcPr>
            <w:tcW w:w="1635"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 </w:t>
            </w:r>
          </w:p>
        </w:tc>
      </w:tr>
      <w:tr w:rsidR="00E26C8E" w:rsidRPr="00E26C8E" w:rsidTr="00046B75">
        <w:trPr>
          <w:cantSplit/>
          <w:jc w:val="center"/>
        </w:trPr>
        <w:tc>
          <w:tcPr>
            <w:tcW w:w="600"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525"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ind w:left="1026" w:hanging="492"/>
              <w:jc w:val="left"/>
              <w:textAlignment w:val="baseline"/>
              <w:rPr>
                <w:rFonts w:eastAsia="Times New Roman"/>
                <w:sz w:val="20"/>
                <w:szCs w:val="20"/>
                <w:lang w:eastAsia="en-AU"/>
              </w:rPr>
            </w:pPr>
            <w:r w:rsidRPr="00E26C8E">
              <w:rPr>
                <w:rFonts w:eastAsia="Times New Roman"/>
                <w:color w:val="000000"/>
                <w:sz w:val="20"/>
                <w:szCs w:val="20"/>
                <w:lang w:eastAsia="en-AU"/>
              </w:rPr>
              <w:t>(i)</w:t>
            </w:r>
            <w:r w:rsidRPr="00E26C8E">
              <w:rPr>
                <w:rFonts w:eastAsia="Times New Roman"/>
                <w:color w:val="000000"/>
                <w:sz w:val="20"/>
                <w:szCs w:val="20"/>
                <w:lang w:eastAsia="en-AU"/>
              </w:rPr>
              <w:tab/>
              <w:t>in the case of a tier 1 program</w:t>
            </w:r>
          </w:p>
        </w:tc>
        <w:tc>
          <w:tcPr>
            <w:tcW w:w="1635"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$250.00 </w:t>
            </w:r>
          </w:p>
        </w:tc>
      </w:tr>
      <w:tr w:rsidR="00E26C8E" w:rsidRPr="00E26C8E" w:rsidTr="00046B75">
        <w:trPr>
          <w:cantSplit/>
          <w:jc w:val="center"/>
        </w:trPr>
        <w:tc>
          <w:tcPr>
            <w:tcW w:w="600"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525"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ind w:left="1026" w:hanging="492"/>
              <w:jc w:val="left"/>
              <w:textAlignment w:val="baseline"/>
              <w:rPr>
                <w:rFonts w:eastAsia="Times New Roman"/>
                <w:sz w:val="20"/>
                <w:szCs w:val="20"/>
                <w:lang w:eastAsia="en-AU"/>
              </w:rPr>
            </w:pPr>
            <w:r w:rsidRPr="00E26C8E">
              <w:rPr>
                <w:rFonts w:eastAsia="Times New Roman"/>
                <w:color w:val="000000"/>
                <w:sz w:val="20"/>
                <w:szCs w:val="20"/>
                <w:lang w:eastAsia="en-AU"/>
              </w:rPr>
              <w:t>(ii)</w:t>
            </w:r>
            <w:r w:rsidRPr="00E26C8E">
              <w:rPr>
                <w:rFonts w:eastAsia="Times New Roman"/>
                <w:color w:val="000000"/>
                <w:sz w:val="20"/>
                <w:szCs w:val="20"/>
                <w:lang w:eastAsia="en-AU"/>
              </w:rPr>
              <w:tab/>
              <w:t>in the case of a tier 2 program</w:t>
            </w:r>
          </w:p>
        </w:tc>
        <w:tc>
          <w:tcPr>
            <w:tcW w:w="1635"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$1 000.00 </w:t>
            </w:r>
          </w:p>
        </w:tc>
      </w:tr>
      <w:tr w:rsidR="00E26C8E" w:rsidRPr="00E26C8E" w:rsidTr="00046B75">
        <w:trPr>
          <w:cantSplit/>
          <w:jc w:val="center"/>
        </w:trPr>
        <w:tc>
          <w:tcPr>
            <w:tcW w:w="600"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525"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ind w:left="1026" w:hanging="492"/>
              <w:jc w:val="left"/>
              <w:textAlignment w:val="baseline"/>
              <w:rPr>
                <w:rFonts w:eastAsia="Times New Roman"/>
                <w:sz w:val="20"/>
                <w:szCs w:val="20"/>
                <w:lang w:eastAsia="en-AU"/>
              </w:rPr>
            </w:pPr>
            <w:r w:rsidRPr="00E26C8E">
              <w:rPr>
                <w:rFonts w:eastAsia="Times New Roman"/>
                <w:color w:val="000000"/>
                <w:sz w:val="20"/>
                <w:szCs w:val="20"/>
                <w:lang w:eastAsia="en-AU"/>
              </w:rPr>
              <w:t>(iii)</w:t>
            </w:r>
            <w:r w:rsidRPr="00E26C8E">
              <w:rPr>
                <w:rFonts w:eastAsia="Times New Roman"/>
                <w:color w:val="000000"/>
                <w:sz w:val="20"/>
                <w:szCs w:val="20"/>
                <w:lang w:eastAsia="en-AU"/>
              </w:rPr>
              <w:tab/>
              <w:t>in the case of a tier 3 program</w:t>
            </w:r>
          </w:p>
        </w:tc>
        <w:tc>
          <w:tcPr>
            <w:tcW w:w="1635"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$5 000.00 </w:t>
            </w:r>
          </w:p>
        </w:tc>
      </w:tr>
      <w:tr w:rsidR="00E26C8E" w:rsidRPr="00E26C8E" w:rsidTr="00046B75">
        <w:trPr>
          <w:cantSplit/>
          <w:jc w:val="center"/>
        </w:trPr>
        <w:tc>
          <w:tcPr>
            <w:tcW w:w="600"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525"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ind w:left="534" w:hanging="534"/>
              <w:jc w:val="left"/>
              <w:textAlignment w:val="baseline"/>
              <w:rPr>
                <w:rFonts w:eastAsia="Times New Roman"/>
                <w:sz w:val="20"/>
                <w:szCs w:val="20"/>
                <w:lang w:eastAsia="en-AU"/>
              </w:rPr>
            </w:pPr>
            <w:r w:rsidRPr="00E26C8E">
              <w:rPr>
                <w:rFonts w:eastAsia="Times New Roman"/>
                <w:color w:val="000000"/>
                <w:sz w:val="20"/>
                <w:szCs w:val="20"/>
                <w:lang w:eastAsia="en-AU"/>
              </w:rPr>
              <w:t>(c)</w:t>
            </w:r>
            <w:r w:rsidRPr="00E26C8E">
              <w:rPr>
                <w:rFonts w:eastAsia="Times New Roman"/>
                <w:color w:val="000000"/>
                <w:sz w:val="20"/>
                <w:szCs w:val="20"/>
                <w:lang w:eastAsia="en-AU"/>
              </w:rPr>
              <w:tab/>
              <w:t>in respect of a retention lease</w:t>
            </w:r>
          </w:p>
        </w:tc>
        <w:tc>
          <w:tcPr>
            <w:tcW w:w="1635"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$2 500.00 </w:t>
            </w:r>
          </w:p>
        </w:tc>
      </w:tr>
      <w:tr w:rsidR="00E26C8E" w:rsidRPr="00E26C8E" w:rsidTr="00046B75">
        <w:trPr>
          <w:cantSplit/>
          <w:jc w:val="center"/>
        </w:trPr>
        <w:tc>
          <w:tcPr>
            <w:tcW w:w="600"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525"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ind w:left="534" w:hanging="534"/>
              <w:jc w:val="left"/>
              <w:textAlignment w:val="baseline"/>
              <w:rPr>
                <w:rFonts w:eastAsia="Times New Roman"/>
                <w:sz w:val="20"/>
                <w:szCs w:val="20"/>
                <w:lang w:eastAsia="en-AU"/>
              </w:rPr>
            </w:pPr>
            <w:r w:rsidRPr="00E26C8E">
              <w:rPr>
                <w:rFonts w:eastAsia="Times New Roman"/>
                <w:color w:val="000000"/>
                <w:sz w:val="20"/>
                <w:szCs w:val="20"/>
                <w:lang w:eastAsia="en-AU"/>
              </w:rPr>
              <w:t>(d)</w:t>
            </w:r>
            <w:r w:rsidRPr="00E26C8E">
              <w:rPr>
                <w:rFonts w:eastAsia="Times New Roman"/>
                <w:color w:val="000000"/>
                <w:sz w:val="20"/>
                <w:szCs w:val="20"/>
                <w:lang w:eastAsia="en-AU"/>
              </w:rPr>
              <w:tab/>
              <w:t xml:space="preserve">in respect of a mining lease that authorises mining operations for the recovery of minerals (other than extractive minerals or </w:t>
            </w:r>
            <w:r w:rsidRPr="00E26C8E">
              <w:rPr>
                <w:rFonts w:eastAsia="Times New Roman"/>
                <w:color w:val="000000"/>
                <w:sz w:val="20"/>
                <w:szCs w:val="20"/>
                <w:lang w:eastAsia="en-AU"/>
              </w:rPr>
              <w:br/>
              <w:t>industrial minerals)—</w:t>
            </w:r>
          </w:p>
        </w:tc>
        <w:tc>
          <w:tcPr>
            <w:tcW w:w="1635"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 </w:t>
            </w:r>
          </w:p>
        </w:tc>
      </w:tr>
      <w:tr w:rsidR="00E26C8E" w:rsidRPr="00E26C8E" w:rsidTr="00046B75">
        <w:trPr>
          <w:cantSplit/>
          <w:jc w:val="center"/>
        </w:trPr>
        <w:tc>
          <w:tcPr>
            <w:tcW w:w="600"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525"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ind w:left="1026" w:hanging="492"/>
              <w:jc w:val="left"/>
              <w:textAlignment w:val="baseline"/>
              <w:rPr>
                <w:rFonts w:eastAsia="Times New Roman"/>
                <w:sz w:val="20"/>
                <w:szCs w:val="20"/>
                <w:lang w:eastAsia="en-AU"/>
              </w:rPr>
            </w:pPr>
            <w:r w:rsidRPr="00E26C8E">
              <w:rPr>
                <w:rFonts w:eastAsia="Times New Roman"/>
                <w:color w:val="000000"/>
                <w:sz w:val="20"/>
                <w:szCs w:val="20"/>
                <w:lang w:eastAsia="en-AU"/>
              </w:rPr>
              <w:t>(i)</w:t>
            </w:r>
            <w:r w:rsidRPr="00E26C8E">
              <w:rPr>
                <w:rFonts w:eastAsia="Times New Roman"/>
                <w:color w:val="000000"/>
                <w:sz w:val="20"/>
                <w:szCs w:val="20"/>
                <w:lang w:eastAsia="en-AU"/>
              </w:rPr>
              <w:tab/>
              <w:t>in the case of a tier 1 program</w:t>
            </w:r>
          </w:p>
        </w:tc>
        <w:tc>
          <w:tcPr>
            <w:tcW w:w="1635"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$500.00 </w:t>
            </w:r>
          </w:p>
        </w:tc>
      </w:tr>
      <w:tr w:rsidR="00E26C8E" w:rsidRPr="00E26C8E" w:rsidTr="00046B75">
        <w:trPr>
          <w:cantSplit/>
          <w:jc w:val="center"/>
        </w:trPr>
        <w:tc>
          <w:tcPr>
            <w:tcW w:w="600"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525"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ind w:left="1026" w:hanging="492"/>
              <w:jc w:val="left"/>
              <w:textAlignment w:val="baseline"/>
              <w:rPr>
                <w:rFonts w:eastAsia="Times New Roman"/>
                <w:sz w:val="20"/>
                <w:szCs w:val="20"/>
                <w:lang w:eastAsia="en-AU"/>
              </w:rPr>
            </w:pPr>
            <w:r w:rsidRPr="00E26C8E">
              <w:rPr>
                <w:rFonts w:eastAsia="Times New Roman"/>
                <w:color w:val="000000"/>
                <w:sz w:val="20"/>
                <w:szCs w:val="20"/>
                <w:lang w:eastAsia="en-AU"/>
              </w:rPr>
              <w:t>(ii)</w:t>
            </w:r>
            <w:r w:rsidRPr="00E26C8E">
              <w:rPr>
                <w:rFonts w:eastAsia="Times New Roman"/>
                <w:color w:val="000000"/>
                <w:sz w:val="20"/>
                <w:szCs w:val="20"/>
                <w:lang w:eastAsia="en-AU"/>
              </w:rPr>
              <w:tab/>
              <w:t>in the case of a tier 2 program</w:t>
            </w:r>
          </w:p>
        </w:tc>
        <w:tc>
          <w:tcPr>
            <w:tcW w:w="1635"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$1 500.00 </w:t>
            </w:r>
          </w:p>
        </w:tc>
      </w:tr>
      <w:tr w:rsidR="00E26C8E" w:rsidRPr="00E26C8E" w:rsidTr="00046B75">
        <w:trPr>
          <w:cantSplit/>
          <w:jc w:val="center"/>
        </w:trPr>
        <w:tc>
          <w:tcPr>
            <w:tcW w:w="600"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525"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ind w:left="1026" w:hanging="492"/>
              <w:jc w:val="left"/>
              <w:textAlignment w:val="baseline"/>
              <w:rPr>
                <w:rFonts w:eastAsia="Times New Roman"/>
                <w:sz w:val="20"/>
                <w:szCs w:val="20"/>
                <w:lang w:eastAsia="en-AU"/>
              </w:rPr>
            </w:pPr>
            <w:r w:rsidRPr="00E26C8E">
              <w:rPr>
                <w:rFonts w:eastAsia="Times New Roman"/>
                <w:color w:val="000000"/>
                <w:sz w:val="20"/>
                <w:szCs w:val="20"/>
                <w:lang w:eastAsia="en-AU"/>
              </w:rPr>
              <w:t>(iii)</w:t>
            </w:r>
            <w:r w:rsidRPr="00E26C8E">
              <w:rPr>
                <w:rFonts w:eastAsia="Times New Roman"/>
                <w:color w:val="000000"/>
                <w:sz w:val="20"/>
                <w:szCs w:val="20"/>
                <w:lang w:eastAsia="en-AU"/>
              </w:rPr>
              <w:tab/>
              <w:t>in the case of a tier 3 program</w:t>
            </w:r>
          </w:p>
        </w:tc>
        <w:tc>
          <w:tcPr>
            <w:tcW w:w="1635"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$10 000.00 </w:t>
            </w:r>
          </w:p>
        </w:tc>
      </w:tr>
      <w:tr w:rsidR="00E26C8E" w:rsidRPr="00E26C8E" w:rsidTr="00046B75">
        <w:trPr>
          <w:cantSplit/>
          <w:jc w:val="center"/>
        </w:trPr>
        <w:tc>
          <w:tcPr>
            <w:tcW w:w="600"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525"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ind w:left="1026" w:hanging="492"/>
              <w:jc w:val="left"/>
              <w:textAlignment w:val="baseline"/>
              <w:rPr>
                <w:rFonts w:eastAsia="Times New Roman"/>
                <w:sz w:val="20"/>
                <w:szCs w:val="20"/>
                <w:lang w:eastAsia="en-AU"/>
              </w:rPr>
            </w:pPr>
            <w:r w:rsidRPr="00E26C8E">
              <w:rPr>
                <w:rFonts w:eastAsia="Times New Roman"/>
                <w:color w:val="000000"/>
                <w:sz w:val="20"/>
                <w:szCs w:val="20"/>
                <w:lang w:eastAsia="en-AU"/>
              </w:rPr>
              <w:t>(iv)</w:t>
            </w:r>
            <w:r w:rsidRPr="00E26C8E">
              <w:rPr>
                <w:rFonts w:eastAsia="Times New Roman"/>
                <w:color w:val="000000"/>
                <w:sz w:val="20"/>
                <w:szCs w:val="20"/>
                <w:lang w:eastAsia="en-AU"/>
              </w:rPr>
              <w:tab/>
              <w:t>in the case of a tier 4 program</w:t>
            </w:r>
          </w:p>
        </w:tc>
        <w:tc>
          <w:tcPr>
            <w:tcW w:w="1635"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$25 000.00 </w:t>
            </w:r>
          </w:p>
        </w:tc>
      </w:tr>
      <w:tr w:rsidR="00E26C8E" w:rsidRPr="00E26C8E" w:rsidTr="00046B75">
        <w:trPr>
          <w:cantSplit/>
          <w:jc w:val="center"/>
        </w:trPr>
        <w:tc>
          <w:tcPr>
            <w:tcW w:w="600"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525" w:type="dxa"/>
            <w:tcBorders>
              <w:top w:val="nil"/>
              <w:left w:val="nil"/>
              <w:bottom w:val="nil"/>
              <w:right w:val="nil"/>
            </w:tcBorders>
            <w:shd w:val="clear" w:color="auto" w:fill="auto"/>
            <w:hideMark/>
          </w:tcPr>
          <w:p w:rsidR="00E26C8E" w:rsidRPr="00E26C8E" w:rsidRDefault="00E26C8E" w:rsidP="00E26C8E">
            <w:pPr>
              <w:spacing w:after="120" w:line="240" w:lineRule="auto"/>
              <w:ind w:left="534" w:hanging="534"/>
              <w:jc w:val="left"/>
              <w:textAlignment w:val="baseline"/>
              <w:rPr>
                <w:rFonts w:eastAsia="Times New Roman"/>
                <w:sz w:val="20"/>
                <w:szCs w:val="20"/>
                <w:lang w:eastAsia="en-AU"/>
              </w:rPr>
            </w:pPr>
            <w:r w:rsidRPr="00E26C8E">
              <w:rPr>
                <w:rFonts w:eastAsia="Times New Roman"/>
                <w:color w:val="000000"/>
                <w:sz w:val="20"/>
                <w:szCs w:val="20"/>
                <w:lang w:eastAsia="en-AU"/>
              </w:rPr>
              <w:t>(e)</w:t>
            </w:r>
            <w:r w:rsidRPr="00E26C8E">
              <w:rPr>
                <w:rFonts w:eastAsia="Times New Roman"/>
                <w:color w:val="000000"/>
                <w:sz w:val="20"/>
                <w:szCs w:val="20"/>
                <w:lang w:eastAsia="en-AU"/>
              </w:rPr>
              <w:tab/>
              <w:t>in respect of a miscellaneous purposes licence</w:t>
            </w:r>
          </w:p>
        </w:tc>
        <w:tc>
          <w:tcPr>
            <w:tcW w:w="1635" w:type="dxa"/>
            <w:tcBorders>
              <w:top w:val="nil"/>
              <w:left w:val="nil"/>
              <w:bottom w:val="nil"/>
              <w:right w:val="nil"/>
            </w:tcBorders>
            <w:shd w:val="clear" w:color="auto" w:fill="auto"/>
            <w:vAlign w:val="center"/>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An amount equal to the fee payable under this regulation in connection with the submission of a revised program in respect of the primary mining tenement to which the licence is ancillary </w:t>
            </w:r>
          </w:p>
        </w:tc>
      </w:tr>
      <w:tr w:rsidR="00E26C8E" w:rsidRPr="00E26C8E" w:rsidTr="00046B75">
        <w:trPr>
          <w:cantSplit/>
          <w:jc w:val="center"/>
        </w:trPr>
        <w:tc>
          <w:tcPr>
            <w:tcW w:w="600"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p>
        </w:tc>
        <w:tc>
          <w:tcPr>
            <w:tcW w:w="6525" w:type="dxa"/>
            <w:tcBorders>
              <w:top w:val="nil"/>
              <w:left w:val="nil"/>
              <w:bottom w:val="nil"/>
              <w:right w:val="nil"/>
            </w:tcBorders>
            <w:shd w:val="clear" w:color="auto" w:fill="auto"/>
            <w:hideMark/>
          </w:tcPr>
          <w:p w:rsidR="00E26C8E" w:rsidRPr="00E26C8E" w:rsidRDefault="00E26C8E" w:rsidP="00E26C8E">
            <w:pPr>
              <w:spacing w:after="120" w:line="240" w:lineRule="auto"/>
              <w:ind w:left="534" w:hanging="534"/>
              <w:jc w:val="left"/>
              <w:textAlignment w:val="baseline"/>
              <w:rPr>
                <w:rFonts w:eastAsia="Times New Roman"/>
                <w:color w:val="000000"/>
                <w:sz w:val="20"/>
                <w:szCs w:val="20"/>
                <w:lang w:eastAsia="en-AU"/>
              </w:rPr>
            </w:pPr>
            <w:r w:rsidRPr="00E26C8E">
              <w:rPr>
                <w:rFonts w:eastAsia="Times New Roman"/>
                <w:color w:val="000000"/>
                <w:sz w:val="20"/>
                <w:szCs w:val="20"/>
                <w:lang w:eastAsia="en-AU"/>
              </w:rPr>
              <w:t>(f)</w:t>
            </w:r>
            <w:r w:rsidRPr="00E26C8E">
              <w:rPr>
                <w:rFonts w:eastAsia="Times New Roman"/>
                <w:color w:val="000000"/>
                <w:sz w:val="20"/>
                <w:szCs w:val="20"/>
                <w:lang w:eastAsia="en-AU"/>
              </w:rPr>
              <w:tab/>
              <w:t xml:space="preserve">lower prescribed fee in relation to submission of revised program in </w:t>
            </w:r>
            <w:r w:rsidRPr="00E26C8E">
              <w:rPr>
                <w:rFonts w:eastAsia="Times New Roman"/>
                <w:color w:val="000000"/>
                <w:sz w:val="20"/>
                <w:szCs w:val="20"/>
                <w:lang w:eastAsia="en-AU"/>
              </w:rPr>
              <w:br/>
              <w:t xml:space="preserve">respect of which the Minister has made a determination under regulation 63(3) or (4) of the </w:t>
            </w:r>
            <w:hyperlink r:id="rId125" w:tgtFrame="_blank" w:history="1">
              <w:r w:rsidRPr="00E26C8E">
                <w:rPr>
                  <w:rFonts w:eastAsia="Times New Roman"/>
                  <w:i/>
                  <w:color w:val="000000"/>
                  <w:sz w:val="20"/>
                  <w:szCs w:val="20"/>
                  <w:lang w:eastAsia="en-AU"/>
                </w:rPr>
                <w:t>Mining Regulations 2020</w:t>
              </w:r>
            </w:hyperlink>
          </w:p>
        </w:tc>
        <w:tc>
          <w:tcPr>
            <w:tcW w:w="1635"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$250.00 </w:t>
            </w:r>
          </w:p>
        </w:tc>
      </w:tr>
      <w:tr w:rsidR="00E26C8E" w:rsidRPr="00E26C8E" w:rsidTr="00046B75">
        <w:trPr>
          <w:cantSplit/>
          <w:jc w:val="center"/>
        </w:trPr>
        <w:tc>
          <w:tcPr>
            <w:tcW w:w="600"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r w:rsidRPr="00E26C8E">
              <w:rPr>
                <w:rFonts w:eastAsia="Times New Roman"/>
                <w:color w:val="000000"/>
                <w:sz w:val="20"/>
                <w:szCs w:val="20"/>
                <w:lang w:eastAsia="en-AU"/>
              </w:rPr>
              <w:t>10</w:t>
            </w:r>
          </w:p>
        </w:tc>
        <w:tc>
          <w:tcPr>
            <w:tcW w:w="6525" w:type="dxa"/>
            <w:tcBorders>
              <w:top w:val="nil"/>
              <w:left w:val="nil"/>
              <w:bottom w:val="nil"/>
              <w:right w:val="nil"/>
            </w:tcBorders>
            <w:shd w:val="clear" w:color="auto" w:fill="auto"/>
            <w:hideMark/>
          </w:tcPr>
          <w:p w:rsidR="00E26C8E" w:rsidRPr="00E26C8E" w:rsidRDefault="00E26C8E" w:rsidP="00E26C8E">
            <w:pPr>
              <w:spacing w:after="120" w:line="240" w:lineRule="auto"/>
              <w:jc w:val="left"/>
              <w:textAlignment w:val="baseline"/>
              <w:rPr>
                <w:rFonts w:eastAsia="Times New Roman"/>
                <w:sz w:val="20"/>
                <w:szCs w:val="20"/>
                <w:lang w:eastAsia="en-AU"/>
              </w:rPr>
            </w:pPr>
            <w:r w:rsidRPr="00E26C8E">
              <w:rPr>
                <w:rFonts w:eastAsia="Times New Roman"/>
                <w:color w:val="000000"/>
                <w:sz w:val="20"/>
                <w:szCs w:val="20"/>
                <w:lang w:eastAsia="en-AU"/>
              </w:rPr>
              <w:t xml:space="preserve">Submission of a program pursuant to Schedule 5 clause 7 of the </w:t>
            </w:r>
            <w:r w:rsidRPr="00E26C8E">
              <w:rPr>
                <w:rFonts w:eastAsia="Times New Roman"/>
                <w:color w:val="000000"/>
                <w:sz w:val="20"/>
                <w:szCs w:val="20"/>
                <w:lang w:eastAsia="en-AU"/>
              </w:rPr>
              <w:br/>
            </w:r>
            <w:hyperlink r:id="rId126" w:tgtFrame="_blank" w:history="1">
              <w:r w:rsidRPr="00E26C8E">
                <w:rPr>
                  <w:rFonts w:eastAsia="Times New Roman"/>
                  <w:i/>
                  <w:iCs/>
                  <w:color w:val="000000"/>
                  <w:sz w:val="20"/>
                  <w:szCs w:val="20"/>
                  <w:lang w:eastAsia="en-AU"/>
                </w:rPr>
                <w:t>Mining Regulations 2020</w:t>
              </w:r>
            </w:hyperlink>
          </w:p>
        </w:tc>
        <w:tc>
          <w:tcPr>
            <w:tcW w:w="1635" w:type="dxa"/>
            <w:tcBorders>
              <w:top w:val="nil"/>
              <w:left w:val="nil"/>
              <w:bottom w:val="nil"/>
              <w:right w:val="nil"/>
            </w:tcBorders>
            <w:shd w:val="clear" w:color="auto" w:fill="auto"/>
            <w:hideMark/>
          </w:tcPr>
          <w:p w:rsidR="00E26C8E" w:rsidRPr="00E26C8E" w:rsidRDefault="00E26C8E" w:rsidP="00E26C8E">
            <w:pPr>
              <w:spacing w:after="120" w:line="240" w:lineRule="auto"/>
              <w:jc w:val="right"/>
              <w:textAlignment w:val="baseline"/>
              <w:rPr>
                <w:rFonts w:eastAsia="Times New Roman"/>
                <w:sz w:val="20"/>
                <w:szCs w:val="20"/>
                <w:lang w:eastAsia="en-AU"/>
              </w:rPr>
            </w:pPr>
            <w:r w:rsidRPr="00E26C8E">
              <w:rPr>
                <w:rFonts w:eastAsia="Times New Roman"/>
                <w:color w:val="000000"/>
                <w:sz w:val="20"/>
                <w:szCs w:val="20"/>
                <w:lang w:eastAsia="en-AU"/>
              </w:rPr>
              <w:t xml:space="preserve">$2 500.00 </w:t>
            </w:r>
          </w:p>
        </w:tc>
      </w:tr>
    </w:tbl>
    <w:p w:rsidR="00E26C8E" w:rsidRPr="00E26C8E" w:rsidRDefault="00E26C8E" w:rsidP="00E26C8E">
      <w:pPr>
        <w:spacing w:before="240" w:after="0" w:line="240" w:lineRule="auto"/>
        <w:jc w:val="left"/>
        <w:textAlignment w:val="baseline"/>
        <w:rPr>
          <w:rFonts w:eastAsia="Times New Roman"/>
          <w:color w:val="000000"/>
          <w:sz w:val="20"/>
          <w:szCs w:val="20"/>
          <w:lang w:eastAsia="en-AU"/>
        </w:rPr>
      </w:pPr>
      <w:r w:rsidRPr="00E26C8E">
        <w:rPr>
          <w:rFonts w:eastAsia="Times New Roman"/>
          <w:color w:val="000000"/>
          <w:sz w:val="20"/>
          <w:szCs w:val="20"/>
          <w:lang w:eastAsia="en-AU"/>
        </w:rPr>
        <w:t>Dated: 11 December 2020</w:t>
      </w:r>
    </w:p>
    <w:p w:rsidR="00E26C8E" w:rsidRPr="00E26C8E" w:rsidRDefault="00E26C8E" w:rsidP="00E26C8E">
      <w:pPr>
        <w:spacing w:before="240" w:after="0" w:line="240" w:lineRule="auto"/>
        <w:jc w:val="left"/>
        <w:textAlignment w:val="baseline"/>
        <w:rPr>
          <w:rFonts w:eastAsia="Times New Roman"/>
          <w:sz w:val="18"/>
          <w:szCs w:val="18"/>
          <w:lang w:eastAsia="en-AU"/>
        </w:rPr>
      </w:pPr>
      <w:r w:rsidRPr="00E26C8E">
        <w:rPr>
          <w:rFonts w:eastAsia="Times New Roman"/>
          <w:color w:val="000000"/>
          <w:sz w:val="20"/>
          <w:szCs w:val="20"/>
          <w:lang w:eastAsia="en-AU"/>
        </w:rPr>
        <w:t>Hon. Daniel van Holst Pellekaan</w:t>
      </w:r>
    </w:p>
    <w:p w:rsidR="00E26C8E" w:rsidRPr="00E26C8E" w:rsidRDefault="00E26C8E" w:rsidP="00E26C8E">
      <w:pPr>
        <w:spacing w:line="240" w:lineRule="auto"/>
        <w:jc w:val="left"/>
        <w:textAlignment w:val="baseline"/>
        <w:rPr>
          <w:rFonts w:eastAsia="Times New Roman"/>
          <w:color w:val="000000"/>
          <w:sz w:val="20"/>
          <w:szCs w:val="20"/>
          <w:lang w:eastAsia="en-AU"/>
        </w:rPr>
      </w:pPr>
      <w:r w:rsidRPr="00E26C8E">
        <w:rPr>
          <w:rFonts w:eastAsia="Times New Roman"/>
          <w:b/>
          <w:bCs/>
          <w:color w:val="000000"/>
          <w:sz w:val="20"/>
          <w:szCs w:val="20"/>
          <w:lang w:eastAsia="en-AU"/>
        </w:rPr>
        <w:t>Minister for Energy and Mining</w:t>
      </w:r>
    </w:p>
    <w:p w:rsidR="00E26C8E" w:rsidRPr="00E26C8E" w:rsidRDefault="00E26C8E" w:rsidP="00E26C8E">
      <w:pPr>
        <w:pBdr>
          <w:top w:val="single" w:sz="4" w:space="1" w:color="auto"/>
        </w:pBdr>
        <w:spacing w:before="100" w:after="0" w:line="14" w:lineRule="exact"/>
        <w:jc w:val="center"/>
        <w:textAlignment w:val="baseline"/>
        <w:rPr>
          <w:rFonts w:eastAsia="Times New Roman"/>
          <w:b/>
          <w:bCs/>
          <w:i/>
          <w:iCs/>
          <w:sz w:val="20"/>
          <w:szCs w:val="20"/>
          <w:lang w:eastAsia="en-AU"/>
        </w:rPr>
      </w:pPr>
    </w:p>
    <w:p w:rsidR="00E26C8E" w:rsidRPr="00E26C8E" w:rsidRDefault="00E26C8E" w:rsidP="00E26C8E">
      <w:pPr>
        <w:spacing w:after="0"/>
        <w:rPr>
          <w:rFonts w:eastAsia="Times New Roman"/>
          <w:szCs w:val="17"/>
        </w:rPr>
      </w:pPr>
    </w:p>
    <w:p w:rsidR="00E26C8E" w:rsidRPr="00E26C8E" w:rsidRDefault="00E26C8E" w:rsidP="00E26C8E">
      <w:pPr>
        <w:jc w:val="center"/>
        <w:rPr>
          <w:caps/>
          <w:szCs w:val="17"/>
        </w:rPr>
      </w:pPr>
      <w:r w:rsidRPr="00E26C8E">
        <w:rPr>
          <w:caps/>
          <w:szCs w:val="17"/>
        </w:rPr>
        <w:t>Mining Act 1971</w:t>
      </w:r>
    </w:p>
    <w:p w:rsidR="00E26C8E" w:rsidRPr="00E26C8E" w:rsidRDefault="00E26C8E" w:rsidP="00E26C8E">
      <w:pPr>
        <w:jc w:val="center"/>
        <w:rPr>
          <w:smallCaps/>
          <w:szCs w:val="17"/>
        </w:rPr>
      </w:pPr>
      <w:r w:rsidRPr="00E26C8E">
        <w:rPr>
          <w:smallCaps/>
          <w:szCs w:val="17"/>
        </w:rPr>
        <w:t>Section 15AB</w:t>
      </w:r>
    </w:p>
    <w:p w:rsidR="00E26C8E" w:rsidRPr="00E26C8E" w:rsidRDefault="00E26C8E" w:rsidP="005549E6">
      <w:pPr>
        <w:pStyle w:val="GG-Title3"/>
      </w:pPr>
      <w:r w:rsidRPr="00E26C8E">
        <w:t>Terms of Reference for Dealings with Mineral Tenements</w:t>
      </w:r>
    </w:p>
    <w:p w:rsidR="00E26C8E" w:rsidRPr="00E26C8E" w:rsidRDefault="00E26C8E" w:rsidP="00E26C8E">
      <w:pPr>
        <w:rPr>
          <w:rFonts w:eastAsia="Times New Roman"/>
          <w:szCs w:val="17"/>
        </w:rPr>
      </w:pPr>
      <w:r w:rsidRPr="00E26C8E">
        <w:rPr>
          <w:rFonts w:eastAsia="Times New Roman"/>
          <w:szCs w:val="17"/>
        </w:rPr>
        <w:t>A mineral tenement, or an interest in a mineral tenement, must not be transferred, assigned, sublet or be held subject to a trust, whether direct or indirectly, without the consent of the Minister.</w:t>
      </w:r>
    </w:p>
    <w:p w:rsidR="00E26C8E" w:rsidRPr="00E26C8E" w:rsidRDefault="00E26C8E" w:rsidP="00E26C8E">
      <w:pPr>
        <w:rPr>
          <w:rFonts w:eastAsia="Times New Roman"/>
          <w:szCs w:val="17"/>
        </w:rPr>
      </w:pPr>
      <w:r w:rsidRPr="00E26C8E">
        <w:rPr>
          <w:rFonts w:eastAsia="Times New Roman"/>
          <w:szCs w:val="17"/>
        </w:rPr>
        <w:t xml:space="preserve">In accordance with section 15AB of the </w:t>
      </w:r>
      <w:r w:rsidRPr="00E26C8E">
        <w:rPr>
          <w:rFonts w:eastAsia="Times New Roman"/>
          <w:i/>
          <w:szCs w:val="17"/>
        </w:rPr>
        <w:t>Mining Act 1971</w:t>
      </w:r>
      <w:r w:rsidRPr="00E26C8E">
        <w:rPr>
          <w:rFonts w:eastAsia="Times New Roman"/>
          <w:szCs w:val="17"/>
        </w:rPr>
        <w:t>, an application for consent of the Minister must be made in the manner and form determined by the Minister and contain such information as set out in this Terms of Reference.</w:t>
      </w:r>
    </w:p>
    <w:p w:rsidR="00E26C8E" w:rsidRPr="00E26C8E" w:rsidRDefault="00E26C8E" w:rsidP="00E26C8E">
      <w:pPr>
        <w:rPr>
          <w:rFonts w:eastAsia="Times New Roman"/>
          <w:b/>
          <w:szCs w:val="17"/>
        </w:rPr>
      </w:pPr>
      <w:r w:rsidRPr="00E26C8E">
        <w:rPr>
          <w:rFonts w:eastAsia="Times New Roman"/>
          <w:b/>
          <w:szCs w:val="17"/>
        </w:rPr>
        <w:t>FORMAT OF APPLICATION</w:t>
      </w:r>
    </w:p>
    <w:p w:rsidR="00E26C8E" w:rsidRPr="00E26C8E" w:rsidRDefault="00E26C8E" w:rsidP="00E26C8E">
      <w:pPr>
        <w:rPr>
          <w:rFonts w:eastAsia="Times New Roman"/>
          <w:szCs w:val="17"/>
        </w:rPr>
      </w:pPr>
      <w:r w:rsidRPr="00E26C8E">
        <w:rPr>
          <w:rFonts w:eastAsia="Times New Roman"/>
          <w:szCs w:val="17"/>
        </w:rPr>
        <w:t xml:space="preserve">For the purposes of section 15AB(4) of the </w:t>
      </w:r>
      <w:r w:rsidRPr="00E26C8E">
        <w:rPr>
          <w:rFonts w:eastAsia="Times New Roman"/>
          <w:i/>
          <w:szCs w:val="17"/>
        </w:rPr>
        <w:t>Mining Act 1971</w:t>
      </w:r>
      <w:r w:rsidRPr="00E26C8E">
        <w:rPr>
          <w:rFonts w:eastAsia="Times New Roman"/>
          <w:szCs w:val="17"/>
        </w:rPr>
        <w:t xml:space="preserve">, it is determined that an application for the consent to a dealing under section 15AB of the </w:t>
      </w:r>
      <w:r w:rsidRPr="00E26C8E">
        <w:rPr>
          <w:rFonts w:eastAsia="Times New Roman"/>
          <w:i/>
          <w:szCs w:val="17"/>
        </w:rPr>
        <w:t>Mining Act 1971</w:t>
      </w:r>
      <w:r w:rsidRPr="00E26C8E">
        <w:rPr>
          <w:rFonts w:eastAsia="Times New Roman"/>
          <w:szCs w:val="17"/>
        </w:rPr>
        <w:t xml:space="preserve"> in relation to a mineral tenement(s) must, be in the following manner and form:</w:t>
      </w:r>
    </w:p>
    <w:p w:rsidR="00E26C8E" w:rsidRPr="00E26C8E" w:rsidRDefault="00E26C8E" w:rsidP="00E26C8E">
      <w:pPr>
        <w:ind w:left="426" w:hanging="284"/>
        <w:rPr>
          <w:rFonts w:eastAsia="Times New Roman"/>
          <w:szCs w:val="17"/>
        </w:rPr>
      </w:pPr>
      <w:r w:rsidRPr="00E26C8E">
        <w:rPr>
          <w:rFonts w:eastAsia="Times New Roman"/>
          <w:szCs w:val="17"/>
        </w:rPr>
        <w:t>1.</w:t>
      </w:r>
      <w:r w:rsidRPr="00E26C8E">
        <w:rPr>
          <w:rFonts w:eastAsia="Times New Roman"/>
          <w:szCs w:val="17"/>
        </w:rPr>
        <w:tab/>
        <w:t>state the full name(s) (including Australian Business Number (ABN) or Australian Company Number (ACN)), business address(es) and email address(es) of the tenement holder(s) (‘vendor’);</w:t>
      </w:r>
    </w:p>
    <w:p w:rsidR="00E26C8E" w:rsidRPr="00E26C8E" w:rsidRDefault="00E26C8E" w:rsidP="00E26C8E">
      <w:pPr>
        <w:ind w:left="426" w:hanging="284"/>
        <w:rPr>
          <w:rFonts w:eastAsia="Times New Roman"/>
          <w:szCs w:val="17"/>
        </w:rPr>
      </w:pPr>
      <w:r w:rsidRPr="00E26C8E">
        <w:rPr>
          <w:rFonts w:eastAsia="Times New Roman"/>
          <w:szCs w:val="17"/>
        </w:rPr>
        <w:t>2.</w:t>
      </w:r>
      <w:r w:rsidRPr="00E26C8E">
        <w:rPr>
          <w:rFonts w:eastAsia="Times New Roman"/>
          <w:szCs w:val="17"/>
        </w:rPr>
        <w:tab/>
        <w:t>state the full name(s) (including ACN or ABN), business address(es) and email address(es) of the party/parties proposing to acquire the legal or proprietary interest(s) in the mineral tenement(s) (‘purchaser’);</w:t>
      </w:r>
    </w:p>
    <w:p w:rsidR="00E26C8E" w:rsidRPr="00E26C8E" w:rsidRDefault="00E26C8E" w:rsidP="00E26C8E">
      <w:pPr>
        <w:ind w:left="426" w:hanging="284"/>
        <w:rPr>
          <w:rFonts w:eastAsia="Times New Roman"/>
          <w:szCs w:val="17"/>
        </w:rPr>
      </w:pPr>
      <w:r w:rsidRPr="00E26C8E">
        <w:rPr>
          <w:rFonts w:eastAsia="Times New Roman"/>
          <w:szCs w:val="17"/>
        </w:rPr>
        <w:t>3.</w:t>
      </w:r>
      <w:r w:rsidRPr="00E26C8E">
        <w:rPr>
          <w:rFonts w:eastAsia="Times New Roman"/>
          <w:szCs w:val="17"/>
        </w:rPr>
        <w:tab/>
        <w:t xml:space="preserve">declare whether the vendor and purchaser are related within the meaning of section 50 of the </w:t>
      </w:r>
      <w:r w:rsidRPr="00E26C8E">
        <w:rPr>
          <w:rFonts w:eastAsia="Times New Roman"/>
          <w:i/>
          <w:szCs w:val="17"/>
        </w:rPr>
        <w:t>Corporations Act 2001 (Cth)</w:t>
      </w:r>
      <w:r w:rsidRPr="00E26C8E">
        <w:rPr>
          <w:rFonts w:eastAsia="Times New Roman"/>
          <w:szCs w:val="17"/>
        </w:rPr>
        <w:t>;</w:t>
      </w:r>
    </w:p>
    <w:p w:rsidR="00E26C8E" w:rsidRPr="00E26C8E" w:rsidRDefault="00E26C8E" w:rsidP="00E26C8E">
      <w:pPr>
        <w:ind w:left="426" w:hanging="284"/>
        <w:rPr>
          <w:rFonts w:eastAsia="Times New Roman"/>
          <w:szCs w:val="17"/>
        </w:rPr>
      </w:pPr>
      <w:r w:rsidRPr="00E26C8E">
        <w:rPr>
          <w:rFonts w:eastAsia="Times New Roman"/>
          <w:szCs w:val="17"/>
        </w:rPr>
        <w:t>4.</w:t>
      </w:r>
      <w:r w:rsidRPr="00E26C8E">
        <w:rPr>
          <w:rFonts w:eastAsia="Times New Roman"/>
          <w:szCs w:val="17"/>
        </w:rPr>
        <w:tab/>
        <w:t>summarise the legal or proprietary interest(s) in the mineral tenement(s) that the tenement holder(s) propose to transfer, assign, sublet or be held subject to a trust (directly or indirectly) and the percentage of the interest(s);</w:t>
      </w:r>
    </w:p>
    <w:p w:rsidR="00E26C8E" w:rsidRPr="00E26C8E" w:rsidRDefault="00E26C8E" w:rsidP="00E26C8E">
      <w:pPr>
        <w:ind w:left="426" w:hanging="284"/>
        <w:rPr>
          <w:rFonts w:eastAsia="Times New Roman"/>
          <w:szCs w:val="17"/>
        </w:rPr>
      </w:pPr>
      <w:r w:rsidRPr="00E26C8E">
        <w:rPr>
          <w:rFonts w:eastAsia="Times New Roman"/>
          <w:szCs w:val="17"/>
        </w:rPr>
        <w:t>5.</w:t>
      </w:r>
      <w:r w:rsidRPr="00E26C8E">
        <w:rPr>
          <w:rFonts w:eastAsia="Times New Roman"/>
          <w:szCs w:val="17"/>
        </w:rPr>
        <w:tab/>
        <w:t>provide the mineral tenement number(s);</w:t>
      </w:r>
    </w:p>
    <w:p w:rsidR="00E26C8E" w:rsidRPr="00E26C8E" w:rsidRDefault="00E26C8E" w:rsidP="00E26C8E">
      <w:pPr>
        <w:ind w:left="426" w:hanging="284"/>
        <w:rPr>
          <w:rFonts w:eastAsia="Times New Roman"/>
          <w:szCs w:val="17"/>
        </w:rPr>
      </w:pPr>
      <w:r w:rsidRPr="00E26C8E">
        <w:rPr>
          <w:rFonts w:eastAsia="Times New Roman"/>
          <w:szCs w:val="17"/>
        </w:rPr>
        <w:t>6.</w:t>
      </w:r>
      <w:r w:rsidRPr="00E26C8E">
        <w:rPr>
          <w:rFonts w:eastAsia="Times New Roman"/>
          <w:szCs w:val="17"/>
        </w:rPr>
        <w:tab/>
        <w:t>provide a copy of the dealing that seeks to transfer, assign, sublet or be held subject to a trust (directly or indirectly); and</w:t>
      </w:r>
    </w:p>
    <w:p w:rsidR="00E26C8E" w:rsidRPr="00E26C8E" w:rsidRDefault="00E26C8E" w:rsidP="00E26C8E">
      <w:pPr>
        <w:ind w:left="426" w:hanging="284"/>
        <w:rPr>
          <w:rFonts w:eastAsia="Times New Roman"/>
          <w:szCs w:val="17"/>
        </w:rPr>
      </w:pPr>
      <w:r w:rsidRPr="00E26C8E">
        <w:rPr>
          <w:rFonts w:eastAsia="Times New Roman"/>
          <w:szCs w:val="17"/>
        </w:rPr>
        <w:t>7.</w:t>
      </w:r>
      <w:r w:rsidRPr="00E26C8E">
        <w:rPr>
          <w:rFonts w:eastAsia="Times New Roman"/>
          <w:szCs w:val="17"/>
        </w:rPr>
        <w:tab/>
        <w:t>where the dealing proposes that a mineral tenement be held subject to a trust, provide a copy of the trust instrument.</w:t>
      </w:r>
    </w:p>
    <w:p w:rsidR="00E26C8E" w:rsidRPr="00E26C8E" w:rsidRDefault="00E26C8E" w:rsidP="00E26C8E">
      <w:pPr>
        <w:rPr>
          <w:rFonts w:eastAsia="Times New Roman"/>
          <w:b/>
          <w:szCs w:val="17"/>
        </w:rPr>
      </w:pPr>
      <w:r w:rsidRPr="00E26C8E">
        <w:rPr>
          <w:rFonts w:eastAsia="Times New Roman"/>
          <w:b/>
          <w:szCs w:val="17"/>
        </w:rPr>
        <w:t>INFORMATION ACCOMPANY AN APPLICATION</w:t>
      </w:r>
    </w:p>
    <w:p w:rsidR="00E26C8E" w:rsidRPr="00E26C8E" w:rsidRDefault="00E26C8E" w:rsidP="00E26C8E">
      <w:pPr>
        <w:rPr>
          <w:rFonts w:eastAsia="Times New Roman"/>
          <w:szCs w:val="17"/>
        </w:rPr>
      </w:pPr>
      <w:r w:rsidRPr="00E26C8E">
        <w:rPr>
          <w:rFonts w:eastAsia="Times New Roman"/>
          <w:szCs w:val="17"/>
        </w:rPr>
        <w:t>An application for consent to a dealing must be accompanied by any information specified by the Minister. In accordance with section 15AB(5), the Minister specifies that an application must be accompanied by the following:</w:t>
      </w:r>
    </w:p>
    <w:p w:rsidR="00E26C8E" w:rsidRPr="00E26C8E" w:rsidRDefault="00E26C8E" w:rsidP="00E26C8E">
      <w:pPr>
        <w:ind w:left="426" w:hanging="284"/>
        <w:rPr>
          <w:rFonts w:eastAsia="Times New Roman"/>
          <w:szCs w:val="17"/>
        </w:rPr>
      </w:pPr>
      <w:r w:rsidRPr="00E26C8E">
        <w:rPr>
          <w:rFonts w:eastAsia="Times New Roman"/>
          <w:szCs w:val="17"/>
        </w:rPr>
        <w:t>1.</w:t>
      </w:r>
      <w:r w:rsidRPr="00E26C8E">
        <w:rPr>
          <w:rFonts w:eastAsia="Times New Roman"/>
          <w:szCs w:val="17"/>
        </w:rPr>
        <w:tab/>
        <w:t>a statement by the purchaser or a related body corporate outlining any contravention of, or failure to comply with, a provision of a corresponding law or designated Act in connection with authorised operations carried out by them within the preceding period of 5 years that resulted in—</w:t>
      </w:r>
    </w:p>
    <w:p w:rsidR="00E26C8E" w:rsidRPr="00E26C8E" w:rsidRDefault="00E26C8E" w:rsidP="00E26C8E">
      <w:pPr>
        <w:ind w:left="709" w:hanging="283"/>
        <w:rPr>
          <w:rFonts w:eastAsia="Times New Roman"/>
          <w:szCs w:val="17"/>
        </w:rPr>
      </w:pPr>
      <w:r w:rsidRPr="00E26C8E">
        <w:rPr>
          <w:rFonts w:eastAsia="Times New Roman"/>
          <w:szCs w:val="17"/>
        </w:rPr>
        <w:t>a.</w:t>
      </w:r>
      <w:r w:rsidRPr="00E26C8E">
        <w:rPr>
          <w:rFonts w:eastAsia="Times New Roman"/>
          <w:szCs w:val="17"/>
        </w:rPr>
        <w:tab/>
        <w:t>the revocation or suspension of an authority to carry out authorised operations; or</w:t>
      </w:r>
    </w:p>
    <w:p w:rsidR="00E26C8E" w:rsidRPr="00E26C8E" w:rsidRDefault="00E26C8E" w:rsidP="00E26C8E">
      <w:pPr>
        <w:ind w:left="709" w:hanging="283"/>
        <w:rPr>
          <w:rFonts w:eastAsia="Times New Roman"/>
          <w:szCs w:val="17"/>
        </w:rPr>
      </w:pPr>
      <w:r w:rsidRPr="00E26C8E">
        <w:rPr>
          <w:rFonts w:eastAsia="Times New Roman"/>
          <w:szCs w:val="17"/>
        </w:rPr>
        <w:t>b.</w:t>
      </w:r>
      <w:r w:rsidRPr="00E26C8E">
        <w:rPr>
          <w:rFonts w:eastAsia="Times New Roman"/>
          <w:szCs w:val="17"/>
        </w:rPr>
        <w:tab/>
        <w:t>a prosecution for an offence; or</w:t>
      </w:r>
    </w:p>
    <w:p w:rsidR="00E26C8E" w:rsidRPr="00E26C8E" w:rsidRDefault="00E26C8E" w:rsidP="00E26C8E">
      <w:pPr>
        <w:ind w:left="709" w:hanging="283"/>
        <w:rPr>
          <w:rFonts w:eastAsia="Times New Roman"/>
          <w:szCs w:val="17"/>
        </w:rPr>
      </w:pPr>
      <w:r w:rsidRPr="00E26C8E">
        <w:rPr>
          <w:rFonts w:eastAsia="Times New Roman"/>
          <w:szCs w:val="17"/>
        </w:rPr>
        <w:t>c.</w:t>
      </w:r>
      <w:r w:rsidRPr="00E26C8E">
        <w:rPr>
          <w:rFonts w:eastAsia="Times New Roman"/>
          <w:szCs w:val="17"/>
        </w:rPr>
        <w:tab/>
        <w:t>the imposition of a penalty by a court; or</w:t>
      </w:r>
    </w:p>
    <w:p w:rsidR="00E26C8E" w:rsidRPr="00E26C8E" w:rsidRDefault="00E26C8E" w:rsidP="00E26C8E">
      <w:pPr>
        <w:ind w:left="709" w:hanging="283"/>
        <w:rPr>
          <w:rFonts w:eastAsia="Times New Roman"/>
          <w:szCs w:val="17"/>
        </w:rPr>
      </w:pPr>
      <w:r w:rsidRPr="00E26C8E">
        <w:rPr>
          <w:rFonts w:eastAsia="Times New Roman"/>
          <w:szCs w:val="17"/>
        </w:rPr>
        <w:t>d.</w:t>
      </w:r>
      <w:r w:rsidRPr="00E26C8E">
        <w:rPr>
          <w:rFonts w:eastAsia="Times New Roman"/>
          <w:szCs w:val="17"/>
        </w:rPr>
        <w:tab/>
        <w:t>the issuing of a notice, direction or order that required the suspension or discontinuance of any authorised operations or the rectification of any harm to the environment or the rehabilitation of any land, place or other aspect of the environment;</w:t>
      </w:r>
    </w:p>
    <w:p w:rsidR="00E26C8E" w:rsidRPr="00E26C8E" w:rsidRDefault="00E26C8E" w:rsidP="00E26C8E">
      <w:pPr>
        <w:ind w:left="426" w:hanging="284"/>
        <w:rPr>
          <w:rFonts w:eastAsia="Times New Roman"/>
          <w:szCs w:val="17"/>
        </w:rPr>
      </w:pPr>
      <w:r w:rsidRPr="00E26C8E">
        <w:rPr>
          <w:rFonts w:eastAsia="Times New Roman"/>
          <w:szCs w:val="17"/>
        </w:rPr>
        <w:t>2.</w:t>
      </w:r>
      <w:r w:rsidRPr="00E26C8E">
        <w:rPr>
          <w:rFonts w:eastAsia="Times New Roman"/>
          <w:szCs w:val="17"/>
        </w:rPr>
        <w:tab/>
        <w:t>a statement of the technical, operational and financial capabilities and resources available to the purchaser for the purpose of carrying out operations under the relevant mineral tenement;</w:t>
      </w:r>
    </w:p>
    <w:p w:rsidR="00E26C8E" w:rsidRPr="00E26C8E" w:rsidRDefault="00E26C8E" w:rsidP="00E26C8E">
      <w:pPr>
        <w:ind w:left="426" w:hanging="284"/>
        <w:rPr>
          <w:rFonts w:eastAsia="Times New Roman"/>
          <w:szCs w:val="17"/>
        </w:rPr>
      </w:pPr>
      <w:r w:rsidRPr="00E26C8E">
        <w:rPr>
          <w:rFonts w:eastAsia="Times New Roman"/>
          <w:szCs w:val="17"/>
        </w:rPr>
        <w:t>3.</w:t>
      </w:r>
      <w:r w:rsidRPr="00E26C8E">
        <w:rPr>
          <w:rFonts w:eastAsia="Times New Roman"/>
          <w:szCs w:val="17"/>
        </w:rPr>
        <w:tab/>
        <w:t>where an application for consent to a dealing in respect to an interest in an exploration licence must be accompanied by:</w:t>
      </w:r>
    </w:p>
    <w:p w:rsidR="00E26C8E" w:rsidRPr="00E26C8E" w:rsidRDefault="00E26C8E" w:rsidP="00E26C8E">
      <w:pPr>
        <w:ind w:left="709" w:hanging="283"/>
        <w:rPr>
          <w:rFonts w:eastAsia="Times New Roman"/>
          <w:szCs w:val="17"/>
        </w:rPr>
      </w:pPr>
      <w:r w:rsidRPr="00E26C8E">
        <w:rPr>
          <w:rFonts w:eastAsia="Times New Roman"/>
          <w:szCs w:val="17"/>
        </w:rPr>
        <w:t>a.</w:t>
      </w:r>
      <w:r w:rsidRPr="00E26C8E">
        <w:rPr>
          <w:rFonts w:eastAsia="Times New Roman"/>
          <w:szCs w:val="17"/>
        </w:rPr>
        <w:tab/>
        <w:t>a statement nominating the principal mineral or minerals that the purchaser is seeking under the exploration licence and the exploration model that the purchaser intends to employ for the purposes of exploring for that mineral or those minerals;</w:t>
      </w:r>
    </w:p>
    <w:p w:rsidR="00E26C8E" w:rsidRPr="00E26C8E" w:rsidRDefault="00E26C8E" w:rsidP="00E26C8E">
      <w:pPr>
        <w:ind w:left="709" w:hanging="283"/>
        <w:rPr>
          <w:rFonts w:eastAsia="Times New Roman"/>
          <w:szCs w:val="17"/>
        </w:rPr>
      </w:pPr>
      <w:r w:rsidRPr="00E26C8E">
        <w:rPr>
          <w:rFonts w:eastAsia="Times New Roman"/>
          <w:szCs w:val="17"/>
        </w:rPr>
        <w:t>b.</w:t>
      </w:r>
      <w:r w:rsidRPr="00E26C8E">
        <w:rPr>
          <w:rFonts w:eastAsia="Times New Roman"/>
          <w:szCs w:val="17"/>
        </w:rPr>
        <w:tab/>
        <w:t>a statement outlining whether the purchaser or a related body corporate has, within the preceding period of 3 months, held an exploration licence (or an interest in an exploration licence) in relation to any area in respect of which the area of the application relates.</w:t>
      </w:r>
    </w:p>
    <w:p w:rsidR="00E26C8E" w:rsidRPr="00E26C8E" w:rsidRDefault="00E26C8E" w:rsidP="00E26C8E">
      <w:pPr>
        <w:rPr>
          <w:rFonts w:eastAsia="Times New Roman"/>
          <w:szCs w:val="17"/>
        </w:rPr>
      </w:pPr>
      <w:r w:rsidRPr="00E26C8E">
        <w:rPr>
          <w:rFonts w:eastAsia="Times New Roman"/>
          <w:szCs w:val="17"/>
        </w:rPr>
        <w:t>For the purpose of this terms of reference:</w:t>
      </w:r>
    </w:p>
    <w:p w:rsidR="00E26C8E" w:rsidRPr="00E26C8E" w:rsidRDefault="00E26C8E" w:rsidP="00E26C8E">
      <w:pPr>
        <w:ind w:left="426" w:hanging="284"/>
        <w:rPr>
          <w:rFonts w:eastAsia="Times New Roman"/>
          <w:szCs w:val="17"/>
        </w:rPr>
      </w:pPr>
      <w:r w:rsidRPr="00E26C8E">
        <w:rPr>
          <w:rFonts w:eastAsia="Times New Roman"/>
          <w:szCs w:val="17"/>
        </w:rPr>
        <w:t>1.</w:t>
      </w:r>
      <w:r w:rsidRPr="00E26C8E">
        <w:rPr>
          <w:rFonts w:eastAsia="Times New Roman"/>
          <w:szCs w:val="17"/>
        </w:rPr>
        <w:tab/>
        <w:t>corresponding law means an Act of another State or a Territory that contains provisions that substantially correspond with the</w:t>
      </w:r>
      <w:r w:rsidRPr="00E26C8E">
        <w:rPr>
          <w:rFonts w:eastAsia="Times New Roman"/>
          <w:i/>
          <w:szCs w:val="17"/>
        </w:rPr>
        <w:t xml:space="preserve"> Mining Act 1971</w:t>
      </w:r>
      <w:r w:rsidRPr="00E26C8E">
        <w:rPr>
          <w:rFonts w:eastAsia="Times New Roman"/>
          <w:szCs w:val="17"/>
        </w:rPr>
        <w:t>;</w:t>
      </w:r>
    </w:p>
    <w:p w:rsidR="00E26C8E" w:rsidRPr="00E26C8E" w:rsidRDefault="00E26C8E" w:rsidP="00E26C8E">
      <w:pPr>
        <w:ind w:left="426" w:hanging="284"/>
        <w:rPr>
          <w:rFonts w:eastAsia="Times New Roman"/>
          <w:szCs w:val="17"/>
        </w:rPr>
      </w:pPr>
      <w:r w:rsidRPr="00E26C8E">
        <w:rPr>
          <w:rFonts w:eastAsia="Times New Roman"/>
          <w:szCs w:val="17"/>
        </w:rPr>
        <w:t>2.</w:t>
      </w:r>
      <w:r w:rsidRPr="00E26C8E">
        <w:rPr>
          <w:rFonts w:eastAsia="Times New Roman"/>
          <w:szCs w:val="17"/>
        </w:rPr>
        <w:tab/>
        <w:t>designated Act means—</w:t>
      </w:r>
    </w:p>
    <w:p w:rsidR="00E26C8E" w:rsidRPr="00E26C8E" w:rsidRDefault="00E26C8E" w:rsidP="00E26C8E">
      <w:pPr>
        <w:ind w:left="709" w:hanging="283"/>
        <w:rPr>
          <w:rFonts w:eastAsia="Times New Roman"/>
          <w:szCs w:val="17"/>
        </w:rPr>
      </w:pPr>
      <w:r w:rsidRPr="00E26C8E">
        <w:rPr>
          <w:rFonts w:eastAsia="Times New Roman"/>
          <w:szCs w:val="17"/>
        </w:rPr>
        <w:t>a.</w:t>
      </w:r>
      <w:r w:rsidRPr="00E26C8E">
        <w:rPr>
          <w:rFonts w:eastAsia="Times New Roman"/>
          <w:szCs w:val="17"/>
        </w:rPr>
        <w:tab/>
        <w:t xml:space="preserve">the </w:t>
      </w:r>
      <w:r w:rsidRPr="00E26C8E">
        <w:rPr>
          <w:rFonts w:eastAsia="Times New Roman"/>
          <w:i/>
          <w:szCs w:val="17"/>
        </w:rPr>
        <w:t>Aboriginal Heritage Act 1988</w:t>
      </w:r>
      <w:r w:rsidRPr="00E26C8E">
        <w:rPr>
          <w:rFonts w:eastAsia="Times New Roman"/>
          <w:szCs w:val="17"/>
        </w:rPr>
        <w:t>; or</w:t>
      </w:r>
    </w:p>
    <w:p w:rsidR="00E26C8E" w:rsidRPr="00E26C8E" w:rsidRDefault="00E26C8E" w:rsidP="00E26C8E">
      <w:pPr>
        <w:ind w:left="709" w:hanging="283"/>
        <w:rPr>
          <w:rFonts w:eastAsia="Times New Roman"/>
          <w:szCs w:val="17"/>
        </w:rPr>
      </w:pPr>
      <w:r w:rsidRPr="00E26C8E">
        <w:rPr>
          <w:rFonts w:eastAsia="Times New Roman"/>
          <w:szCs w:val="17"/>
        </w:rPr>
        <w:t>b.</w:t>
      </w:r>
      <w:r w:rsidRPr="00E26C8E">
        <w:rPr>
          <w:rFonts w:eastAsia="Times New Roman"/>
          <w:szCs w:val="17"/>
        </w:rPr>
        <w:tab/>
        <w:t xml:space="preserve">the </w:t>
      </w:r>
      <w:r w:rsidRPr="00E26C8E">
        <w:rPr>
          <w:rFonts w:eastAsia="Times New Roman"/>
          <w:i/>
          <w:szCs w:val="17"/>
        </w:rPr>
        <w:t>Aboriginal Lands Trust Act 2013</w:t>
      </w:r>
      <w:r w:rsidRPr="00E26C8E">
        <w:rPr>
          <w:rFonts w:eastAsia="Times New Roman"/>
          <w:szCs w:val="17"/>
        </w:rPr>
        <w:t>; or</w:t>
      </w:r>
    </w:p>
    <w:p w:rsidR="00E26C8E" w:rsidRPr="00E26C8E" w:rsidRDefault="00E26C8E" w:rsidP="00E26C8E">
      <w:pPr>
        <w:ind w:left="709" w:hanging="283"/>
        <w:rPr>
          <w:rFonts w:eastAsia="Times New Roman"/>
          <w:szCs w:val="17"/>
        </w:rPr>
      </w:pPr>
      <w:r w:rsidRPr="00E26C8E">
        <w:rPr>
          <w:rFonts w:eastAsia="Times New Roman"/>
          <w:szCs w:val="17"/>
        </w:rPr>
        <w:t>c.</w:t>
      </w:r>
      <w:r w:rsidRPr="00E26C8E">
        <w:rPr>
          <w:rFonts w:eastAsia="Times New Roman"/>
          <w:szCs w:val="17"/>
        </w:rPr>
        <w:tab/>
        <w:t xml:space="preserve">the </w:t>
      </w:r>
      <w:r w:rsidRPr="00E26C8E">
        <w:rPr>
          <w:rFonts w:eastAsia="Times New Roman"/>
          <w:i/>
          <w:szCs w:val="17"/>
        </w:rPr>
        <w:t>Anangu Pitjantjatjara Yankunytjatjara Land Rights Act 1981</w:t>
      </w:r>
      <w:r w:rsidRPr="00E26C8E">
        <w:rPr>
          <w:rFonts w:eastAsia="Times New Roman"/>
          <w:szCs w:val="17"/>
        </w:rPr>
        <w:t>; or</w:t>
      </w:r>
    </w:p>
    <w:p w:rsidR="00E26C8E" w:rsidRPr="00E26C8E" w:rsidRDefault="00E26C8E" w:rsidP="00E26C8E">
      <w:pPr>
        <w:ind w:left="709" w:hanging="283"/>
        <w:rPr>
          <w:rFonts w:eastAsia="Times New Roman"/>
          <w:szCs w:val="17"/>
        </w:rPr>
      </w:pPr>
      <w:r w:rsidRPr="00E26C8E">
        <w:rPr>
          <w:rFonts w:eastAsia="Times New Roman"/>
          <w:szCs w:val="17"/>
        </w:rPr>
        <w:t>d.</w:t>
      </w:r>
      <w:r w:rsidRPr="00E26C8E">
        <w:rPr>
          <w:rFonts w:eastAsia="Times New Roman"/>
          <w:szCs w:val="17"/>
        </w:rPr>
        <w:tab/>
        <w:t>the Environment Protection Act 1993; or</w:t>
      </w:r>
    </w:p>
    <w:p w:rsidR="00E26C8E" w:rsidRPr="00E26C8E" w:rsidRDefault="00E26C8E" w:rsidP="00E26C8E">
      <w:pPr>
        <w:ind w:left="709" w:hanging="283"/>
        <w:rPr>
          <w:rFonts w:eastAsia="Times New Roman"/>
          <w:szCs w:val="17"/>
        </w:rPr>
      </w:pPr>
      <w:r w:rsidRPr="00E26C8E">
        <w:rPr>
          <w:rFonts w:eastAsia="Times New Roman"/>
          <w:szCs w:val="17"/>
        </w:rPr>
        <w:t>e.</w:t>
      </w:r>
      <w:r w:rsidRPr="00E26C8E">
        <w:rPr>
          <w:rFonts w:eastAsia="Times New Roman"/>
          <w:szCs w:val="17"/>
        </w:rPr>
        <w:tab/>
        <w:t xml:space="preserve">the </w:t>
      </w:r>
      <w:r w:rsidRPr="00E26C8E">
        <w:rPr>
          <w:rFonts w:eastAsia="Times New Roman"/>
          <w:i/>
          <w:szCs w:val="17"/>
        </w:rPr>
        <w:t>Environment Protection and Biodiversity Conservation Act 1999 (Cth)</w:t>
      </w:r>
      <w:r w:rsidRPr="00E26C8E">
        <w:rPr>
          <w:rFonts w:eastAsia="Times New Roman"/>
          <w:szCs w:val="17"/>
        </w:rPr>
        <w:t>; or</w:t>
      </w:r>
    </w:p>
    <w:p w:rsidR="00E26C8E" w:rsidRPr="00E26C8E" w:rsidRDefault="00E26C8E" w:rsidP="00E26C8E">
      <w:pPr>
        <w:ind w:left="709" w:hanging="283"/>
        <w:rPr>
          <w:rFonts w:eastAsia="Times New Roman"/>
          <w:szCs w:val="17"/>
        </w:rPr>
      </w:pPr>
      <w:r w:rsidRPr="00E26C8E">
        <w:rPr>
          <w:rFonts w:eastAsia="Times New Roman"/>
          <w:szCs w:val="17"/>
        </w:rPr>
        <w:t>f.</w:t>
      </w:r>
      <w:r w:rsidRPr="00E26C8E">
        <w:rPr>
          <w:rFonts w:eastAsia="Times New Roman"/>
          <w:szCs w:val="17"/>
        </w:rPr>
        <w:tab/>
        <w:t xml:space="preserve">the </w:t>
      </w:r>
      <w:r w:rsidRPr="00E26C8E">
        <w:rPr>
          <w:rFonts w:eastAsia="Times New Roman"/>
          <w:i/>
          <w:szCs w:val="17"/>
        </w:rPr>
        <w:t>Landscape South Australia Act 2019</w:t>
      </w:r>
      <w:r w:rsidRPr="00E26C8E">
        <w:rPr>
          <w:rFonts w:eastAsia="Times New Roman"/>
          <w:szCs w:val="17"/>
        </w:rPr>
        <w:t>; or</w:t>
      </w:r>
    </w:p>
    <w:p w:rsidR="00E26C8E" w:rsidRPr="00E26C8E" w:rsidRDefault="00E26C8E" w:rsidP="00E26C8E">
      <w:pPr>
        <w:ind w:left="709" w:hanging="283"/>
        <w:rPr>
          <w:rFonts w:eastAsia="Times New Roman"/>
          <w:szCs w:val="17"/>
        </w:rPr>
      </w:pPr>
      <w:r w:rsidRPr="00E26C8E">
        <w:rPr>
          <w:rFonts w:eastAsia="Times New Roman"/>
          <w:szCs w:val="17"/>
        </w:rPr>
        <w:t>g.</w:t>
      </w:r>
      <w:r w:rsidRPr="00E26C8E">
        <w:rPr>
          <w:rFonts w:eastAsia="Times New Roman"/>
          <w:szCs w:val="17"/>
        </w:rPr>
        <w:tab/>
        <w:t xml:space="preserve">the </w:t>
      </w:r>
      <w:r w:rsidRPr="00E26C8E">
        <w:rPr>
          <w:rFonts w:eastAsia="Times New Roman"/>
          <w:i/>
          <w:szCs w:val="17"/>
        </w:rPr>
        <w:t>Maralinga Tjarutja Land Rights Act 1984</w:t>
      </w:r>
      <w:r w:rsidRPr="00E26C8E">
        <w:rPr>
          <w:rFonts w:eastAsia="Times New Roman"/>
          <w:szCs w:val="17"/>
        </w:rPr>
        <w:t>; or</w:t>
      </w:r>
    </w:p>
    <w:p w:rsidR="00E26C8E" w:rsidRPr="00E26C8E" w:rsidRDefault="00E26C8E" w:rsidP="00E26C8E">
      <w:pPr>
        <w:ind w:left="709" w:hanging="283"/>
        <w:rPr>
          <w:rFonts w:eastAsia="Times New Roman"/>
          <w:szCs w:val="17"/>
        </w:rPr>
      </w:pPr>
      <w:r w:rsidRPr="00E26C8E">
        <w:rPr>
          <w:rFonts w:eastAsia="Times New Roman"/>
          <w:szCs w:val="17"/>
        </w:rPr>
        <w:t>h.</w:t>
      </w:r>
      <w:r w:rsidRPr="00E26C8E">
        <w:rPr>
          <w:rFonts w:eastAsia="Times New Roman"/>
          <w:szCs w:val="17"/>
        </w:rPr>
        <w:tab/>
        <w:t xml:space="preserve">the </w:t>
      </w:r>
      <w:r w:rsidRPr="00E26C8E">
        <w:rPr>
          <w:rFonts w:eastAsia="Times New Roman"/>
          <w:i/>
          <w:szCs w:val="17"/>
        </w:rPr>
        <w:t>National Parks and Wildlife Act 1972</w:t>
      </w:r>
      <w:r w:rsidRPr="00E26C8E">
        <w:rPr>
          <w:rFonts w:eastAsia="Times New Roman"/>
          <w:szCs w:val="17"/>
        </w:rPr>
        <w:t>; or</w:t>
      </w:r>
    </w:p>
    <w:p w:rsidR="00E26C8E" w:rsidRPr="00E26C8E" w:rsidRDefault="00E26C8E" w:rsidP="00E26C8E">
      <w:pPr>
        <w:ind w:left="709" w:hanging="283"/>
        <w:rPr>
          <w:rFonts w:eastAsia="Times New Roman"/>
          <w:szCs w:val="17"/>
        </w:rPr>
      </w:pPr>
      <w:r w:rsidRPr="00E26C8E">
        <w:rPr>
          <w:rFonts w:eastAsia="Times New Roman"/>
          <w:szCs w:val="17"/>
        </w:rPr>
        <w:t>i.</w:t>
      </w:r>
      <w:r w:rsidRPr="00E26C8E">
        <w:rPr>
          <w:rFonts w:eastAsia="Times New Roman"/>
          <w:szCs w:val="17"/>
        </w:rPr>
        <w:tab/>
        <w:t xml:space="preserve">the </w:t>
      </w:r>
      <w:r w:rsidRPr="00E26C8E">
        <w:rPr>
          <w:rFonts w:eastAsia="Times New Roman"/>
          <w:i/>
          <w:szCs w:val="17"/>
        </w:rPr>
        <w:t>Native Title Act 1993 (Cth)</w:t>
      </w:r>
      <w:r w:rsidRPr="00E26C8E">
        <w:rPr>
          <w:rFonts w:eastAsia="Times New Roman"/>
          <w:szCs w:val="17"/>
        </w:rPr>
        <w:t>; or</w:t>
      </w:r>
    </w:p>
    <w:p w:rsidR="00E26C8E" w:rsidRPr="00E26C8E" w:rsidRDefault="00E26C8E" w:rsidP="00E26C8E">
      <w:pPr>
        <w:ind w:left="709" w:hanging="283"/>
        <w:rPr>
          <w:rFonts w:eastAsia="Times New Roman"/>
          <w:szCs w:val="17"/>
        </w:rPr>
      </w:pPr>
      <w:r w:rsidRPr="00E26C8E">
        <w:rPr>
          <w:rFonts w:eastAsia="Times New Roman"/>
          <w:szCs w:val="17"/>
        </w:rPr>
        <w:t>j.</w:t>
      </w:r>
      <w:r w:rsidRPr="00E26C8E">
        <w:rPr>
          <w:rFonts w:eastAsia="Times New Roman"/>
          <w:szCs w:val="17"/>
        </w:rPr>
        <w:tab/>
        <w:t xml:space="preserve">the </w:t>
      </w:r>
      <w:r w:rsidRPr="00E26C8E">
        <w:rPr>
          <w:rFonts w:eastAsia="Times New Roman"/>
          <w:i/>
          <w:szCs w:val="17"/>
        </w:rPr>
        <w:t>Native Vegetation Act 1991</w:t>
      </w:r>
      <w:r w:rsidRPr="00E26C8E">
        <w:rPr>
          <w:rFonts w:eastAsia="Times New Roman"/>
          <w:szCs w:val="17"/>
        </w:rPr>
        <w:t>; or</w:t>
      </w:r>
    </w:p>
    <w:p w:rsidR="00E26C8E" w:rsidRPr="00E26C8E" w:rsidRDefault="00E26C8E" w:rsidP="00E26C8E">
      <w:pPr>
        <w:ind w:left="709" w:hanging="283"/>
        <w:rPr>
          <w:rFonts w:eastAsia="Times New Roman"/>
          <w:szCs w:val="17"/>
        </w:rPr>
      </w:pPr>
      <w:r w:rsidRPr="00E26C8E">
        <w:rPr>
          <w:rFonts w:eastAsia="Times New Roman"/>
          <w:szCs w:val="17"/>
        </w:rPr>
        <w:t>k.</w:t>
      </w:r>
      <w:r w:rsidRPr="00E26C8E">
        <w:rPr>
          <w:rFonts w:eastAsia="Times New Roman"/>
          <w:szCs w:val="17"/>
        </w:rPr>
        <w:tab/>
        <w:t xml:space="preserve">the </w:t>
      </w:r>
      <w:r w:rsidRPr="00E26C8E">
        <w:rPr>
          <w:rFonts w:eastAsia="Times New Roman"/>
          <w:i/>
          <w:szCs w:val="17"/>
        </w:rPr>
        <w:t>Offshore Minerals Act 2000</w:t>
      </w:r>
      <w:r w:rsidRPr="00E26C8E">
        <w:rPr>
          <w:rFonts w:eastAsia="Times New Roman"/>
          <w:szCs w:val="17"/>
        </w:rPr>
        <w:t>; or</w:t>
      </w:r>
    </w:p>
    <w:p w:rsidR="00E26C8E" w:rsidRPr="00E26C8E" w:rsidRDefault="00E26C8E" w:rsidP="00E26C8E">
      <w:pPr>
        <w:ind w:left="709" w:hanging="283"/>
        <w:rPr>
          <w:rFonts w:eastAsia="Times New Roman"/>
          <w:szCs w:val="17"/>
        </w:rPr>
      </w:pPr>
      <w:r w:rsidRPr="00E26C8E">
        <w:rPr>
          <w:rFonts w:eastAsia="Times New Roman"/>
          <w:szCs w:val="17"/>
        </w:rPr>
        <w:t>l.</w:t>
      </w:r>
      <w:r w:rsidRPr="00E26C8E">
        <w:rPr>
          <w:rFonts w:eastAsia="Times New Roman"/>
          <w:szCs w:val="17"/>
        </w:rPr>
        <w:tab/>
        <w:t xml:space="preserve">the </w:t>
      </w:r>
      <w:r w:rsidRPr="00E26C8E">
        <w:rPr>
          <w:rFonts w:eastAsia="Times New Roman"/>
          <w:i/>
          <w:szCs w:val="17"/>
        </w:rPr>
        <w:t>Planning, Development and Infrastructure Act 2016</w:t>
      </w:r>
      <w:r w:rsidRPr="00E26C8E">
        <w:rPr>
          <w:rFonts w:eastAsia="Times New Roman"/>
          <w:szCs w:val="17"/>
        </w:rPr>
        <w:t>; or</w:t>
      </w:r>
    </w:p>
    <w:p w:rsidR="00E26C8E" w:rsidRPr="00E26C8E" w:rsidRDefault="00E26C8E" w:rsidP="00E26C8E">
      <w:pPr>
        <w:ind w:left="709" w:hanging="283"/>
        <w:rPr>
          <w:rFonts w:eastAsia="Times New Roman"/>
          <w:szCs w:val="17"/>
        </w:rPr>
      </w:pPr>
      <w:r w:rsidRPr="00E26C8E">
        <w:rPr>
          <w:rFonts w:eastAsia="Times New Roman"/>
          <w:szCs w:val="17"/>
        </w:rPr>
        <w:t>m.</w:t>
      </w:r>
      <w:r w:rsidRPr="00E26C8E">
        <w:rPr>
          <w:rFonts w:eastAsia="Times New Roman"/>
          <w:szCs w:val="17"/>
        </w:rPr>
        <w:tab/>
        <w:t xml:space="preserve">the </w:t>
      </w:r>
      <w:r w:rsidRPr="00E26C8E">
        <w:rPr>
          <w:rFonts w:eastAsia="Times New Roman"/>
          <w:i/>
          <w:szCs w:val="17"/>
        </w:rPr>
        <w:t>Radiation Protection and Control Act 1982</w:t>
      </w:r>
      <w:r w:rsidRPr="00E26C8E">
        <w:rPr>
          <w:rFonts w:eastAsia="Times New Roman"/>
          <w:szCs w:val="17"/>
        </w:rPr>
        <w:t>; or</w:t>
      </w:r>
    </w:p>
    <w:p w:rsidR="00E26C8E" w:rsidRPr="00E26C8E" w:rsidRDefault="00E26C8E" w:rsidP="00E26C8E">
      <w:pPr>
        <w:ind w:left="709" w:hanging="283"/>
        <w:rPr>
          <w:rFonts w:eastAsia="Times New Roman"/>
          <w:szCs w:val="17"/>
        </w:rPr>
      </w:pPr>
      <w:r w:rsidRPr="00E26C8E">
        <w:rPr>
          <w:rFonts w:eastAsia="Times New Roman"/>
          <w:szCs w:val="17"/>
        </w:rPr>
        <w:t>n.</w:t>
      </w:r>
      <w:r w:rsidRPr="00E26C8E">
        <w:rPr>
          <w:rFonts w:eastAsia="Times New Roman"/>
          <w:szCs w:val="17"/>
        </w:rPr>
        <w:tab/>
        <w:t xml:space="preserve">the </w:t>
      </w:r>
      <w:r w:rsidRPr="00E26C8E">
        <w:rPr>
          <w:rFonts w:eastAsia="Times New Roman"/>
          <w:i/>
          <w:szCs w:val="17"/>
        </w:rPr>
        <w:t>Work Health and Safety Act 2012</w:t>
      </w:r>
      <w:r w:rsidRPr="00E26C8E">
        <w:rPr>
          <w:rFonts w:eastAsia="Times New Roman"/>
          <w:szCs w:val="17"/>
        </w:rPr>
        <w:t>; or</w:t>
      </w:r>
    </w:p>
    <w:p w:rsidR="00E26C8E" w:rsidRPr="00E26C8E" w:rsidRDefault="00E26C8E" w:rsidP="00E26C8E">
      <w:pPr>
        <w:ind w:left="709" w:hanging="283"/>
        <w:rPr>
          <w:rFonts w:eastAsia="Times New Roman"/>
          <w:szCs w:val="17"/>
        </w:rPr>
      </w:pPr>
      <w:r w:rsidRPr="00E26C8E">
        <w:rPr>
          <w:rFonts w:eastAsia="Times New Roman"/>
          <w:szCs w:val="17"/>
        </w:rPr>
        <w:t>o.</w:t>
      </w:r>
      <w:r w:rsidRPr="00E26C8E">
        <w:rPr>
          <w:rFonts w:eastAsia="Times New Roman"/>
          <w:szCs w:val="17"/>
        </w:rPr>
        <w:tab/>
        <w:t>an Act of another State or a Territory that contains provisions that substantially correspond with an Act set out in paragraphs (a) to (n) (inclusive).</w:t>
      </w:r>
    </w:p>
    <w:p w:rsidR="00E26C8E" w:rsidRPr="00E26C8E" w:rsidRDefault="00E26C8E" w:rsidP="00E26C8E">
      <w:pPr>
        <w:ind w:firstLine="1"/>
        <w:rPr>
          <w:rFonts w:eastAsia="Times New Roman"/>
          <w:szCs w:val="17"/>
        </w:rPr>
      </w:pPr>
      <w:r w:rsidRPr="00E26C8E">
        <w:rPr>
          <w:rFonts w:eastAsia="Times New Roman"/>
          <w:szCs w:val="17"/>
        </w:rPr>
        <w:t xml:space="preserve">In accordance with section 15AB(5) of the </w:t>
      </w:r>
      <w:r w:rsidRPr="00E26C8E">
        <w:rPr>
          <w:rFonts w:eastAsia="Times New Roman"/>
          <w:i/>
          <w:iCs/>
          <w:color w:val="000000" w:themeColor="text1"/>
          <w:szCs w:val="17"/>
        </w:rPr>
        <w:t>Mining Act 1971</w:t>
      </w:r>
      <w:r w:rsidRPr="00E26C8E">
        <w:rPr>
          <w:rFonts w:eastAsia="Times New Roman"/>
          <w:i/>
          <w:iCs/>
          <w:color w:val="000000"/>
          <w:szCs w:val="17"/>
          <w:shd w:val="clear" w:color="auto" w:fill="FFFFFF"/>
        </w:rPr>
        <w:t xml:space="preserve"> </w:t>
      </w:r>
      <w:r w:rsidRPr="00E26C8E">
        <w:rPr>
          <w:rFonts w:eastAsia="Times New Roman"/>
          <w:szCs w:val="17"/>
        </w:rPr>
        <w:t>this notice will have effect from 1 January 2021.</w:t>
      </w:r>
    </w:p>
    <w:p w:rsidR="00E26C8E" w:rsidRPr="00E26C8E" w:rsidRDefault="00E26C8E" w:rsidP="00E26C8E">
      <w:pPr>
        <w:spacing w:after="0"/>
        <w:rPr>
          <w:rFonts w:eastAsia="Times New Roman"/>
          <w:szCs w:val="17"/>
        </w:rPr>
      </w:pPr>
      <w:r w:rsidRPr="00E26C8E">
        <w:rPr>
          <w:rFonts w:eastAsia="Times New Roman"/>
          <w:szCs w:val="17"/>
        </w:rPr>
        <w:t>Dated: 11 December 2020</w:t>
      </w:r>
    </w:p>
    <w:p w:rsidR="00E26C8E" w:rsidRPr="00E26C8E" w:rsidRDefault="00E26C8E" w:rsidP="00E26C8E">
      <w:pPr>
        <w:spacing w:after="0"/>
        <w:jc w:val="right"/>
        <w:rPr>
          <w:rFonts w:eastAsia="Times New Roman"/>
          <w:smallCaps/>
          <w:szCs w:val="20"/>
        </w:rPr>
      </w:pPr>
      <w:r w:rsidRPr="00E26C8E">
        <w:rPr>
          <w:rFonts w:eastAsia="Times New Roman"/>
          <w:smallCaps/>
          <w:szCs w:val="20"/>
        </w:rPr>
        <w:t>Hon. Daniel van Holst Pellekaan</w:t>
      </w:r>
    </w:p>
    <w:p w:rsidR="00E26C8E" w:rsidRPr="00E26C8E" w:rsidRDefault="00E26C8E" w:rsidP="00E26C8E">
      <w:pPr>
        <w:spacing w:after="0"/>
        <w:jc w:val="right"/>
        <w:rPr>
          <w:rFonts w:eastAsia="Times New Roman"/>
          <w:szCs w:val="17"/>
        </w:rPr>
      </w:pPr>
      <w:r w:rsidRPr="00E26C8E">
        <w:rPr>
          <w:rFonts w:eastAsia="Times New Roman"/>
          <w:szCs w:val="17"/>
        </w:rPr>
        <w:t>Minister for Energy and Mining</w:t>
      </w:r>
    </w:p>
    <w:p w:rsidR="00E26C8E" w:rsidRPr="00E26C8E" w:rsidRDefault="00E26C8E" w:rsidP="00E26C8E">
      <w:pPr>
        <w:pBdr>
          <w:top w:val="single" w:sz="4" w:space="1" w:color="auto"/>
        </w:pBdr>
        <w:spacing w:before="100" w:after="0" w:line="14" w:lineRule="exact"/>
        <w:jc w:val="center"/>
        <w:rPr>
          <w:rFonts w:eastAsia="Times New Roman"/>
          <w:szCs w:val="17"/>
        </w:rPr>
      </w:pPr>
    </w:p>
    <w:p w:rsidR="00E26C8E" w:rsidRPr="00E26C8E" w:rsidRDefault="00E26C8E" w:rsidP="00E26C8E">
      <w:pPr>
        <w:spacing w:after="0"/>
        <w:rPr>
          <w:rFonts w:eastAsia="Times New Roman"/>
          <w:szCs w:val="17"/>
        </w:rPr>
      </w:pPr>
    </w:p>
    <w:p w:rsidR="00E26C8E" w:rsidRPr="00E26C8E" w:rsidRDefault="00E26C8E" w:rsidP="00E26C8E">
      <w:pPr>
        <w:jc w:val="center"/>
        <w:rPr>
          <w:caps/>
          <w:szCs w:val="17"/>
        </w:rPr>
      </w:pPr>
      <w:r w:rsidRPr="00E26C8E">
        <w:rPr>
          <w:caps/>
          <w:szCs w:val="17"/>
        </w:rPr>
        <w:t>Mining Act 1971</w:t>
      </w:r>
    </w:p>
    <w:p w:rsidR="00E26C8E" w:rsidRPr="00E26C8E" w:rsidRDefault="00E26C8E" w:rsidP="005549E6">
      <w:pPr>
        <w:pStyle w:val="GG-Title3"/>
      </w:pPr>
      <w:r w:rsidRPr="00E26C8E">
        <w:t>Notice under Section 17AB(8) of the Mining Act 1971</w:t>
      </w:r>
    </w:p>
    <w:p w:rsidR="00E26C8E" w:rsidRPr="00E26C8E" w:rsidRDefault="00E26C8E" w:rsidP="00E26C8E">
      <w:pPr>
        <w:rPr>
          <w:rFonts w:eastAsia="Times New Roman"/>
          <w:szCs w:val="17"/>
        </w:rPr>
      </w:pPr>
      <w:r w:rsidRPr="00E26C8E">
        <w:rPr>
          <w:rFonts w:eastAsia="Times New Roman"/>
          <w:szCs w:val="17"/>
        </w:rPr>
        <w:t xml:space="preserve">NOTICE is hereby given pursuant to the provision of section 17AB(8) of the </w:t>
      </w:r>
      <w:r w:rsidRPr="00E26C8E">
        <w:rPr>
          <w:rFonts w:eastAsia="Times New Roman"/>
          <w:i/>
          <w:szCs w:val="17"/>
        </w:rPr>
        <w:t>Mining Act 1971</w:t>
      </w:r>
      <w:r w:rsidRPr="00E26C8E">
        <w:rPr>
          <w:rFonts w:eastAsia="Times New Roman"/>
          <w:szCs w:val="17"/>
        </w:rPr>
        <w:t>, to specify the manner and form of a notice that a person other than the proprietor is carrying out authorised operations at a private mine.</w:t>
      </w:r>
    </w:p>
    <w:p w:rsidR="00E26C8E" w:rsidRPr="00E26C8E" w:rsidRDefault="00E26C8E" w:rsidP="00E26C8E">
      <w:pPr>
        <w:rPr>
          <w:rFonts w:eastAsia="Times New Roman"/>
          <w:szCs w:val="17"/>
        </w:rPr>
      </w:pPr>
      <w:r w:rsidRPr="00E26C8E">
        <w:rPr>
          <w:rFonts w:eastAsia="Times New Roman"/>
          <w:szCs w:val="17"/>
        </w:rPr>
        <w:t xml:space="preserve">TAKE notice that I, Daniel van Holst Pellekaan, Minister for Energy and Mining, pursuant to section 17AB(8) of the </w:t>
      </w:r>
      <w:r w:rsidRPr="00E26C8E">
        <w:rPr>
          <w:rFonts w:eastAsia="Times New Roman"/>
          <w:i/>
          <w:szCs w:val="17"/>
        </w:rPr>
        <w:t>Mining Act 1971</w:t>
      </w:r>
      <w:r w:rsidRPr="00E26C8E">
        <w:rPr>
          <w:rFonts w:eastAsia="Times New Roman"/>
          <w:szCs w:val="17"/>
        </w:rPr>
        <w:t xml:space="preserve"> do hereby:</w:t>
      </w:r>
    </w:p>
    <w:p w:rsidR="00E26C8E" w:rsidRPr="00E26C8E" w:rsidRDefault="00E26C8E" w:rsidP="00E26C8E">
      <w:pPr>
        <w:ind w:left="142"/>
        <w:rPr>
          <w:rFonts w:eastAsia="Times New Roman"/>
          <w:szCs w:val="17"/>
        </w:rPr>
      </w:pPr>
      <w:r w:rsidRPr="00E26C8E">
        <w:rPr>
          <w:rFonts w:eastAsia="Times New Roman"/>
          <w:szCs w:val="17"/>
        </w:rPr>
        <w:t xml:space="preserve">DETERMINE that a notice under section 17AB(8) of the </w:t>
      </w:r>
      <w:r w:rsidRPr="00E26C8E">
        <w:rPr>
          <w:rFonts w:eastAsia="Times New Roman"/>
          <w:i/>
          <w:szCs w:val="17"/>
        </w:rPr>
        <w:t>Mining Act 1971</w:t>
      </w:r>
      <w:r w:rsidRPr="00E26C8E">
        <w:rPr>
          <w:rFonts w:eastAsia="Times New Roman"/>
          <w:szCs w:val="17"/>
        </w:rPr>
        <w:t xml:space="preserve"> must be in the following manner and form:</w:t>
      </w:r>
    </w:p>
    <w:p w:rsidR="00E26C8E" w:rsidRPr="00E26C8E" w:rsidRDefault="00E26C8E" w:rsidP="00E26C8E">
      <w:pPr>
        <w:ind w:left="567" w:hanging="284"/>
        <w:rPr>
          <w:rFonts w:eastAsia="Times New Roman"/>
          <w:szCs w:val="17"/>
        </w:rPr>
      </w:pPr>
      <w:r w:rsidRPr="00E26C8E">
        <w:rPr>
          <w:rFonts w:eastAsia="Times New Roman"/>
          <w:szCs w:val="17"/>
        </w:rPr>
        <w:t>1.</w:t>
      </w:r>
      <w:r w:rsidRPr="00E26C8E">
        <w:rPr>
          <w:rFonts w:eastAsia="Times New Roman"/>
          <w:szCs w:val="17"/>
        </w:rPr>
        <w:tab/>
        <w:t>Disclose the Private Mine number and its location;</w:t>
      </w:r>
    </w:p>
    <w:p w:rsidR="00E26C8E" w:rsidRPr="00E26C8E" w:rsidRDefault="00E26C8E" w:rsidP="00E26C8E">
      <w:pPr>
        <w:ind w:left="567" w:hanging="284"/>
        <w:rPr>
          <w:rFonts w:eastAsia="Times New Roman"/>
          <w:szCs w:val="17"/>
        </w:rPr>
      </w:pPr>
      <w:r w:rsidRPr="00E26C8E">
        <w:rPr>
          <w:rFonts w:eastAsia="Times New Roman"/>
          <w:szCs w:val="17"/>
        </w:rPr>
        <w:t>2.</w:t>
      </w:r>
      <w:r w:rsidRPr="00E26C8E">
        <w:rPr>
          <w:rFonts w:eastAsia="Times New Roman"/>
          <w:szCs w:val="17"/>
        </w:rPr>
        <w:tab/>
        <w:t>For the Proprietor:</w:t>
      </w:r>
    </w:p>
    <w:p w:rsidR="00E26C8E" w:rsidRPr="00E26C8E" w:rsidRDefault="00E26C8E" w:rsidP="00E26C8E">
      <w:pPr>
        <w:ind w:left="851" w:hanging="284"/>
        <w:rPr>
          <w:rFonts w:eastAsia="Times New Roman"/>
          <w:szCs w:val="17"/>
        </w:rPr>
      </w:pPr>
      <w:r w:rsidRPr="00E26C8E">
        <w:rPr>
          <w:rFonts w:eastAsia="Times New Roman"/>
          <w:szCs w:val="17"/>
        </w:rPr>
        <w:t>a.</w:t>
      </w:r>
      <w:r w:rsidRPr="00E26C8E">
        <w:rPr>
          <w:rFonts w:eastAsia="Times New Roman"/>
          <w:szCs w:val="17"/>
        </w:rPr>
        <w:tab/>
        <w:t>disclose the Proprietor’s name;</w:t>
      </w:r>
    </w:p>
    <w:p w:rsidR="00E26C8E" w:rsidRPr="00E26C8E" w:rsidRDefault="00E26C8E" w:rsidP="00E26C8E">
      <w:pPr>
        <w:ind w:left="851" w:hanging="284"/>
        <w:rPr>
          <w:rFonts w:eastAsia="Times New Roman"/>
          <w:szCs w:val="17"/>
        </w:rPr>
      </w:pPr>
      <w:r w:rsidRPr="00E26C8E">
        <w:rPr>
          <w:rFonts w:eastAsia="Times New Roman"/>
          <w:szCs w:val="17"/>
        </w:rPr>
        <w:t>b.</w:t>
      </w:r>
      <w:r w:rsidRPr="00E26C8E">
        <w:rPr>
          <w:rFonts w:eastAsia="Times New Roman"/>
          <w:szCs w:val="17"/>
        </w:rPr>
        <w:tab/>
        <w:t>disclose the name of a contact person, their job title, phone number and email address;</w:t>
      </w:r>
    </w:p>
    <w:p w:rsidR="00E26C8E" w:rsidRPr="00E26C8E" w:rsidRDefault="00E26C8E" w:rsidP="00E26C8E">
      <w:pPr>
        <w:ind w:left="851" w:hanging="284"/>
        <w:rPr>
          <w:rFonts w:eastAsia="Times New Roman"/>
          <w:szCs w:val="17"/>
        </w:rPr>
      </w:pPr>
      <w:r w:rsidRPr="00E26C8E">
        <w:rPr>
          <w:rFonts w:eastAsia="Times New Roman"/>
          <w:szCs w:val="17"/>
        </w:rPr>
        <w:t>c.</w:t>
      </w:r>
      <w:r w:rsidRPr="00E26C8E">
        <w:rPr>
          <w:rFonts w:eastAsia="Times New Roman"/>
          <w:szCs w:val="17"/>
        </w:rPr>
        <w:tab/>
        <w:t>disclose a postal address;</w:t>
      </w:r>
    </w:p>
    <w:p w:rsidR="00E26C8E" w:rsidRPr="00E26C8E" w:rsidRDefault="00E26C8E" w:rsidP="00E26C8E">
      <w:pPr>
        <w:ind w:left="567" w:hanging="284"/>
        <w:rPr>
          <w:rFonts w:eastAsia="Times New Roman"/>
          <w:szCs w:val="17"/>
        </w:rPr>
      </w:pPr>
      <w:r w:rsidRPr="00E26C8E">
        <w:rPr>
          <w:rFonts w:eastAsia="Times New Roman"/>
          <w:szCs w:val="17"/>
        </w:rPr>
        <w:t>3.</w:t>
      </w:r>
      <w:r w:rsidRPr="00E26C8E">
        <w:rPr>
          <w:rFonts w:eastAsia="Times New Roman"/>
          <w:szCs w:val="17"/>
        </w:rPr>
        <w:tab/>
        <w:t>For the ‘Party carrying out authorised operations and liable for royalty’:</w:t>
      </w:r>
    </w:p>
    <w:p w:rsidR="00E26C8E" w:rsidRPr="00E26C8E" w:rsidRDefault="00E26C8E" w:rsidP="00E26C8E">
      <w:pPr>
        <w:ind w:left="851" w:hanging="284"/>
        <w:rPr>
          <w:rFonts w:eastAsia="Times New Roman"/>
          <w:szCs w:val="17"/>
        </w:rPr>
      </w:pPr>
      <w:r w:rsidRPr="00E26C8E">
        <w:rPr>
          <w:rFonts w:eastAsia="Times New Roman"/>
          <w:szCs w:val="17"/>
        </w:rPr>
        <w:t>a.</w:t>
      </w:r>
      <w:r w:rsidRPr="00E26C8E">
        <w:rPr>
          <w:rFonts w:eastAsia="Times New Roman"/>
          <w:szCs w:val="17"/>
        </w:rPr>
        <w:tab/>
        <w:t>disclose the party’s name;</w:t>
      </w:r>
    </w:p>
    <w:p w:rsidR="00E26C8E" w:rsidRPr="00E26C8E" w:rsidRDefault="00E26C8E" w:rsidP="00E26C8E">
      <w:pPr>
        <w:ind w:left="851" w:hanging="284"/>
        <w:rPr>
          <w:rFonts w:eastAsia="Times New Roman"/>
          <w:szCs w:val="17"/>
        </w:rPr>
      </w:pPr>
      <w:r w:rsidRPr="00E26C8E">
        <w:rPr>
          <w:rFonts w:eastAsia="Times New Roman"/>
          <w:szCs w:val="17"/>
        </w:rPr>
        <w:t>b.</w:t>
      </w:r>
      <w:r w:rsidRPr="00E26C8E">
        <w:rPr>
          <w:rFonts w:eastAsia="Times New Roman"/>
          <w:szCs w:val="17"/>
        </w:rPr>
        <w:tab/>
        <w:t>disclose the name of a contact person, their job title, phone number and email address;</w:t>
      </w:r>
    </w:p>
    <w:p w:rsidR="00E26C8E" w:rsidRPr="00E26C8E" w:rsidRDefault="00E26C8E" w:rsidP="00E26C8E">
      <w:pPr>
        <w:ind w:left="851" w:hanging="284"/>
        <w:rPr>
          <w:rFonts w:eastAsia="Times New Roman"/>
          <w:szCs w:val="17"/>
        </w:rPr>
      </w:pPr>
      <w:r w:rsidRPr="00E26C8E">
        <w:rPr>
          <w:rFonts w:eastAsia="Times New Roman"/>
          <w:szCs w:val="17"/>
        </w:rPr>
        <w:t>c.</w:t>
      </w:r>
      <w:r w:rsidRPr="00E26C8E">
        <w:rPr>
          <w:rFonts w:eastAsia="Times New Roman"/>
          <w:szCs w:val="17"/>
        </w:rPr>
        <w:tab/>
        <w:t>disclose a postal address;</w:t>
      </w:r>
    </w:p>
    <w:p w:rsidR="00E26C8E" w:rsidRPr="00E26C8E" w:rsidRDefault="00E26C8E" w:rsidP="00E26C8E">
      <w:pPr>
        <w:rPr>
          <w:rFonts w:eastAsia="Times New Roman"/>
          <w:szCs w:val="17"/>
        </w:rPr>
      </w:pPr>
      <w:r w:rsidRPr="00E26C8E">
        <w:rPr>
          <w:rFonts w:eastAsia="Times New Roman"/>
          <w:szCs w:val="17"/>
        </w:rPr>
        <w:t xml:space="preserve">In accordance with section 17AB(8) of the </w:t>
      </w:r>
      <w:r w:rsidRPr="00E26C8E">
        <w:rPr>
          <w:rFonts w:eastAsia="Times New Roman"/>
          <w:i/>
          <w:szCs w:val="17"/>
        </w:rPr>
        <w:t>Mining Act 1971</w:t>
      </w:r>
      <w:r w:rsidRPr="00E26C8E">
        <w:rPr>
          <w:rFonts w:eastAsia="Times New Roman"/>
          <w:szCs w:val="17"/>
        </w:rPr>
        <w:t xml:space="preserve"> this notice will have effect from 1 January 2021.</w:t>
      </w:r>
    </w:p>
    <w:p w:rsidR="00E26C8E" w:rsidRPr="00E26C8E" w:rsidRDefault="00E26C8E" w:rsidP="00E26C8E">
      <w:pPr>
        <w:spacing w:after="0"/>
        <w:rPr>
          <w:rFonts w:eastAsia="Times New Roman"/>
          <w:szCs w:val="17"/>
        </w:rPr>
      </w:pPr>
      <w:r w:rsidRPr="00E26C8E">
        <w:rPr>
          <w:rFonts w:eastAsia="Times New Roman"/>
          <w:szCs w:val="17"/>
        </w:rPr>
        <w:t>Dated: 11 December 2020</w:t>
      </w:r>
    </w:p>
    <w:p w:rsidR="00E26C8E" w:rsidRPr="00E26C8E" w:rsidRDefault="00E26C8E" w:rsidP="00E26C8E">
      <w:pPr>
        <w:spacing w:after="0"/>
        <w:jc w:val="right"/>
        <w:rPr>
          <w:rFonts w:eastAsia="Times New Roman"/>
          <w:smallCaps/>
          <w:szCs w:val="20"/>
        </w:rPr>
      </w:pPr>
      <w:r w:rsidRPr="00E26C8E">
        <w:rPr>
          <w:rFonts w:eastAsia="Times New Roman"/>
          <w:smallCaps/>
          <w:szCs w:val="20"/>
        </w:rPr>
        <w:t>Hon. Daniel van Holst Pellekaan</w:t>
      </w:r>
    </w:p>
    <w:p w:rsidR="00E26C8E" w:rsidRPr="00E26C8E" w:rsidRDefault="00E26C8E" w:rsidP="00E26C8E">
      <w:pPr>
        <w:spacing w:after="0"/>
        <w:jc w:val="right"/>
        <w:rPr>
          <w:rFonts w:eastAsia="Times New Roman"/>
          <w:szCs w:val="17"/>
        </w:rPr>
      </w:pPr>
      <w:r w:rsidRPr="00E26C8E">
        <w:rPr>
          <w:rFonts w:eastAsia="Times New Roman"/>
          <w:szCs w:val="17"/>
        </w:rPr>
        <w:t>Minister for Energy and Mining</w:t>
      </w:r>
    </w:p>
    <w:p w:rsidR="00E26C8E" w:rsidRPr="00E26C8E" w:rsidRDefault="00E26C8E" w:rsidP="00E26C8E">
      <w:pPr>
        <w:pBdr>
          <w:top w:val="single" w:sz="4" w:space="1" w:color="auto"/>
        </w:pBdr>
        <w:spacing w:before="100" w:after="0" w:line="14" w:lineRule="exact"/>
        <w:jc w:val="center"/>
        <w:rPr>
          <w:rFonts w:eastAsia="Times New Roman"/>
          <w:szCs w:val="17"/>
        </w:rPr>
      </w:pPr>
    </w:p>
    <w:p w:rsidR="00E26C8E" w:rsidRPr="00E26C8E" w:rsidRDefault="00E26C8E" w:rsidP="00E26C8E">
      <w:pPr>
        <w:spacing w:after="0" w:line="240" w:lineRule="auto"/>
        <w:jc w:val="left"/>
        <w:rPr>
          <w:caps/>
          <w:szCs w:val="17"/>
        </w:rPr>
      </w:pPr>
      <w:r w:rsidRPr="00E26C8E">
        <w:rPr>
          <w:rFonts w:eastAsia="Times New Roman"/>
          <w:szCs w:val="20"/>
        </w:rPr>
        <w:br w:type="page"/>
      </w:r>
    </w:p>
    <w:p w:rsidR="00E26C8E" w:rsidRPr="00E26C8E" w:rsidRDefault="00E26C8E" w:rsidP="00E26C8E">
      <w:pPr>
        <w:jc w:val="center"/>
        <w:rPr>
          <w:caps/>
          <w:szCs w:val="17"/>
        </w:rPr>
      </w:pPr>
      <w:r w:rsidRPr="00E26C8E">
        <w:rPr>
          <w:caps/>
          <w:szCs w:val="17"/>
        </w:rPr>
        <w:t>Mining Act 1971</w:t>
      </w:r>
    </w:p>
    <w:p w:rsidR="00E26C8E" w:rsidRPr="00E26C8E" w:rsidRDefault="00E26C8E" w:rsidP="005549E6">
      <w:pPr>
        <w:pStyle w:val="GG-Title3"/>
      </w:pPr>
      <w:r w:rsidRPr="00E26C8E">
        <w:t>Notice under Section 30AA(4) of the Mining Act 1971 </w:t>
      </w:r>
    </w:p>
    <w:p w:rsidR="00E26C8E" w:rsidRPr="00E26C8E" w:rsidRDefault="00E26C8E" w:rsidP="00E26C8E">
      <w:pPr>
        <w:rPr>
          <w:rFonts w:eastAsia="Times New Roman"/>
          <w:szCs w:val="17"/>
        </w:rPr>
      </w:pPr>
      <w:r w:rsidRPr="00E26C8E">
        <w:rPr>
          <w:rFonts w:eastAsia="Times New Roman"/>
          <w:szCs w:val="17"/>
        </w:rPr>
        <w:t>NOTICE is hereby given pursuant to the provision of section 30AA(4) of the </w:t>
      </w:r>
      <w:r w:rsidRPr="00E26C8E">
        <w:rPr>
          <w:rFonts w:eastAsia="Times New Roman"/>
          <w:i/>
          <w:szCs w:val="17"/>
        </w:rPr>
        <w:t>Mining Act 1971</w:t>
      </w:r>
      <w:r w:rsidRPr="00E26C8E">
        <w:rPr>
          <w:rFonts w:eastAsia="Times New Roman"/>
          <w:szCs w:val="17"/>
        </w:rPr>
        <w:t>, to specify the manner and form of a division of an exploration licence.</w:t>
      </w:r>
    </w:p>
    <w:p w:rsidR="00E26C8E" w:rsidRPr="00E26C8E" w:rsidRDefault="00E26C8E" w:rsidP="00E26C8E">
      <w:pPr>
        <w:rPr>
          <w:rFonts w:eastAsia="Times New Roman"/>
          <w:spacing w:val="-2"/>
          <w:szCs w:val="17"/>
        </w:rPr>
      </w:pPr>
      <w:r w:rsidRPr="00E26C8E">
        <w:rPr>
          <w:rFonts w:eastAsia="Times New Roman"/>
          <w:spacing w:val="-2"/>
          <w:szCs w:val="17"/>
        </w:rPr>
        <w:t>TAKE notice that I, Daniel van Holst Pellekaan, Minister for Energy and Mining, pursuant to section 30AA(4) of the </w:t>
      </w:r>
      <w:r w:rsidRPr="00E26C8E">
        <w:rPr>
          <w:rFonts w:eastAsia="Times New Roman"/>
          <w:i/>
          <w:spacing w:val="-2"/>
          <w:szCs w:val="17"/>
        </w:rPr>
        <w:t>Mining Act 1971</w:t>
      </w:r>
      <w:r w:rsidRPr="00E26C8E">
        <w:rPr>
          <w:rFonts w:eastAsia="Times New Roman"/>
          <w:spacing w:val="-2"/>
          <w:szCs w:val="17"/>
        </w:rPr>
        <w:t xml:space="preserve"> do hereby: </w:t>
      </w:r>
    </w:p>
    <w:p w:rsidR="00E26C8E" w:rsidRPr="00E26C8E" w:rsidRDefault="00E26C8E" w:rsidP="00E26C8E">
      <w:pPr>
        <w:ind w:left="142"/>
        <w:rPr>
          <w:rFonts w:eastAsia="Times New Roman"/>
          <w:szCs w:val="17"/>
        </w:rPr>
      </w:pPr>
      <w:r w:rsidRPr="00E26C8E">
        <w:rPr>
          <w:rFonts w:eastAsia="Times New Roman"/>
          <w:szCs w:val="17"/>
        </w:rPr>
        <w:t>DETERMINE that an application under section 30AA(4) of the </w:t>
      </w:r>
      <w:r w:rsidRPr="00E26C8E">
        <w:rPr>
          <w:rFonts w:eastAsia="Times New Roman"/>
          <w:i/>
          <w:szCs w:val="17"/>
        </w:rPr>
        <w:t>Mining Act 1971</w:t>
      </w:r>
      <w:r w:rsidRPr="00E26C8E">
        <w:rPr>
          <w:rFonts w:eastAsia="Times New Roman"/>
          <w:szCs w:val="17"/>
        </w:rPr>
        <w:t> must be in the following manner and form: </w:t>
      </w:r>
    </w:p>
    <w:p w:rsidR="00E26C8E" w:rsidRPr="00E26C8E" w:rsidRDefault="00E26C8E" w:rsidP="00E26C8E">
      <w:pPr>
        <w:ind w:left="426" w:hanging="284"/>
        <w:rPr>
          <w:rFonts w:eastAsia="Times New Roman"/>
          <w:szCs w:val="17"/>
        </w:rPr>
      </w:pPr>
      <w:r w:rsidRPr="00E26C8E">
        <w:rPr>
          <w:rFonts w:eastAsia="Times New Roman"/>
          <w:szCs w:val="17"/>
        </w:rPr>
        <w:t>a.</w:t>
      </w:r>
      <w:r w:rsidRPr="00E26C8E">
        <w:rPr>
          <w:rFonts w:eastAsia="Times New Roman"/>
          <w:szCs w:val="17"/>
        </w:rPr>
        <w:tab/>
        <w:t>Provide the exploration licence number;</w:t>
      </w:r>
    </w:p>
    <w:p w:rsidR="00E26C8E" w:rsidRPr="00E26C8E" w:rsidRDefault="00E26C8E" w:rsidP="00E26C8E">
      <w:pPr>
        <w:ind w:left="426" w:hanging="284"/>
        <w:rPr>
          <w:rFonts w:eastAsia="Times New Roman"/>
          <w:szCs w:val="17"/>
        </w:rPr>
      </w:pPr>
      <w:r w:rsidRPr="00E26C8E">
        <w:rPr>
          <w:rFonts w:eastAsia="Times New Roman"/>
          <w:szCs w:val="17"/>
        </w:rPr>
        <w:t>b.</w:t>
      </w:r>
      <w:r w:rsidRPr="00E26C8E">
        <w:rPr>
          <w:rFonts w:eastAsia="Times New Roman"/>
          <w:szCs w:val="17"/>
        </w:rPr>
        <w:tab/>
        <w:t>Name of tenement holder (company or individual): list all tenement holders and their percentage share in the exploration licence;</w:t>
      </w:r>
    </w:p>
    <w:p w:rsidR="00E26C8E" w:rsidRPr="00E26C8E" w:rsidRDefault="00E26C8E" w:rsidP="00E26C8E">
      <w:pPr>
        <w:ind w:left="426" w:hanging="284"/>
        <w:rPr>
          <w:rFonts w:eastAsia="Times New Roman"/>
          <w:szCs w:val="17"/>
        </w:rPr>
      </w:pPr>
      <w:r w:rsidRPr="00E26C8E">
        <w:rPr>
          <w:rFonts w:eastAsia="Times New Roman"/>
          <w:szCs w:val="17"/>
        </w:rPr>
        <w:t>c.</w:t>
      </w:r>
      <w:r w:rsidRPr="00E26C8E">
        <w:rPr>
          <w:rFonts w:eastAsia="Times New Roman"/>
          <w:szCs w:val="17"/>
        </w:rPr>
        <w:tab/>
        <w:t>Name of designated party (company or individual): list all designated parties and their percentage share in the application; and</w:t>
      </w:r>
    </w:p>
    <w:p w:rsidR="00E26C8E" w:rsidRPr="00E26C8E" w:rsidRDefault="00E26C8E" w:rsidP="00E26C8E">
      <w:pPr>
        <w:ind w:left="426" w:hanging="284"/>
        <w:rPr>
          <w:rFonts w:eastAsia="Times New Roman"/>
          <w:szCs w:val="17"/>
        </w:rPr>
      </w:pPr>
      <w:r w:rsidRPr="00E26C8E">
        <w:rPr>
          <w:rFonts w:eastAsia="Times New Roman"/>
          <w:szCs w:val="17"/>
        </w:rPr>
        <w:t>d.</w:t>
      </w:r>
      <w:r w:rsidRPr="00E26C8E">
        <w:rPr>
          <w:rFonts w:eastAsia="Times New Roman"/>
          <w:szCs w:val="17"/>
        </w:rPr>
        <w:tab/>
        <w:t>Details of contact person, including name, address, contact numbers, email address, authorisation from tenement holder if contact person is an agent or tenement manager, and demonstrate whether that person consents to receiving tenement related correspondence via electronic means.</w:t>
      </w:r>
    </w:p>
    <w:p w:rsidR="00E26C8E" w:rsidRPr="00E26C8E" w:rsidRDefault="00E26C8E" w:rsidP="00E26C8E">
      <w:pPr>
        <w:rPr>
          <w:rFonts w:eastAsia="Times New Roman"/>
          <w:szCs w:val="17"/>
        </w:rPr>
      </w:pPr>
      <w:r w:rsidRPr="00E26C8E">
        <w:rPr>
          <w:rFonts w:eastAsia="Times New Roman"/>
          <w:szCs w:val="17"/>
        </w:rPr>
        <w:t>In accordance with section 30AA of the </w:t>
      </w:r>
      <w:r w:rsidRPr="00E26C8E">
        <w:rPr>
          <w:rFonts w:eastAsia="Times New Roman"/>
          <w:i/>
          <w:szCs w:val="17"/>
        </w:rPr>
        <w:t>Mining Act 1971</w:t>
      </w:r>
      <w:r w:rsidRPr="00E26C8E">
        <w:rPr>
          <w:rFonts w:eastAsia="Times New Roman"/>
          <w:szCs w:val="17"/>
        </w:rPr>
        <w:t> this notice will have effect from 1 January 2021.</w:t>
      </w:r>
    </w:p>
    <w:p w:rsidR="00E26C8E" w:rsidRPr="00E26C8E" w:rsidRDefault="00E26C8E" w:rsidP="00E26C8E">
      <w:pPr>
        <w:spacing w:after="0"/>
        <w:rPr>
          <w:rFonts w:eastAsia="Times New Roman"/>
          <w:szCs w:val="17"/>
        </w:rPr>
      </w:pPr>
      <w:r w:rsidRPr="00E26C8E">
        <w:rPr>
          <w:rFonts w:eastAsia="Times New Roman"/>
          <w:szCs w:val="17"/>
        </w:rPr>
        <w:t>Dated: 11 December 2020</w:t>
      </w:r>
    </w:p>
    <w:p w:rsidR="00E26C8E" w:rsidRPr="00E26C8E" w:rsidRDefault="00E26C8E" w:rsidP="00E26C8E">
      <w:pPr>
        <w:spacing w:after="0"/>
        <w:jc w:val="right"/>
        <w:rPr>
          <w:rFonts w:eastAsia="Times New Roman"/>
          <w:smallCaps/>
          <w:szCs w:val="20"/>
        </w:rPr>
      </w:pPr>
      <w:r w:rsidRPr="00E26C8E">
        <w:rPr>
          <w:rFonts w:eastAsia="Times New Roman"/>
          <w:smallCaps/>
          <w:szCs w:val="20"/>
        </w:rPr>
        <w:t>Hon. Daniel van Holst Pellekaan</w:t>
      </w:r>
    </w:p>
    <w:p w:rsidR="00E26C8E" w:rsidRPr="00E26C8E" w:rsidRDefault="00E26C8E" w:rsidP="00E26C8E">
      <w:pPr>
        <w:spacing w:after="0"/>
        <w:jc w:val="right"/>
        <w:rPr>
          <w:rFonts w:eastAsia="Times New Roman"/>
          <w:szCs w:val="17"/>
        </w:rPr>
      </w:pPr>
      <w:r w:rsidRPr="00E26C8E">
        <w:rPr>
          <w:rFonts w:eastAsia="Times New Roman"/>
          <w:szCs w:val="17"/>
        </w:rPr>
        <w:t>Minister for Energy and Mining</w:t>
      </w:r>
    </w:p>
    <w:p w:rsidR="00E26C8E" w:rsidRPr="00E26C8E" w:rsidRDefault="00E26C8E" w:rsidP="00E26C8E">
      <w:pPr>
        <w:pBdr>
          <w:top w:val="single" w:sz="4" w:space="1" w:color="auto"/>
        </w:pBdr>
        <w:spacing w:before="100" w:after="0" w:line="14" w:lineRule="exact"/>
        <w:jc w:val="center"/>
        <w:rPr>
          <w:rFonts w:eastAsia="Times New Roman"/>
          <w:szCs w:val="17"/>
        </w:rPr>
      </w:pPr>
    </w:p>
    <w:p w:rsidR="00E26C8E" w:rsidRPr="00E26C8E" w:rsidRDefault="00E26C8E" w:rsidP="00E26C8E">
      <w:pPr>
        <w:spacing w:after="0"/>
        <w:rPr>
          <w:rFonts w:eastAsia="Times New Roman"/>
          <w:szCs w:val="17"/>
        </w:rPr>
      </w:pPr>
    </w:p>
    <w:p w:rsidR="00E26C8E" w:rsidRPr="00E26C8E" w:rsidRDefault="00E26C8E" w:rsidP="00E26C8E">
      <w:pPr>
        <w:jc w:val="center"/>
        <w:rPr>
          <w:caps/>
          <w:szCs w:val="17"/>
        </w:rPr>
      </w:pPr>
      <w:r w:rsidRPr="00E26C8E">
        <w:rPr>
          <w:caps/>
          <w:szCs w:val="17"/>
        </w:rPr>
        <w:t>Mining Act 1971</w:t>
      </w:r>
    </w:p>
    <w:p w:rsidR="00E26C8E" w:rsidRPr="00E26C8E" w:rsidRDefault="00E26C8E" w:rsidP="005549E6">
      <w:pPr>
        <w:pStyle w:val="GG-Title3"/>
      </w:pPr>
      <w:r w:rsidRPr="00E26C8E">
        <w:t>Notice under Section 30AAA(3) Mining Act 1971</w:t>
      </w:r>
    </w:p>
    <w:p w:rsidR="00E26C8E" w:rsidRPr="00E26C8E" w:rsidRDefault="00E26C8E" w:rsidP="00E26C8E">
      <w:pPr>
        <w:rPr>
          <w:rFonts w:eastAsia="Times New Roman"/>
          <w:szCs w:val="17"/>
        </w:rPr>
      </w:pPr>
      <w:r w:rsidRPr="00E26C8E">
        <w:rPr>
          <w:rFonts w:eastAsia="Times New Roman"/>
          <w:szCs w:val="17"/>
        </w:rPr>
        <w:t xml:space="preserve">NOTICE is hereby given pursuant to the provision of section 30AAA(3) of the </w:t>
      </w:r>
      <w:r w:rsidRPr="00E26C8E">
        <w:rPr>
          <w:rFonts w:eastAsia="Times New Roman"/>
          <w:i/>
          <w:szCs w:val="17"/>
        </w:rPr>
        <w:t>Mining Act 1971</w:t>
      </w:r>
      <w:r w:rsidRPr="00E26C8E">
        <w:rPr>
          <w:rFonts w:eastAsia="Times New Roman"/>
          <w:szCs w:val="17"/>
        </w:rPr>
        <w:t>, to specify the manner and form of return under 30AAA(3) that contains:</w:t>
      </w:r>
    </w:p>
    <w:p w:rsidR="00E26C8E" w:rsidRPr="00E26C8E" w:rsidRDefault="00E26C8E" w:rsidP="00E26C8E">
      <w:pPr>
        <w:ind w:left="426" w:hanging="284"/>
        <w:rPr>
          <w:rFonts w:eastAsia="Times New Roman"/>
          <w:szCs w:val="17"/>
        </w:rPr>
      </w:pPr>
      <w:r w:rsidRPr="00E26C8E">
        <w:rPr>
          <w:rFonts w:eastAsia="Times New Roman"/>
          <w:szCs w:val="17"/>
        </w:rPr>
        <w:t>1.</w:t>
      </w:r>
      <w:r w:rsidRPr="00E26C8E">
        <w:rPr>
          <w:rFonts w:eastAsia="Times New Roman"/>
          <w:szCs w:val="17"/>
        </w:rPr>
        <w:tab/>
        <w:t>a statement—</w:t>
      </w:r>
    </w:p>
    <w:p w:rsidR="00E26C8E" w:rsidRPr="00E26C8E" w:rsidRDefault="00E26C8E" w:rsidP="00E26C8E">
      <w:pPr>
        <w:ind w:left="709" w:hanging="283"/>
        <w:rPr>
          <w:rFonts w:eastAsia="Times New Roman"/>
          <w:szCs w:val="17"/>
        </w:rPr>
      </w:pPr>
      <w:r w:rsidRPr="00E26C8E">
        <w:rPr>
          <w:rFonts w:eastAsia="Times New Roman"/>
          <w:szCs w:val="17"/>
        </w:rPr>
        <w:t>a.</w:t>
      </w:r>
      <w:r w:rsidRPr="00E26C8E">
        <w:rPr>
          <w:rFonts w:eastAsia="Times New Roman"/>
          <w:szCs w:val="17"/>
        </w:rPr>
        <w:tab/>
        <w:t>outlining the exploration operations carried out under the exploration licence within a period prescribed by the regulations; and</w:t>
      </w:r>
    </w:p>
    <w:p w:rsidR="00E26C8E" w:rsidRPr="00E26C8E" w:rsidRDefault="00E26C8E" w:rsidP="00E26C8E">
      <w:pPr>
        <w:ind w:left="709" w:hanging="283"/>
        <w:rPr>
          <w:rFonts w:eastAsia="Times New Roman"/>
          <w:szCs w:val="17"/>
        </w:rPr>
      </w:pPr>
      <w:r w:rsidRPr="00E26C8E">
        <w:rPr>
          <w:rFonts w:eastAsia="Times New Roman"/>
          <w:szCs w:val="17"/>
        </w:rPr>
        <w:t>b.</w:t>
      </w:r>
      <w:r w:rsidRPr="00E26C8E">
        <w:rPr>
          <w:rFonts w:eastAsia="Times New Roman"/>
          <w:szCs w:val="17"/>
        </w:rPr>
        <w:tab/>
        <w:t>declaring the amount of expenditure incurred in carrying out those operations; and</w:t>
      </w:r>
    </w:p>
    <w:p w:rsidR="00E26C8E" w:rsidRPr="00E26C8E" w:rsidRDefault="00E26C8E" w:rsidP="00E26C8E">
      <w:pPr>
        <w:ind w:left="426" w:hanging="284"/>
        <w:rPr>
          <w:rFonts w:eastAsia="Times New Roman"/>
          <w:szCs w:val="17"/>
        </w:rPr>
      </w:pPr>
      <w:r w:rsidRPr="00E26C8E">
        <w:rPr>
          <w:rFonts w:eastAsia="Times New Roman"/>
          <w:szCs w:val="17"/>
        </w:rPr>
        <w:t>2.</w:t>
      </w:r>
      <w:r w:rsidRPr="00E26C8E">
        <w:rPr>
          <w:rFonts w:eastAsia="Times New Roman"/>
          <w:szCs w:val="17"/>
        </w:rPr>
        <w:tab/>
        <w:t>a statement—</w:t>
      </w:r>
    </w:p>
    <w:p w:rsidR="00E26C8E" w:rsidRPr="00E26C8E" w:rsidRDefault="00E26C8E" w:rsidP="00E26C8E">
      <w:pPr>
        <w:ind w:left="709" w:hanging="283"/>
        <w:rPr>
          <w:rFonts w:eastAsia="Times New Roman"/>
          <w:szCs w:val="17"/>
        </w:rPr>
      </w:pPr>
      <w:r w:rsidRPr="00E26C8E">
        <w:rPr>
          <w:rFonts w:eastAsia="Times New Roman"/>
          <w:szCs w:val="17"/>
        </w:rPr>
        <w:t>a.</w:t>
      </w:r>
      <w:r w:rsidRPr="00E26C8E">
        <w:rPr>
          <w:rFonts w:eastAsia="Times New Roman"/>
          <w:szCs w:val="17"/>
        </w:rPr>
        <w:tab/>
        <w:t>outlining the exploration operations that the tenement holder intends to carry out under the exploration licence over an ensuing period prescribed by the regulations; and</w:t>
      </w:r>
    </w:p>
    <w:p w:rsidR="00E26C8E" w:rsidRPr="00E26C8E" w:rsidRDefault="00E26C8E" w:rsidP="00E26C8E">
      <w:pPr>
        <w:ind w:left="709" w:hanging="283"/>
        <w:rPr>
          <w:rFonts w:eastAsia="Times New Roman"/>
          <w:szCs w:val="17"/>
        </w:rPr>
      </w:pPr>
      <w:r w:rsidRPr="00E26C8E">
        <w:rPr>
          <w:rFonts w:eastAsia="Times New Roman"/>
          <w:szCs w:val="17"/>
        </w:rPr>
        <w:t>b.</w:t>
      </w:r>
      <w:r w:rsidRPr="00E26C8E">
        <w:rPr>
          <w:rFonts w:eastAsia="Times New Roman"/>
          <w:szCs w:val="17"/>
        </w:rPr>
        <w:tab/>
        <w:t>declaring the amount of expenditure that is estimated to be incurred in carrying out those operations.</w:t>
      </w:r>
    </w:p>
    <w:p w:rsidR="00E26C8E" w:rsidRPr="00E26C8E" w:rsidRDefault="00E26C8E" w:rsidP="00E26C8E">
      <w:pPr>
        <w:rPr>
          <w:rFonts w:eastAsia="Times New Roman"/>
          <w:szCs w:val="17"/>
        </w:rPr>
      </w:pPr>
      <w:r w:rsidRPr="00E26C8E">
        <w:rPr>
          <w:rFonts w:eastAsia="Times New Roman"/>
          <w:szCs w:val="17"/>
        </w:rPr>
        <w:t xml:space="preserve">TAKE notice that I, Daniel van Holst Pellekaan, Minister for Energy and Mining, pursuant to section 30AAA(3) of the </w:t>
      </w:r>
      <w:r w:rsidRPr="00E26C8E">
        <w:rPr>
          <w:rFonts w:eastAsia="Times New Roman"/>
          <w:i/>
          <w:szCs w:val="17"/>
        </w:rPr>
        <w:t>Mining Act 1971</w:t>
      </w:r>
      <w:r w:rsidRPr="00E26C8E">
        <w:rPr>
          <w:rFonts w:eastAsia="Times New Roman"/>
          <w:szCs w:val="17"/>
        </w:rPr>
        <w:t xml:space="preserve"> do hereby:</w:t>
      </w:r>
    </w:p>
    <w:p w:rsidR="00E26C8E" w:rsidRPr="00E26C8E" w:rsidRDefault="00E26C8E" w:rsidP="00E26C8E">
      <w:pPr>
        <w:ind w:left="142"/>
        <w:rPr>
          <w:rFonts w:eastAsia="Times New Roman"/>
          <w:szCs w:val="17"/>
        </w:rPr>
      </w:pPr>
      <w:r w:rsidRPr="00E26C8E">
        <w:rPr>
          <w:rFonts w:eastAsia="Times New Roman"/>
          <w:szCs w:val="17"/>
        </w:rPr>
        <w:t xml:space="preserve">DETERMINE that a return under section 30AAA(3) of the </w:t>
      </w:r>
      <w:r w:rsidRPr="00E26C8E">
        <w:rPr>
          <w:rFonts w:eastAsia="Times New Roman"/>
          <w:i/>
          <w:szCs w:val="17"/>
        </w:rPr>
        <w:t>Mining Act 1971</w:t>
      </w:r>
      <w:r w:rsidRPr="00E26C8E">
        <w:rPr>
          <w:rFonts w:eastAsia="Times New Roman"/>
          <w:szCs w:val="17"/>
        </w:rPr>
        <w:t xml:space="preserve"> must be in the following manner and form:</w:t>
      </w:r>
    </w:p>
    <w:p w:rsidR="00E26C8E" w:rsidRPr="00E26C8E" w:rsidRDefault="00E26C8E" w:rsidP="00E26C8E">
      <w:pPr>
        <w:ind w:left="567" w:hanging="284"/>
        <w:rPr>
          <w:rFonts w:eastAsia="Times New Roman"/>
          <w:szCs w:val="17"/>
        </w:rPr>
      </w:pPr>
      <w:r w:rsidRPr="00E26C8E">
        <w:rPr>
          <w:rFonts w:eastAsia="Times New Roman"/>
          <w:szCs w:val="17"/>
        </w:rPr>
        <w:t>1.</w:t>
      </w:r>
      <w:r w:rsidRPr="00E26C8E">
        <w:rPr>
          <w:rFonts w:eastAsia="Times New Roman"/>
          <w:szCs w:val="17"/>
        </w:rPr>
        <w:tab/>
        <w:t>provide the exploration licence number;</w:t>
      </w:r>
    </w:p>
    <w:p w:rsidR="00E26C8E" w:rsidRPr="00E26C8E" w:rsidRDefault="00E26C8E" w:rsidP="00E26C8E">
      <w:pPr>
        <w:ind w:left="567" w:hanging="284"/>
        <w:rPr>
          <w:rFonts w:eastAsia="Times New Roman"/>
          <w:szCs w:val="17"/>
        </w:rPr>
      </w:pPr>
      <w:r w:rsidRPr="00E26C8E">
        <w:rPr>
          <w:rFonts w:eastAsia="Times New Roman"/>
          <w:szCs w:val="17"/>
        </w:rPr>
        <w:t>2.</w:t>
      </w:r>
      <w:r w:rsidRPr="00E26C8E">
        <w:rPr>
          <w:rFonts w:eastAsia="Times New Roman"/>
          <w:szCs w:val="17"/>
        </w:rPr>
        <w:tab/>
        <w:t>name of tenement holder (company or individual): list all tenement holders and their percentage share in the exploration licence;</w:t>
      </w:r>
    </w:p>
    <w:p w:rsidR="00E26C8E" w:rsidRPr="00E26C8E" w:rsidRDefault="00E26C8E" w:rsidP="00E26C8E">
      <w:pPr>
        <w:ind w:left="567" w:hanging="284"/>
        <w:rPr>
          <w:rFonts w:eastAsia="Times New Roman"/>
          <w:szCs w:val="17"/>
        </w:rPr>
      </w:pPr>
      <w:r w:rsidRPr="00E26C8E">
        <w:rPr>
          <w:rFonts w:eastAsia="Times New Roman"/>
          <w:szCs w:val="17"/>
        </w:rPr>
        <w:t>3.</w:t>
      </w:r>
      <w:r w:rsidRPr="00E26C8E">
        <w:rPr>
          <w:rFonts w:eastAsia="Times New Roman"/>
          <w:szCs w:val="17"/>
        </w:rPr>
        <w:tab/>
        <w:t>details of contact person, including name, address, contact numbers, email address, authorisation from tenement holder if contact person is an agent or tenement manager, and demonstrate whether that person consents to receiving tenement related correspondence via electronic means;</w:t>
      </w:r>
    </w:p>
    <w:p w:rsidR="00E26C8E" w:rsidRPr="00E26C8E" w:rsidRDefault="00E26C8E" w:rsidP="00E26C8E">
      <w:pPr>
        <w:ind w:left="567" w:hanging="284"/>
        <w:rPr>
          <w:rFonts w:eastAsia="Times New Roman"/>
          <w:szCs w:val="17"/>
        </w:rPr>
      </w:pPr>
      <w:r w:rsidRPr="00E26C8E">
        <w:rPr>
          <w:rFonts w:eastAsia="Times New Roman"/>
          <w:szCs w:val="17"/>
        </w:rPr>
        <w:t>4.</w:t>
      </w:r>
      <w:r w:rsidRPr="00E26C8E">
        <w:rPr>
          <w:rFonts w:eastAsia="Times New Roman"/>
          <w:szCs w:val="17"/>
        </w:rPr>
        <w:tab/>
        <w:t>A statement under 30AAA(3)(a) with the following information:</w:t>
      </w:r>
    </w:p>
    <w:p w:rsidR="00E26C8E" w:rsidRPr="00E26C8E" w:rsidRDefault="00E26C8E" w:rsidP="00E26C8E">
      <w:pPr>
        <w:ind w:left="851" w:hanging="283"/>
        <w:rPr>
          <w:rFonts w:eastAsia="Times New Roman"/>
          <w:szCs w:val="17"/>
        </w:rPr>
      </w:pPr>
      <w:r w:rsidRPr="00E26C8E">
        <w:rPr>
          <w:rFonts w:eastAsia="Times New Roman"/>
          <w:szCs w:val="17"/>
        </w:rPr>
        <w:t>a.</w:t>
      </w:r>
      <w:r w:rsidRPr="00E26C8E">
        <w:rPr>
          <w:rFonts w:eastAsia="Times New Roman"/>
          <w:szCs w:val="17"/>
        </w:rPr>
        <w:tab/>
        <w:t>statement period start and end date;</w:t>
      </w:r>
    </w:p>
    <w:p w:rsidR="00E26C8E" w:rsidRPr="00E26C8E" w:rsidRDefault="00E26C8E" w:rsidP="00E26C8E">
      <w:pPr>
        <w:ind w:left="851" w:hanging="283"/>
        <w:rPr>
          <w:rFonts w:eastAsia="Times New Roman"/>
          <w:szCs w:val="17"/>
        </w:rPr>
      </w:pPr>
      <w:r w:rsidRPr="00E26C8E">
        <w:rPr>
          <w:rFonts w:eastAsia="Times New Roman"/>
          <w:szCs w:val="17"/>
        </w:rPr>
        <w:t>b.</w:t>
      </w:r>
      <w:r w:rsidRPr="00E26C8E">
        <w:rPr>
          <w:rFonts w:eastAsia="Times New Roman"/>
          <w:szCs w:val="17"/>
        </w:rPr>
        <w:tab/>
        <w:t>in declaring the amount of expenditure incurred in carrying out the exploration operations, provide detail on any shortfall realised during the statement period;</w:t>
      </w:r>
    </w:p>
    <w:p w:rsidR="00E26C8E" w:rsidRPr="00E26C8E" w:rsidRDefault="00E26C8E" w:rsidP="00E26C8E">
      <w:pPr>
        <w:ind w:left="851" w:hanging="283"/>
        <w:rPr>
          <w:rFonts w:eastAsia="Times New Roman"/>
          <w:szCs w:val="17"/>
        </w:rPr>
      </w:pPr>
      <w:r w:rsidRPr="00E26C8E">
        <w:rPr>
          <w:rFonts w:eastAsia="Times New Roman"/>
          <w:szCs w:val="17"/>
        </w:rPr>
        <w:t>c.</w:t>
      </w:r>
      <w:r w:rsidRPr="00E26C8E">
        <w:rPr>
          <w:rFonts w:eastAsia="Times New Roman"/>
          <w:szCs w:val="17"/>
        </w:rPr>
        <w:tab/>
        <w:t>in outlining the exploration operations required under section 30AAA(3)(a)(i), provide:</w:t>
      </w:r>
    </w:p>
    <w:p w:rsidR="00E26C8E" w:rsidRPr="00E26C8E" w:rsidRDefault="00E26C8E" w:rsidP="00E26C8E">
      <w:pPr>
        <w:ind w:left="1134" w:hanging="283"/>
        <w:rPr>
          <w:rFonts w:eastAsia="Times New Roman"/>
          <w:szCs w:val="17"/>
        </w:rPr>
      </w:pPr>
      <w:r w:rsidRPr="00E26C8E">
        <w:rPr>
          <w:rFonts w:eastAsia="Times New Roman"/>
          <w:szCs w:val="17"/>
        </w:rPr>
        <w:t>i.</w:t>
      </w:r>
      <w:r w:rsidRPr="00E26C8E">
        <w:rPr>
          <w:rFonts w:eastAsia="Times New Roman"/>
          <w:szCs w:val="17"/>
        </w:rPr>
        <w:tab/>
        <w:t xml:space="preserve">a summary of the exploration operations carried out and results in relation to the testing of the exploration model provided under regulation 23(1)(c) or regulation 28(1)(c) of the </w:t>
      </w:r>
      <w:r w:rsidRPr="00E26C8E">
        <w:rPr>
          <w:rFonts w:eastAsia="Times New Roman"/>
          <w:i/>
          <w:szCs w:val="17"/>
        </w:rPr>
        <w:t>Mining Regulations 2020</w:t>
      </w:r>
      <w:r w:rsidRPr="00E26C8E">
        <w:rPr>
          <w:rFonts w:eastAsia="Times New Roman"/>
          <w:szCs w:val="17"/>
        </w:rPr>
        <w:t xml:space="preserve"> (including any updates to the model); and</w:t>
      </w:r>
    </w:p>
    <w:p w:rsidR="00E26C8E" w:rsidRPr="00E26C8E" w:rsidRDefault="00E26C8E" w:rsidP="00E26C8E">
      <w:pPr>
        <w:ind w:left="1134" w:hanging="283"/>
        <w:rPr>
          <w:rFonts w:eastAsia="Times New Roman"/>
          <w:szCs w:val="17"/>
        </w:rPr>
      </w:pPr>
      <w:r w:rsidRPr="00E26C8E">
        <w:rPr>
          <w:rFonts w:eastAsia="Times New Roman"/>
          <w:szCs w:val="17"/>
        </w:rPr>
        <w:t>ii.</w:t>
      </w:r>
      <w:r w:rsidRPr="00E26C8E">
        <w:rPr>
          <w:rFonts w:eastAsia="Times New Roman"/>
          <w:szCs w:val="17"/>
        </w:rPr>
        <w:tab/>
        <w:t>a detailed itemised cost breakdown of the nature of the expenditure in relation to the specific exploration operations.</w:t>
      </w:r>
    </w:p>
    <w:p w:rsidR="00E26C8E" w:rsidRPr="00E26C8E" w:rsidRDefault="00E26C8E" w:rsidP="00E26C8E">
      <w:pPr>
        <w:ind w:left="567" w:hanging="284"/>
        <w:rPr>
          <w:rFonts w:eastAsia="Times New Roman"/>
          <w:szCs w:val="17"/>
        </w:rPr>
      </w:pPr>
      <w:r w:rsidRPr="00E26C8E">
        <w:rPr>
          <w:rFonts w:eastAsia="Times New Roman"/>
          <w:szCs w:val="17"/>
        </w:rPr>
        <w:t>5.</w:t>
      </w:r>
      <w:r w:rsidRPr="00E26C8E">
        <w:rPr>
          <w:rFonts w:eastAsia="Times New Roman"/>
          <w:szCs w:val="17"/>
        </w:rPr>
        <w:tab/>
        <w:t>A statement under 30AAA(3)(b) with the following information:</w:t>
      </w:r>
    </w:p>
    <w:p w:rsidR="00E26C8E" w:rsidRPr="00E26C8E" w:rsidRDefault="00E26C8E" w:rsidP="00E26C8E">
      <w:pPr>
        <w:ind w:left="851" w:hanging="283"/>
        <w:rPr>
          <w:rFonts w:eastAsia="Times New Roman"/>
          <w:szCs w:val="17"/>
        </w:rPr>
      </w:pPr>
      <w:r w:rsidRPr="00E26C8E">
        <w:rPr>
          <w:rFonts w:eastAsia="Times New Roman"/>
          <w:szCs w:val="17"/>
        </w:rPr>
        <w:t>a.</w:t>
      </w:r>
      <w:r w:rsidRPr="00E26C8E">
        <w:rPr>
          <w:rFonts w:eastAsia="Times New Roman"/>
          <w:szCs w:val="17"/>
        </w:rPr>
        <w:tab/>
        <w:t>statement period start and end date; and</w:t>
      </w:r>
    </w:p>
    <w:p w:rsidR="00E26C8E" w:rsidRPr="00E26C8E" w:rsidRDefault="00E26C8E" w:rsidP="00E26C8E">
      <w:pPr>
        <w:ind w:left="851" w:hanging="283"/>
        <w:rPr>
          <w:rFonts w:eastAsia="Times New Roman"/>
          <w:szCs w:val="17"/>
        </w:rPr>
      </w:pPr>
      <w:r w:rsidRPr="00E26C8E">
        <w:rPr>
          <w:rFonts w:eastAsia="Times New Roman"/>
          <w:szCs w:val="17"/>
        </w:rPr>
        <w:t>b.</w:t>
      </w:r>
      <w:r w:rsidRPr="00E26C8E">
        <w:rPr>
          <w:rFonts w:eastAsia="Times New Roman"/>
          <w:szCs w:val="17"/>
        </w:rPr>
        <w:tab/>
        <w:t>where a shortfall has been declared in the previous statement period—declare whether the shortfall is subject to a deferment or variation application; and</w:t>
      </w:r>
    </w:p>
    <w:p w:rsidR="00E26C8E" w:rsidRPr="00E26C8E" w:rsidRDefault="00E26C8E" w:rsidP="00E26C8E">
      <w:pPr>
        <w:ind w:left="851" w:hanging="283"/>
        <w:rPr>
          <w:rFonts w:eastAsia="Times New Roman"/>
          <w:szCs w:val="17"/>
        </w:rPr>
      </w:pPr>
      <w:r w:rsidRPr="00E26C8E">
        <w:rPr>
          <w:rFonts w:eastAsia="Times New Roman"/>
          <w:szCs w:val="17"/>
        </w:rPr>
        <w:t>c.</w:t>
      </w:r>
      <w:r w:rsidRPr="00E26C8E">
        <w:rPr>
          <w:rFonts w:eastAsia="Times New Roman"/>
          <w:szCs w:val="17"/>
        </w:rPr>
        <w:tab/>
        <w:t>in outlining the exploration operations intended to be carried out under section 30AAA(3)(b)(i), provide:</w:t>
      </w:r>
    </w:p>
    <w:p w:rsidR="00E26C8E" w:rsidRPr="00E26C8E" w:rsidRDefault="00E26C8E" w:rsidP="00E26C8E">
      <w:pPr>
        <w:ind w:left="1134" w:hanging="283"/>
        <w:rPr>
          <w:rFonts w:eastAsia="Times New Roman"/>
          <w:szCs w:val="17"/>
        </w:rPr>
      </w:pPr>
      <w:r w:rsidRPr="00E26C8E">
        <w:rPr>
          <w:rFonts w:eastAsia="Times New Roman"/>
          <w:szCs w:val="17"/>
        </w:rPr>
        <w:t>i.</w:t>
      </w:r>
      <w:r w:rsidRPr="00E26C8E">
        <w:rPr>
          <w:rFonts w:eastAsia="Times New Roman"/>
          <w:szCs w:val="17"/>
        </w:rPr>
        <w:tab/>
        <w:t xml:space="preserve">a summary of the exploration operations intended to be carried out in testing of the exploration model provided under regulation 23(1)(c) or regulation 28(1)(c) of the </w:t>
      </w:r>
      <w:r w:rsidRPr="00E26C8E">
        <w:rPr>
          <w:rFonts w:eastAsia="Times New Roman"/>
          <w:i/>
          <w:szCs w:val="17"/>
        </w:rPr>
        <w:t>Mining Regulations 2020</w:t>
      </w:r>
      <w:r w:rsidRPr="00E26C8E">
        <w:rPr>
          <w:rFonts w:eastAsia="Times New Roman"/>
          <w:szCs w:val="17"/>
        </w:rPr>
        <w:t xml:space="preserve"> and any updates to that model since provided under the Regulations; and</w:t>
      </w:r>
    </w:p>
    <w:p w:rsidR="00E26C8E" w:rsidRPr="00E26C8E" w:rsidRDefault="00E26C8E" w:rsidP="00E26C8E">
      <w:pPr>
        <w:ind w:left="1134" w:hanging="283"/>
        <w:rPr>
          <w:rFonts w:eastAsia="Times New Roman"/>
          <w:szCs w:val="17"/>
        </w:rPr>
      </w:pPr>
      <w:r w:rsidRPr="00E26C8E">
        <w:rPr>
          <w:rFonts w:eastAsia="Times New Roman"/>
          <w:szCs w:val="17"/>
        </w:rPr>
        <w:t>ii.</w:t>
      </w:r>
      <w:r w:rsidRPr="00E26C8E">
        <w:rPr>
          <w:rFonts w:eastAsia="Times New Roman"/>
          <w:szCs w:val="17"/>
        </w:rPr>
        <w:tab/>
        <w:t>an itemised cost breakdown of the estimated expenditure in relation to the proposed exploration operations.</w:t>
      </w:r>
    </w:p>
    <w:p w:rsidR="00E26C8E" w:rsidRPr="00E26C8E" w:rsidRDefault="00E26C8E" w:rsidP="00E26C8E">
      <w:pPr>
        <w:rPr>
          <w:rFonts w:eastAsia="Times New Roman"/>
          <w:szCs w:val="17"/>
        </w:rPr>
      </w:pPr>
      <w:r w:rsidRPr="00E26C8E">
        <w:rPr>
          <w:rFonts w:eastAsia="Times New Roman"/>
          <w:szCs w:val="17"/>
        </w:rPr>
        <w:t xml:space="preserve">In accordance with section 30AAA(3) of the </w:t>
      </w:r>
      <w:r w:rsidRPr="00E26C8E">
        <w:rPr>
          <w:rFonts w:eastAsia="Times New Roman"/>
          <w:i/>
          <w:szCs w:val="17"/>
        </w:rPr>
        <w:t>Mining Act 1971</w:t>
      </w:r>
      <w:r w:rsidRPr="00E26C8E">
        <w:rPr>
          <w:rFonts w:eastAsia="Times New Roman"/>
          <w:szCs w:val="17"/>
        </w:rPr>
        <w:t xml:space="preserve"> this notice will have effect from 1 January 2021.</w:t>
      </w:r>
    </w:p>
    <w:p w:rsidR="00E26C8E" w:rsidRPr="00E26C8E" w:rsidRDefault="00E26C8E" w:rsidP="00E26C8E">
      <w:pPr>
        <w:spacing w:after="0"/>
        <w:rPr>
          <w:rFonts w:eastAsia="Times New Roman"/>
          <w:szCs w:val="17"/>
        </w:rPr>
      </w:pPr>
      <w:r w:rsidRPr="00E26C8E">
        <w:rPr>
          <w:rFonts w:eastAsia="Times New Roman"/>
          <w:szCs w:val="17"/>
        </w:rPr>
        <w:t>Dated: 11 December 2020</w:t>
      </w:r>
    </w:p>
    <w:p w:rsidR="00E26C8E" w:rsidRPr="00E26C8E" w:rsidRDefault="00E26C8E" w:rsidP="00E26C8E">
      <w:pPr>
        <w:spacing w:after="0"/>
        <w:jc w:val="right"/>
        <w:rPr>
          <w:rFonts w:eastAsia="Times New Roman"/>
          <w:smallCaps/>
          <w:szCs w:val="20"/>
        </w:rPr>
      </w:pPr>
      <w:r w:rsidRPr="00E26C8E">
        <w:rPr>
          <w:rFonts w:eastAsia="Times New Roman"/>
          <w:smallCaps/>
          <w:szCs w:val="20"/>
        </w:rPr>
        <w:t>Hon. Daniel van Holst Pellekaan</w:t>
      </w:r>
    </w:p>
    <w:p w:rsidR="00E26C8E" w:rsidRPr="00E26C8E" w:rsidRDefault="00E26C8E" w:rsidP="00E26C8E">
      <w:pPr>
        <w:spacing w:after="0"/>
        <w:jc w:val="right"/>
        <w:rPr>
          <w:rFonts w:eastAsia="Times New Roman"/>
          <w:szCs w:val="17"/>
        </w:rPr>
      </w:pPr>
      <w:r w:rsidRPr="00E26C8E">
        <w:rPr>
          <w:rFonts w:eastAsia="Times New Roman"/>
          <w:szCs w:val="17"/>
        </w:rPr>
        <w:t>Minister for Energy and Mining</w:t>
      </w:r>
    </w:p>
    <w:p w:rsidR="00E26C8E" w:rsidRPr="00E26C8E" w:rsidRDefault="00E26C8E" w:rsidP="00E26C8E">
      <w:pPr>
        <w:pBdr>
          <w:top w:val="single" w:sz="4" w:space="1" w:color="auto"/>
        </w:pBdr>
        <w:spacing w:before="100" w:after="0" w:line="14" w:lineRule="exact"/>
        <w:jc w:val="center"/>
        <w:rPr>
          <w:rFonts w:eastAsia="Times New Roman"/>
          <w:szCs w:val="17"/>
        </w:rPr>
      </w:pPr>
    </w:p>
    <w:p w:rsidR="00E26C8E" w:rsidRPr="00E26C8E" w:rsidRDefault="00E26C8E" w:rsidP="00E26C8E">
      <w:pPr>
        <w:spacing w:after="0"/>
        <w:rPr>
          <w:rFonts w:eastAsia="Times New Roman"/>
          <w:szCs w:val="17"/>
        </w:rPr>
      </w:pPr>
    </w:p>
    <w:p w:rsidR="00E26C8E" w:rsidRPr="00E26C8E" w:rsidRDefault="00E26C8E" w:rsidP="00E26C8E">
      <w:pPr>
        <w:spacing w:after="0" w:line="240" w:lineRule="auto"/>
        <w:jc w:val="left"/>
        <w:rPr>
          <w:caps/>
          <w:szCs w:val="17"/>
        </w:rPr>
      </w:pPr>
      <w:r w:rsidRPr="00E26C8E">
        <w:rPr>
          <w:rFonts w:eastAsia="Times New Roman"/>
          <w:szCs w:val="20"/>
        </w:rPr>
        <w:br w:type="page"/>
      </w:r>
    </w:p>
    <w:p w:rsidR="00E26C8E" w:rsidRPr="00E26C8E" w:rsidRDefault="00E26C8E" w:rsidP="00E26C8E">
      <w:pPr>
        <w:jc w:val="center"/>
        <w:rPr>
          <w:caps/>
          <w:szCs w:val="17"/>
        </w:rPr>
      </w:pPr>
      <w:r w:rsidRPr="00E26C8E">
        <w:rPr>
          <w:caps/>
          <w:szCs w:val="17"/>
        </w:rPr>
        <w:t>Mining Act 1971</w:t>
      </w:r>
    </w:p>
    <w:p w:rsidR="00E26C8E" w:rsidRPr="00E26C8E" w:rsidRDefault="00E26C8E" w:rsidP="005549E6">
      <w:pPr>
        <w:pStyle w:val="GG-Title3"/>
      </w:pPr>
      <w:r w:rsidRPr="00E26C8E">
        <w:t>Notice under Section 33B(2) of the Mining Act 1971</w:t>
      </w:r>
    </w:p>
    <w:p w:rsidR="00E26C8E" w:rsidRPr="00E26C8E" w:rsidRDefault="00E26C8E" w:rsidP="00E26C8E">
      <w:pPr>
        <w:rPr>
          <w:rFonts w:eastAsia="Times New Roman"/>
          <w:szCs w:val="17"/>
        </w:rPr>
      </w:pPr>
      <w:r w:rsidRPr="00E26C8E">
        <w:rPr>
          <w:rFonts w:eastAsia="Times New Roman"/>
          <w:szCs w:val="17"/>
        </w:rPr>
        <w:t xml:space="preserve">NOTICE is hereby given pursuant to the provision of section 33B(2) of the </w:t>
      </w:r>
      <w:r w:rsidRPr="00E26C8E">
        <w:rPr>
          <w:rFonts w:eastAsia="Times New Roman"/>
          <w:i/>
          <w:szCs w:val="17"/>
        </w:rPr>
        <w:t>Mining Act 1971</w:t>
      </w:r>
      <w:r w:rsidRPr="00E26C8E">
        <w:rPr>
          <w:rFonts w:eastAsia="Times New Roman"/>
          <w:szCs w:val="17"/>
        </w:rPr>
        <w:t>, to specify the manner and form of an application for retention status.</w:t>
      </w:r>
    </w:p>
    <w:p w:rsidR="00E26C8E" w:rsidRPr="00E26C8E" w:rsidRDefault="00E26C8E" w:rsidP="00E26C8E">
      <w:pPr>
        <w:rPr>
          <w:rFonts w:eastAsia="Times New Roman"/>
          <w:szCs w:val="17"/>
        </w:rPr>
      </w:pPr>
      <w:r w:rsidRPr="00E26C8E">
        <w:rPr>
          <w:rFonts w:eastAsia="Times New Roman"/>
          <w:szCs w:val="17"/>
        </w:rPr>
        <w:t xml:space="preserve">TAKE notice that I, Daniel van Holst Pellekaan, Minister for Energy and Mining, pursuant to section 33B(2) of the </w:t>
      </w:r>
      <w:r w:rsidRPr="00E26C8E">
        <w:rPr>
          <w:rFonts w:eastAsia="Times New Roman"/>
          <w:i/>
          <w:szCs w:val="17"/>
        </w:rPr>
        <w:t>Mining Act 1971</w:t>
      </w:r>
      <w:r w:rsidRPr="00E26C8E">
        <w:rPr>
          <w:rFonts w:eastAsia="Times New Roman"/>
          <w:szCs w:val="17"/>
        </w:rPr>
        <w:t xml:space="preserve"> do hereby:</w:t>
      </w:r>
    </w:p>
    <w:p w:rsidR="00E26C8E" w:rsidRPr="00E26C8E" w:rsidRDefault="00E26C8E" w:rsidP="00E26C8E">
      <w:pPr>
        <w:ind w:left="142"/>
        <w:rPr>
          <w:rFonts w:eastAsia="Times New Roman"/>
          <w:szCs w:val="17"/>
        </w:rPr>
      </w:pPr>
      <w:r w:rsidRPr="00E26C8E">
        <w:rPr>
          <w:rFonts w:eastAsia="Times New Roman"/>
          <w:szCs w:val="17"/>
        </w:rPr>
        <w:t xml:space="preserve">DETERMINE that an application under section 33B(2) of the </w:t>
      </w:r>
      <w:r w:rsidRPr="00E26C8E">
        <w:rPr>
          <w:rFonts w:eastAsia="Times New Roman"/>
          <w:i/>
          <w:szCs w:val="17"/>
        </w:rPr>
        <w:t>Mining Act 1971</w:t>
      </w:r>
      <w:r w:rsidRPr="00E26C8E">
        <w:rPr>
          <w:rFonts w:eastAsia="Times New Roman"/>
          <w:szCs w:val="17"/>
        </w:rPr>
        <w:t xml:space="preserve"> must be in the following manner and form:</w:t>
      </w:r>
    </w:p>
    <w:p w:rsidR="00E26C8E" w:rsidRPr="00E26C8E" w:rsidRDefault="00E26C8E" w:rsidP="00E26C8E">
      <w:pPr>
        <w:ind w:left="567" w:hanging="283"/>
        <w:rPr>
          <w:rFonts w:eastAsia="Times New Roman"/>
          <w:szCs w:val="17"/>
        </w:rPr>
      </w:pPr>
      <w:r w:rsidRPr="00E26C8E">
        <w:rPr>
          <w:rFonts w:eastAsia="Times New Roman"/>
          <w:szCs w:val="17"/>
        </w:rPr>
        <w:t>a.</w:t>
      </w:r>
      <w:r w:rsidRPr="00E26C8E">
        <w:rPr>
          <w:rFonts w:eastAsia="Times New Roman"/>
          <w:szCs w:val="17"/>
        </w:rPr>
        <w:tab/>
        <w:t>Provide the exploration licence number;</w:t>
      </w:r>
    </w:p>
    <w:p w:rsidR="00E26C8E" w:rsidRPr="00E26C8E" w:rsidRDefault="00E26C8E" w:rsidP="00E26C8E">
      <w:pPr>
        <w:ind w:left="567" w:hanging="283"/>
        <w:rPr>
          <w:rFonts w:eastAsia="Times New Roman"/>
          <w:szCs w:val="17"/>
        </w:rPr>
      </w:pPr>
      <w:r w:rsidRPr="00E26C8E">
        <w:rPr>
          <w:rFonts w:eastAsia="Times New Roman"/>
          <w:szCs w:val="17"/>
        </w:rPr>
        <w:t>b.</w:t>
      </w:r>
      <w:r w:rsidRPr="00E26C8E">
        <w:rPr>
          <w:rFonts w:eastAsia="Times New Roman"/>
          <w:szCs w:val="17"/>
        </w:rPr>
        <w:tab/>
        <w:t>Name of tenement holder (company or individual): list all tenement holders and their percentage share in the exploration licence; and</w:t>
      </w:r>
    </w:p>
    <w:p w:rsidR="00E26C8E" w:rsidRPr="00E26C8E" w:rsidRDefault="00E26C8E" w:rsidP="00E26C8E">
      <w:pPr>
        <w:ind w:left="567" w:hanging="283"/>
        <w:rPr>
          <w:rFonts w:eastAsia="Times New Roman"/>
          <w:szCs w:val="17"/>
        </w:rPr>
      </w:pPr>
      <w:r w:rsidRPr="00E26C8E">
        <w:rPr>
          <w:rFonts w:eastAsia="Times New Roman"/>
          <w:szCs w:val="17"/>
        </w:rPr>
        <w:t>c.</w:t>
      </w:r>
      <w:r w:rsidRPr="00E26C8E">
        <w:rPr>
          <w:rFonts w:eastAsia="Times New Roman"/>
          <w:szCs w:val="17"/>
        </w:rPr>
        <w:tab/>
        <w:t>Details of contact person, including name, address, contact numbers, email address, authorisation from tenement holder if contact person is an agent or tenement manager, and demonstrate whether that person consents to receiving tenement related correspondence via electronic means.</w:t>
      </w:r>
    </w:p>
    <w:p w:rsidR="00E26C8E" w:rsidRPr="00E26C8E" w:rsidRDefault="00E26C8E" w:rsidP="00E26C8E">
      <w:pPr>
        <w:rPr>
          <w:rFonts w:eastAsia="Times New Roman"/>
          <w:szCs w:val="17"/>
        </w:rPr>
      </w:pPr>
      <w:r w:rsidRPr="00E26C8E">
        <w:rPr>
          <w:rFonts w:eastAsia="Times New Roman"/>
          <w:szCs w:val="17"/>
        </w:rPr>
        <w:t xml:space="preserve">DETERMINE that the Minister requires that an application for retention status under section 33B of the </w:t>
      </w:r>
      <w:r w:rsidRPr="00E26C8E">
        <w:rPr>
          <w:rFonts w:eastAsia="Times New Roman"/>
          <w:i/>
          <w:szCs w:val="17"/>
        </w:rPr>
        <w:t>Mining Act 1971</w:t>
      </w:r>
      <w:r w:rsidRPr="00E26C8E">
        <w:rPr>
          <w:rFonts w:eastAsia="Times New Roman"/>
          <w:szCs w:val="17"/>
        </w:rPr>
        <w:t xml:space="preserve"> must, in accordance with regulation 26(d) of the </w:t>
      </w:r>
      <w:r w:rsidRPr="00E26C8E">
        <w:rPr>
          <w:rFonts w:eastAsia="Times New Roman"/>
          <w:i/>
          <w:szCs w:val="17"/>
        </w:rPr>
        <w:t>Mining Regulations 2020</w:t>
      </w:r>
      <w:r w:rsidRPr="00E26C8E">
        <w:rPr>
          <w:rFonts w:eastAsia="Times New Roman"/>
          <w:szCs w:val="17"/>
        </w:rPr>
        <w:t xml:space="preserve"> be accompanied by the following information:</w:t>
      </w:r>
    </w:p>
    <w:p w:rsidR="00E26C8E" w:rsidRPr="00E26C8E" w:rsidRDefault="00E26C8E" w:rsidP="00E26C8E">
      <w:pPr>
        <w:ind w:left="567" w:hanging="283"/>
        <w:rPr>
          <w:rFonts w:eastAsia="Times New Roman"/>
          <w:szCs w:val="17"/>
        </w:rPr>
      </w:pPr>
      <w:r w:rsidRPr="00E26C8E">
        <w:rPr>
          <w:rFonts w:eastAsia="Times New Roman"/>
          <w:szCs w:val="17"/>
        </w:rPr>
        <w:t>a.</w:t>
      </w:r>
      <w:r w:rsidRPr="00E26C8E">
        <w:rPr>
          <w:rFonts w:eastAsia="Times New Roman"/>
          <w:szCs w:val="17"/>
        </w:rPr>
        <w:tab/>
        <w:t xml:space="preserve">A work program in accordance with section 33B(10) of the </w:t>
      </w:r>
      <w:r w:rsidRPr="00E26C8E">
        <w:rPr>
          <w:rFonts w:eastAsia="Times New Roman"/>
          <w:i/>
          <w:szCs w:val="17"/>
        </w:rPr>
        <w:t>Mining Act 1971</w:t>
      </w:r>
      <w:r w:rsidRPr="00E26C8E">
        <w:rPr>
          <w:rFonts w:eastAsia="Times New Roman"/>
          <w:szCs w:val="17"/>
        </w:rPr>
        <w:t>.</w:t>
      </w:r>
    </w:p>
    <w:p w:rsidR="00E26C8E" w:rsidRPr="00E26C8E" w:rsidRDefault="00E26C8E" w:rsidP="00E26C8E">
      <w:pPr>
        <w:rPr>
          <w:rFonts w:eastAsia="Times New Roman"/>
          <w:szCs w:val="17"/>
        </w:rPr>
      </w:pPr>
      <w:r w:rsidRPr="00E26C8E">
        <w:rPr>
          <w:rFonts w:eastAsia="Times New Roman"/>
          <w:szCs w:val="17"/>
        </w:rPr>
        <w:t xml:space="preserve">In accordance with section 33B(2) of the </w:t>
      </w:r>
      <w:r w:rsidRPr="00E26C8E">
        <w:rPr>
          <w:rFonts w:eastAsia="Times New Roman"/>
          <w:i/>
          <w:szCs w:val="17"/>
        </w:rPr>
        <w:t>Mining Act 1971</w:t>
      </w:r>
      <w:r w:rsidRPr="00E26C8E">
        <w:rPr>
          <w:rFonts w:eastAsia="Times New Roman"/>
          <w:szCs w:val="17"/>
        </w:rPr>
        <w:t xml:space="preserve"> this notice will have effect from 1 January 2021.</w:t>
      </w:r>
    </w:p>
    <w:p w:rsidR="00E26C8E" w:rsidRPr="00E26C8E" w:rsidRDefault="00E26C8E" w:rsidP="00E26C8E">
      <w:pPr>
        <w:spacing w:after="0"/>
        <w:rPr>
          <w:rFonts w:eastAsia="Times New Roman"/>
          <w:szCs w:val="17"/>
        </w:rPr>
      </w:pPr>
      <w:r w:rsidRPr="00E26C8E">
        <w:rPr>
          <w:rFonts w:eastAsia="Times New Roman"/>
          <w:szCs w:val="17"/>
        </w:rPr>
        <w:t>Dated: 11 December 2020</w:t>
      </w:r>
    </w:p>
    <w:p w:rsidR="00E26C8E" w:rsidRPr="00E26C8E" w:rsidRDefault="00E26C8E" w:rsidP="00E26C8E">
      <w:pPr>
        <w:spacing w:after="0"/>
        <w:jc w:val="right"/>
        <w:rPr>
          <w:rFonts w:eastAsia="Times New Roman"/>
          <w:smallCaps/>
          <w:szCs w:val="20"/>
        </w:rPr>
      </w:pPr>
      <w:r w:rsidRPr="00E26C8E">
        <w:rPr>
          <w:rFonts w:eastAsia="Times New Roman"/>
          <w:smallCaps/>
          <w:szCs w:val="20"/>
        </w:rPr>
        <w:t>Hon. Daniel van Holst Pellekaan</w:t>
      </w:r>
    </w:p>
    <w:p w:rsidR="00E26C8E" w:rsidRPr="00E26C8E" w:rsidRDefault="00E26C8E" w:rsidP="00E26C8E">
      <w:pPr>
        <w:spacing w:after="0"/>
        <w:jc w:val="right"/>
        <w:rPr>
          <w:rFonts w:eastAsia="Times New Roman"/>
          <w:szCs w:val="17"/>
        </w:rPr>
      </w:pPr>
      <w:r w:rsidRPr="00E26C8E">
        <w:rPr>
          <w:rFonts w:eastAsia="Times New Roman"/>
          <w:szCs w:val="17"/>
        </w:rPr>
        <w:t>Minister for Energy and Mining</w:t>
      </w:r>
    </w:p>
    <w:p w:rsidR="00E26C8E" w:rsidRPr="00E26C8E" w:rsidRDefault="00E26C8E" w:rsidP="00E26C8E">
      <w:pPr>
        <w:pBdr>
          <w:top w:val="single" w:sz="4" w:space="1" w:color="auto"/>
        </w:pBdr>
        <w:spacing w:before="100" w:after="0" w:line="14" w:lineRule="exact"/>
        <w:jc w:val="center"/>
        <w:rPr>
          <w:rFonts w:eastAsia="Times New Roman"/>
          <w:szCs w:val="17"/>
        </w:rPr>
      </w:pPr>
    </w:p>
    <w:p w:rsidR="00E26C8E" w:rsidRPr="00E26C8E" w:rsidRDefault="00E26C8E" w:rsidP="00E26C8E">
      <w:pPr>
        <w:spacing w:after="0"/>
        <w:rPr>
          <w:rFonts w:eastAsia="Times New Roman"/>
          <w:szCs w:val="17"/>
        </w:rPr>
      </w:pPr>
    </w:p>
    <w:p w:rsidR="00E26C8E" w:rsidRPr="00E26C8E" w:rsidRDefault="00E26C8E" w:rsidP="00E26C8E">
      <w:pPr>
        <w:jc w:val="center"/>
        <w:rPr>
          <w:caps/>
          <w:szCs w:val="17"/>
        </w:rPr>
      </w:pPr>
      <w:r w:rsidRPr="00E26C8E">
        <w:rPr>
          <w:caps/>
          <w:szCs w:val="17"/>
        </w:rPr>
        <w:t>Mining Act 1971</w:t>
      </w:r>
    </w:p>
    <w:p w:rsidR="00E26C8E" w:rsidRPr="00E26C8E" w:rsidRDefault="00E26C8E" w:rsidP="005549E6">
      <w:pPr>
        <w:pStyle w:val="GG-Title3"/>
      </w:pPr>
      <w:r w:rsidRPr="00E26C8E">
        <w:t>Notice under Section 38(3) of the Mining Act 1971</w:t>
      </w:r>
    </w:p>
    <w:p w:rsidR="00E26C8E" w:rsidRPr="00E26C8E" w:rsidRDefault="00E26C8E" w:rsidP="00E26C8E">
      <w:pPr>
        <w:rPr>
          <w:rFonts w:eastAsia="Times New Roman"/>
          <w:szCs w:val="17"/>
        </w:rPr>
      </w:pPr>
      <w:r w:rsidRPr="00E26C8E">
        <w:rPr>
          <w:rFonts w:eastAsia="Times New Roman"/>
          <w:szCs w:val="17"/>
        </w:rPr>
        <w:t xml:space="preserve">NOTICE is hereby given pursuant to the provision of section 38(3) of the </w:t>
      </w:r>
      <w:r w:rsidRPr="00E26C8E">
        <w:rPr>
          <w:rFonts w:eastAsia="Times New Roman"/>
          <w:i/>
          <w:szCs w:val="17"/>
        </w:rPr>
        <w:t>Mining Act 1971</w:t>
      </w:r>
      <w:r w:rsidRPr="00E26C8E">
        <w:rPr>
          <w:rFonts w:eastAsia="Times New Roman"/>
          <w:szCs w:val="17"/>
        </w:rPr>
        <w:t>, to specify the manner and form of an application for renewal of a mining lease under section 38(2) of the</w:t>
      </w:r>
      <w:r w:rsidRPr="00E26C8E">
        <w:rPr>
          <w:rFonts w:eastAsia="Times New Roman"/>
          <w:i/>
          <w:szCs w:val="17"/>
        </w:rPr>
        <w:t xml:space="preserve"> Mining Act 1971.</w:t>
      </w:r>
    </w:p>
    <w:p w:rsidR="00E26C8E" w:rsidRPr="00E26C8E" w:rsidRDefault="00E26C8E" w:rsidP="00E26C8E">
      <w:pPr>
        <w:rPr>
          <w:rFonts w:eastAsia="Times New Roman"/>
          <w:szCs w:val="17"/>
        </w:rPr>
      </w:pPr>
      <w:r w:rsidRPr="00E26C8E">
        <w:rPr>
          <w:rFonts w:eastAsia="Times New Roman"/>
          <w:szCs w:val="17"/>
        </w:rPr>
        <w:t>TAKE notice that I, Daniel van Holst Pellekaan, Minister for Energy and Mining, pursuant to section 38(3) of the</w:t>
      </w:r>
      <w:r w:rsidRPr="00E26C8E">
        <w:rPr>
          <w:rFonts w:eastAsia="Times New Roman"/>
          <w:i/>
          <w:szCs w:val="17"/>
        </w:rPr>
        <w:t xml:space="preserve"> Mining Act 1971 </w:t>
      </w:r>
      <w:r w:rsidRPr="00E26C8E">
        <w:rPr>
          <w:rFonts w:eastAsia="Times New Roman"/>
          <w:szCs w:val="17"/>
        </w:rPr>
        <w:t>do hereby:</w:t>
      </w:r>
    </w:p>
    <w:p w:rsidR="00E26C8E" w:rsidRPr="00E26C8E" w:rsidRDefault="00E26C8E" w:rsidP="00E26C8E">
      <w:pPr>
        <w:ind w:left="142"/>
        <w:rPr>
          <w:rFonts w:eastAsia="Times New Roman"/>
          <w:szCs w:val="17"/>
        </w:rPr>
      </w:pPr>
      <w:r w:rsidRPr="00E26C8E">
        <w:rPr>
          <w:rFonts w:eastAsia="Times New Roman"/>
          <w:szCs w:val="17"/>
        </w:rPr>
        <w:t>DETERMINE that an application for a mining lease must be in the following manner and form:</w:t>
      </w:r>
    </w:p>
    <w:p w:rsidR="00E26C8E" w:rsidRPr="00E26C8E" w:rsidRDefault="00E26C8E" w:rsidP="00E26C8E">
      <w:pPr>
        <w:ind w:left="567" w:hanging="283"/>
        <w:rPr>
          <w:rFonts w:eastAsia="Times New Roman"/>
          <w:szCs w:val="17"/>
        </w:rPr>
      </w:pPr>
      <w:r w:rsidRPr="00E26C8E">
        <w:rPr>
          <w:rFonts w:eastAsia="Times New Roman"/>
          <w:szCs w:val="17"/>
        </w:rPr>
        <w:t>1.</w:t>
      </w:r>
      <w:r w:rsidRPr="00E26C8E">
        <w:rPr>
          <w:rFonts w:eastAsia="Times New Roman"/>
          <w:szCs w:val="17"/>
        </w:rPr>
        <w:tab/>
        <w:t>state the full name(s) and business address(es) of the tenement holder(s), include percentage share (if relevant);</w:t>
      </w:r>
    </w:p>
    <w:p w:rsidR="00E26C8E" w:rsidRPr="00E26C8E" w:rsidRDefault="00E26C8E" w:rsidP="00E26C8E">
      <w:pPr>
        <w:ind w:left="567" w:hanging="283"/>
        <w:rPr>
          <w:rFonts w:eastAsia="Times New Roman"/>
          <w:szCs w:val="17"/>
        </w:rPr>
      </w:pPr>
      <w:r w:rsidRPr="00E26C8E">
        <w:rPr>
          <w:rFonts w:eastAsia="Times New Roman"/>
          <w:szCs w:val="17"/>
        </w:rPr>
        <w:t>2.</w:t>
      </w:r>
      <w:r w:rsidRPr="00E26C8E">
        <w:rPr>
          <w:rFonts w:eastAsia="Times New Roman"/>
          <w:szCs w:val="17"/>
        </w:rPr>
        <w:tab/>
        <w:t>provide the mining lease number(s);</w:t>
      </w:r>
    </w:p>
    <w:p w:rsidR="00E26C8E" w:rsidRPr="00E26C8E" w:rsidRDefault="00E26C8E" w:rsidP="00E26C8E">
      <w:pPr>
        <w:ind w:left="567" w:hanging="283"/>
        <w:rPr>
          <w:rFonts w:eastAsia="Times New Roman"/>
          <w:szCs w:val="17"/>
        </w:rPr>
      </w:pPr>
      <w:r w:rsidRPr="00E26C8E">
        <w:rPr>
          <w:rFonts w:eastAsia="Times New Roman"/>
          <w:szCs w:val="17"/>
        </w:rPr>
        <w:t>3.</w:t>
      </w:r>
      <w:r w:rsidRPr="00E26C8E">
        <w:rPr>
          <w:rFonts w:eastAsia="Times New Roman"/>
          <w:szCs w:val="17"/>
        </w:rPr>
        <w:tab/>
        <w:t>state the term for renewal and provide reasons for the term sought; and</w:t>
      </w:r>
    </w:p>
    <w:p w:rsidR="00E26C8E" w:rsidRPr="00E26C8E" w:rsidRDefault="00E26C8E" w:rsidP="00E26C8E">
      <w:pPr>
        <w:ind w:left="567" w:hanging="283"/>
        <w:rPr>
          <w:rFonts w:eastAsia="Times New Roman"/>
          <w:szCs w:val="17"/>
        </w:rPr>
      </w:pPr>
      <w:r w:rsidRPr="00E26C8E">
        <w:rPr>
          <w:rFonts w:eastAsia="Times New Roman"/>
          <w:szCs w:val="17"/>
        </w:rPr>
        <w:t>4.</w:t>
      </w:r>
      <w:r w:rsidRPr="00E26C8E">
        <w:rPr>
          <w:rFonts w:eastAsia="Times New Roman"/>
          <w:szCs w:val="17"/>
        </w:rPr>
        <w:tab/>
        <w:t>provide details of contact person for the application, including name, address, contact numbers, email address, authorisation from applicant if contact person is an agent or tenement manager, and demonstrate whether that person consents to receiving tenement related correspondence via electronic means.</w:t>
      </w:r>
    </w:p>
    <w:p w:rsidR="00E26C8E" w:rsidRPr="00E26C8E" w:rsidRDefault="00E26C8E" w:rsidP="00E26C8E">
      <w:pPr>
        <w:rPr>
          <w:rFonts w:eastAsia="Times New Roman"/>
          <w:szCs w:val="17"/>
        </w:rPr>
      </w:pPr>
      <w:r w:rsidRPr="00E26C8E">
        <w:rPr>
          <w:rFonts w:eastAsia="Times New Roman"/>
          <w:szCs w:val="17"/>
        </w:rPr>
        <w:t>In accordance with section 38(3) of the</w:t>
      </w:r>
      <w:r w:rsidRPr="00E26C8E">
        <w:rPr>
          <w:rFonts w:eastAsia="Times New Roman"/>
          <w:i/>
          <w:szCs w:val="17"/>
        </w:rPr>
        <w:t xml:space="preserve"> Mining Act 1971 </w:t>
      </w:r>
      <w:r w:rsidRPr="00E26C8E">
        <w:rPr>
          <w:rFonts w:eastAsia="Times New Roman"/>
          <w:szCs w:val="17"/>
        </w:rPr>
        <w:t>this notice will have effect from 1 January 2021.</w:t>
      </w:r>
    </w:p>
    <w:p w:rsidR="00E26C8E" w:rsidRPr="00E26C8E" w:rsidRDefault="00E26C8E" w:rsidP="00E26C8E">
      <w:pPr>
        <w:spacing w:after="0"/>
        <w:rPr>
          <w:rFonts w:eastAsia="Times New Roman"/>
          <w:szCs w:val="17"/>
        </w:rPr>
      </w:pPr>
      <w:r w:rsidRPr="00E26C8E">
        <w:rPr>
          <w:rFonts w:eastAsia="Times New Roman"/>
          <w:szCs w:val="17"/>
        </w:rPr>
        <w:t>Dated: 11 December 2020</w:t>
      </w:r>
    </w:p>
    <w:p w:rsidR="00E26C8E" w:rsidRPr="00E26C8E" w:rsidRDefault="00E26C8E" w:rsidP="00E26C8E">
      <w:pPr>
        <w:spacing w:after="0"/>
        <w:jc w:val="right"/>
        <w:rPr>
          <w:rFonts w:eastAsia="Times New Roman"/>
          <w:smallCaps/>
          <w:szCs w:val="20"/>
        </w:rPr>
      </w:pPr>
      <w:r w:rsidRPr="00E26C8E">
        <w:rPr>
          <w:rFonts w:eastAsia="Times New Roman"/>
          <w:smallCaps/>
          <w:szCs w:val="20"/>
        </w:rPr>
        <w:t>Hon. Daniel van Holst Pellekaan</w:t>
      </w:r>
    </w:p>
    <w:p w:rsidR="00E26C8E" w:rsidRPr="00E26C8E" w:rsidRDefault="00E26C8E" w:rsidP="00E26C8E">
      <w:pPr>
        <w:spacing w:after="0"/>
        <w:jc w:val="right"/>
        <w:rPr>
          <w:rFonts w:eastAsia="Times New Roman"/>
          <w:szCs w:val="17"/>
        </w:rPr>
      </w:pPr>
      <w:r w:rsidRPr="00E26C8E">
        <w:rPr>
          <w:rFonts w:eastAsia="Times New Roman"/>
          <w:szCs w:val="17"/>
        </w:rPr>
        <w:t>Minister for Energy and Mining</w:t>
      </w:r>
    </w:p>
    <w:p w:rsidR="00E26C8E" w:rsidRPr="00E26C8E" w:rsidRDefault="00E26C8E" w:rsidP="00E26C8E">
      <w:pPr>
        <w:pBdr>
          <w:top w:val="single" w:sz="4" w:space="1" w:color="auto"/>
        </w:pBdr>
        <w:spacing w:before="100" w:after="0" w:line="14" w:lineRule="exact"/>
        <w:jc w:val="center"/>
        <w:rPr>
          <w:rFonts w:eastAsia="Times New Roman"/>
          <w:szCs w:val="17"/>
        </w:rPr>
      </w:pPr>
    </w:p>
    <w:p w:rsidR="00E26C8E" w:rsidRPr="00E26C8E" w:rsidRDefault="00E26C8E" w:rsidP="00E26C8E">
      <w:pPr>
        <w:spacing w:after="0"/>
        <w:rPr>
          <w:rFonts w:eastAsia="Times New Roman"/>
          <w:szCs w:val="17"/>
        </w:rPr>
      </w:pPr>
    </w:p>
    <w:p w:rsidR="00E26C8E" w:rsidRPr="00E26C8E" w:rsidRDefault="00E26C8E" w:rsidP="00E26C8E">
      <w:pPr>
        <w:jc w:val="center"/>
        <w:rPr>
          <w:caps/>
          <w:szCs w:val="17"/>
        </w:rPr>
      </w:pPr>
      <w:r w:rsidRPr="00E26C8E">
        <w:rPr>
          <w:caps/>
          <w:szCs w:val="17"/>
        </w:rPr>
        <w:t>Mining Act 1971</w:t>
      </w:r>
    </w:p>
    <w:p w:rsidR="00E26C8E" w:rsidRPr="00E26C8E" w:rsidRDefault="00E26C8E" w:rsidP="005549E6">
      <w:pPr>
        <w:pStyle w:val="GG-Title3"/>
      </w:pPr>
      <w:r w:rsidRPr="00E26C8E">
        <w:t>Notice under Section 51(3) of the Mining Act 1971</w:t>
      </w:r>
    </w:p>
    <w:p w:rsidR="00E26C8E" w:rsidRPr="00E26C8E" w:rsidRDefault="00E26C8E" w:rsidP="00E26C8E">
      <w:pPr>
        <w:rPr>
          <w:rFonts w:eastAsia="Times New Roman"/>
          <w:szCs w:val="17"/>
        </w:rPr>
      </w:pPr>
      <w:r w:rsidRPr="00E26C8E">
        <w:rPr>
          <w:rFonts w:eastAsia="Times New Roman"/>
          <w:szCs w:val="17"/>
        </w:rPr>
        <w:t>NOTICE is hereby given pursuant to the provision of section 51(3) of the</w:t>
      </w:r>
      <w:r w:rsidRPr="00E26C8E">
        <w:rPr>
          <w:rFonts w:eastAsia="Times New Roman"/>
          <w:i/>
          <w:szCs w:val="17"/>
        </w:rPr>
        <w:t xml:space="preserve"> Mining Act 1971,</w:t>
      </w:r>
      <w:r w:rsidRPr="00E26C8E">
        <w:rPr>
          <w:rFonts w:eastAsia="Times New Roman"/>
          <w:szCs w:val="17"/>
        </w:rPr>
        <w:t xml:space="preserve"> to specify the manner and form of an application for renewal of a miscellaneous purpose licence under section 51(2) of the</w:t>
      </w:r>
      <w:r w:rsidRPr="00E26C8E">
        <w:rPr>
          <w:rFonts w:eastAsia="Times New Roman"/>
          <w:i/>
          <w:szCs w:val="17"/>
        </w:rPr>
        <w:t xml:space="preserve"> Mining Act 1971.</w:t>
      </w:r>
    </w:p>
    <w:p w:rsidR="00E26C8E" w:rsidRPr="00E26C8E" w:rsidRDefault="00E26C8E" w:rsidP="00E26C8E">
      <w:pPr>
        <w:rPr>
          <w:rFonts w:eastAsia="Times New Roman"/>
          <w:szCs w:val="17"/>
        </w:rPr>
      </w:pPr>
      <w:r w:rsidRPr="00E26C8E">
        <w:rPr>
          <w:rFonts w:eastAsia="Times New Roman"/>
          <w:szCs w:val="17"/>
        </w:rPr>
        <w:t>TAKE notice that I, Daniel van Holst Pellekaan, Minister for Energy and Mining, pursuant to section 51(3) of the</w:t>
      </w:r>
      <w:r w:rsidRPr="00E26C8E">
        <w:rPr>
          <w:rFonts w:eastAsia="Times New Roman"/>
          <w:i/>
          <w:szCs w:val="17"/>
        </w:rPr>
        <w:t xml:space="preserve"> Mining Act 1971 </w:t>
      </w:r>
      <w:r w:rsidRPr="00E26C8E">
        <w:rPr>
          <w:rFonts w:eastAsia="Times New Roman"/>
          <w:szCs w:val="17"/>
        </w:rPr>
        <w:t>do hereby:</w:t>
      </w:r>
    </w:p>
    <w:p w:rsidR="00E26C8E" w:rsidRPr="00E26C8E" w:rsidRDefault="00E26C8E" w:rsidP="00E26C8E">
      <w:pPr>
        <w:ind w:left="142"/>
        <w:rPr>
          <w:rFonts w:eastAsia="Times New Roman"/>
          <w:szCs w:val="17"/>
        </w:rPr>
      </w:pPr>
      <w:r w:rsidRPr="00E26C8E">
        <w:rPr>
          <w:rFonts w:eastAsia="Times New Roman"/>
          <w:szCs w:val="17"/>
        </w:rPr>
        <w:t>DETERMINE that an application for a miscellaneous purpose licence must be in the following manner and form:</w:t>
      </w:r>
    </w:p>
    <w:p w:rsidR="00E26C8E" w:rsidRPr="00E26C8E" w:rsidRDefault="00E26C8E" w:rsidP="00E26C8E">
      <w:pPr>
        <w:ind w:left="567" w:hanging="283"/>
        <w:rPr>
          <w:rFonts w:eastAsia="Times New Roman"/>
          <w:szCs w:val="17"/>
        </w:rPr>
      </w:pPr>
      <w:r w:rsidRPr="00E26C8E">
        <w:rPr>
          <w:rFonts w:eastAsia="Times New Roman"/>
          <w:szCs w:val="17"/>
        </w:rPr>
        <w:t>1.</w:t>
      </w:r>
      <w:r w:rsidRPr="00E26C8E">
        <w:rPr>
          <w:rFonts w:eastAsia="Times New Roman"/>
          <w:szCs w:val="17"/>
        </w:rPr>
        <w:tab/>
        <w:t>state the full name(s) and business address(es) of the tenement holder(s), include percentage share (if relevant);</w:t>
      </w:r>
    </w:p>
    <w:p w:rsidR="00E26C8E" w:rsidRPr="00E26C8E" w:rsidRDefault="00E26C8E" w:rsidP="00E26C8E">
      <w:pPr>
        <w:ind w:left="567" w:hanging="283"/>
        <w:rPr>
          <w:rFonts w:eastAsia="Times New Roman"/>
          <w:szCs w:val="17"/>
        </w:rPr>
      </w:pPr>
      <w:r w:rsidRPr="00E26C8E">
        <w:rPr>
          <w:rFonts w:eastAsia="Times New Roman"/>
          <w:szCs w:val="17"/>
        </w:rPr>
        <w:t>2.</w:t>
      </w:r>
      <w:r w:rsidRPr="00E26C8E">
        <w:rPr>
          <w:rFonts w:eastAsia="Times New Roman"/>
          <w:szCs w:val="17"/>
        </w:rPr>
        <w:tab/>
        <w:t>provide the miscellaneous purpose licence number(s);</w:t>
      </w:r>
    </w:p>
    <w:p w:rsidR="00E26C8E" w:rsidRPr="00E26C8E" w:rsidRDefault="00E26C8E" w:rsidP="00E26C8E">
      <w:pPr>
        <w:ind w:left="567" w:hanging="283"/>
        <w:rPr>
          <w:rFonts w:eastAsia="Times New Roman"/>
          <w:szCs w:val="17"/>
        </w:rPr>
      </w:pPr>
      <w:r w:rsidRPr="00E26C8E">
        <w:rPr>
          <w:rFonts w:eastAsia="Times New Roman"/>
          <w:szCs w:val="17"/>
        </w:rPr>
        <w:t>3.</w:t>
      </w:r>
      <w:r w:rsidRPr="00E26C8E">
        <w:rPr>
          <w:rFonts w:eastAsia="Times New Roman"/>
          <w:szCs w:val="17"/>
        </w:rPr>
        <w:tab/>
        <w:t>state the term for renewal and provide reasons for the term sought; and</w:t>
      </w:r>
    </w:p>
    <w:p w:rsidR="00E26C8E" w:rsidRPr="00E26C8E" w:rsidRDefault="00E26C8E" w:rsidP="00E26C8E">
      <w:pPr>
        <w:ind w:left="567" w:hanging="283"/>
        <w:rPr>
          <w:rFonts w:eastAsia="Times New Roman"/>
          <w:szCs w:val="17"/>
        </w:rPr>
      </w:pPr>
      <w:r w:rsidRPr="00E26C8E">
        <w:rPr>
          <w:rFonts w:eastAsia="Times New Roman"/>
          <w:szCs w:val="17"/>
        </w:rPr>
        <w:t>4.</w:t>
      </w:r>
      <w:r w:rsidRPr="00E26C8E">
        <w:rPr>
          <w:rFonts w:eastAsia="Times New Roman"/>
          <w:szCs w:val="17"/>
        </w:rPr>
        <w:tab/>
        <w:t>provide details of contact person for the application, including name, address, contact numbers, email address, authorisation from applicant if contact person is an agent or tenement manager, and demonstrate whether that person consents to receiving tenement related correspondence via electronic means.</w:t>
      </w:r>
    </w:p>
    <w:p w:rsidR="00E26C8E" w:rsidRPr="00E26C8E" w:rsidRDefault="00E26C8E" w:rsidP="00E26C8E">
      <w:pPr>
        <w:rPr>
          <w:rFonts w:eastAsia="Times New Roman"/>
          <w:szCs w:val="17"/>
        </w:rPr>
      </w:pPr>
      <w:r w:rsidRPr="00E26C8E">
        <w:rPr>
          <w:rFonts w:eastAsia="Times New Roman"/>
          <w:szCs w:val="17"/>
        </w:rPr>
        <w:t>In accordance with section 51(3) of the</w:t>
      </w:r>
      <w:r w:rsidRPr="00E26C8E">
        <w:rPr>
          <w:rFonts w:eastAsia="Times New Roman"/>
          <w:i/>
          <w:szCs w:val="17"/>
        </w:rPr>
        <w:t xml:space="preserve"> Mining Act 1971 </w:t>
      </w:r>
      <w:r w:rsidRPr="00E26C8E">
        <w:rPr>
          <w:rFonts w:eastAsia="Times New Roman"/>
          <w:szCs w:val="17"/>
        </w:rPr>
        <w:t>this notice will have effect from 1 January 2021.</w:t>
      </w:r>
    </w:p>
    <w:p w:rsidR="00E26C8E" w:rsidRPr="00E26C8E" w:rsidRDefault="00E26C8E" w:rsidP="00E26C8E">
      <w:pPr>
        <w:spacing w:after="0"/>
        <w:rPr>
          <w:rFonts w:eastAsia="Times New Roman"/>
          <w:szCs w:val="17"/>
        </w:rPr>
      </w:pPr>
      <w:r w:rsidRPr="00E26C8E">
        <w:rPr>
          <w:rFonts w:eastAsia="Times New Roman"/>
          <w:szCs w:val="17"/>
        </w:rPr>
        <w:t>Dated: 11 December 2020</w:t>
      </w:r>
    </w:p>
    <w:p w:rsidR="00E26C8E" w:rsidRPr="00E26C8E" w:rsidRDefault="00E26C8E" w:rsidP="00E26C8E">
      <w:pPr>
        <w:spacing w:after="0"/>
        <w:jc w:val="right"/>
        <w:rPr>
          <w:rFonts w:eastAsia="Times New Roman"/>
          <w:smallCaps/>
          <w:szCs w:val="20"/>
        </w:rPr>
      </w:pPr>
      <w:r w:rsidRPr="00E26C8E">
        <w:rPr>
          <w:rFonts w:eastAsia="Times New Roman"/>
          <w:smallCaps/>
          <w:szCs w:val="20"/>
        </w:rPr>
        <w:t>Hon. Daniel van Holst Pellekaan</w:t>
      </w:r>
    </w:p>
    <w:p w:rsidR="00E26C8E" w:rsidRPr="00E26C8E" w:rsidRDefault="00E26C8E" w:rsidP="00E26C8E">
      <w:pPr>
        <w:spacing w:after="0"/>
        <w:jc w:val="right"/>
        <w:rPr>
          <w:rFonts w:eastAsia="Times New Roman"/>
          <w:szCs w:val="17"/>
        </w:rPr>
      </w:pPr>
      <w:r w:rsidRPr="00E26C8E">
        <w:rPr>
          <w:rFonts w:eastAsia="Times New Roman"/>
          <w:szCs w:val="17"/>
        </w:rPr>
        <w:t>Minister for Energy and Mining</w:t>
      </w:r>
    </w:p>
    <w:p w:rsidR="00E26C8E" w:rsidRPr="00E26C8E" w:rsidRDefault="00E26C8E" w:rsidP="00E26C8E">
      <w:pPr>
        <w:pBdr>
          <w:top w:val="single" w:sz="4" w:space="1" w:color="auto"/>
        </w:pBdr>
        <w:spacing w:before="100" w:after="0" w:line="14" w:lineRule="exact"/>
        <w:jc w:val="center"/>
        <w:rPr>
          <w:rFonts w:eastAsia="Times New Roman"/>
          <w:szCs w:val="17"/>
        </w:rPr>
      </w:pPr>
    </w:p>
    <w:p w:rsidR="00E26C8E" w:rsidRPr="00E26C8E" w:rsidRDefault="00E26C8E" w:rsidP="00E26C8E">
      <w:pPr>
        <w:spacing w:after="0"/>
        <w:rPr>
          <w:rFonts w:eastAsia="Times New Roman"/>
          <w:szCs w:val="17"/>
        </w:rPr>
      </w:pPr>
    </w:p>
    <w:p w:rsidR="00E26C8E" w:rsidRPr="00E26C8E" w:rsidRDefault="00E26C8E" w:rsidP="00E26C8E">
      <w:pPr>
        <w:spacing w:after="0" w:line="240" w:lineRule="auto"/>
        <w:jc w:val="left"/>
        <w:rPr>
          <w:caps/>
          <w:szCs w:val="17"/>
        </w:rPr>
      </w:pPr>
      <w:r w:rsidRPr="00E26C8E">
        <w:rPr>
          <w:rFonts w:eastAsia="Times New Roman"/>
          <w:szCs w:val="20"/>
        </w:rPr>
        <w:br w:type="page"/>
      </w:r>
    </w:p>
    <w:p w:rsidR="00E26C8E" w:rsidRPr="00E26C8E" w:rsidRDefault="00E26C8E" w:rsidP="00E26C8E">
      <w:pPr>
        <w:jc w:val="center"/>
        <w:rPr>
          <w:caps/>
          <w:szCs w:val="17"/>
        </w:rPr>
      </w:pPr>
      <w:r w:rsidRPr="00E26C8E">
        <w:rPr>
          <w:caps/>
          <w:szCs w:val="17"/>
        </w:rPr>
        <w:t>Mining Act 1971</w:t>
      </w:r>
    </w:p>
    <w:p w:rsidR="00E26C8E" w:rsidRPr="00E26C8E" w:rsidRDefault="00E26C8E" w:rsidP="005549E6">
      <w:pPr>
        <w:pStyle w:val="GG-Title3"/>
      </w:pPr>
      <w:r w:rsidRPr="00E26C8E">
        <w:t>Notice under Section 56X(2) of the Mining Act 1971</w:t>
      </w:r>
    </w:p>
    <w:p w:rsidR="00E26C8E" w:rsidRPr="00E26C8E" w:rsidRDefault="00E26C8E" w:rsidP="00E26C8E">
      <w:pPr>
        <w:rPr>
          <w:rFonts w:eastAsia="Times New Roman"/>
          <w:szCs w:val="17"/>
        </w:rPr>
      </w:pPr>
      <w:r w:rsidRPr="00E26C8E">
        <w:rPr>
          <w:rFonts w:eastAsia="Times New Roman"/>
          <w:szCs w:val="17"/>
        </w:rPr>
        <w:t>NOTICE is hereby given pursuant to the provision of Section 56X(2) of the</w:t>
      </w:r>
      <w:r w:rsidRPr="00E26C8E">
        <w:rPr>
          <w:rFonts w:eastAsia="Times New Roman"/>
          <w:i/>
          <w:szCs w:val="17"/>
        </w:rPr>
        <w:t xml:space="preserve"> Mining Act 1971,</w:t>
      </w:r>
      <w:r w:rsidRPr="00E26C8E">
        <w:rPr>
          <w:rFonts w:eastAsia="Times New Roman"/>
          <w:szCs w:val="17"/>
        </w:rPr>
        <w:t xml:space="preserve"> to specify the manner and form of an application to surrender a mineral tenement under section 56X(1) of the </w:t>
      </w:r>
      <w:r w:rsidRPr="00E26C8E">
        <w:rPr>
          <w:rFonts w:eastAsia="Times New Roman"/>
          <w:i/>
          <w:szCs w:val="17"/>
        </w:rPr>
        <w:t>Mining Act 1971</w:t>
      </w:r>
      <w:r w:rsidRPr="00E26C8E">
        <w:rPr>
          <w:rFonts w:eastAsia="Times New Roman"/>
          <w:szCs w:val="17"/>
        </w:rPr>
        <w:t>.</w:t>
      </w:r>
    </w:p>
    <w:p w:rsidR="00E26C8E" w:rsidRPr="00E26C8E" w:rsidRDefault="00E26C8E" w:rsidP="00E26C8E">
      <w:pPr>
        <w:rPr>
          <w:rFonts w:eastAsia="Times New Roman"/>
          <w:szCs w:val="17"/>
        </w:rPr>
      </w:pPr>
      <w:r w:rsidRPr="00E26C8E">
        <w:rPr>
          <w:rFonts w:eastAsia="Times New Roman"/>
          <w:szCs w:val="17"/>
        </w:rPr>
        <w:t>TAKE notice that I, Daniel van Holst Pellekaan, Minister for Energy and Mining, pursuant to section 56X(2) of the</w:t>
      </w:r>
      <w:r w:rsidRPr="00E26C8E">
        <w:rPr>
          <w:rFonts w:eastAsia="Times New Roman"/>
          <w:i/>
          <w:szCs w:val="17"/>
        </w:rPr>
        <w:t xml:space="preserve"> Mining Act 1971 </w:t>
      </w:r>
      <w:r w:rsidRPr="00E26C8E">
        <w:rPr>
          <w:rFonts w:eastAsia="Times New Roman"/>
          <w:szCs w:val="17"/>
        </w:rPr>
        <w:t>do hereby:</w:t>
      </w:r>
    </w:p>
    <w:p w:rsidR="00E26C8E" w:rsidRPr="00E26C8E" w:rsidRDefault="00E26C8E" w:rsidP="00E26C8E">
      <w:pPr>
        <w:ind w:left="142"/>
        <w:rPr>
          <w:rFonts w:eastAsia="Times New Roman"/>
          <w:szCs w:val="17"/>
        </w:rPr>
      </w:pPr>
      <w:r w:rsidRPr="00E26C8E">
        <w:rPr>
          <w:rFonts w:eastAsia="Times New Roman"/>
          <w:szCs w:val="17"/>
        </w:rPr>
        <w:t>DETERMINE that an application for the surrender of a mineral tenement(s) must be in the following manner and form:</w:t>
      </w:r>
    </w:p>
    <w:p w:rsidR="00E26C8E" w:rsidRPr="00E26C8E" w:rsidRDefault="00E26C8E" w:rsidP="00E26C8E">
      <w:pPr>
        <w:ind w:left="567" w:hanging="283"/>
        <w:rPr>
          <w:rFonts w:eastAsia="Times New Roman"/>
          <w:szCs w:val="17"/>
        </w:rPr>
      </w:pPr>
      <w:r w:rsidRPr="00E26C8E">
        <w:rPr>
          <w:rFonts w:eastAsia="Times New Roman"/>
          <w:szCs w:val="17"/>
        </w:rPr>
        <w:t>1.</w:t>
      </w:r>
      <w:r w:rsidRPr="00E26C8E">
        <w:rPr>
          <w:rFonts w:eastAsia="Times New Roman"/>
          <w:szCs w:val="17"/>
        </w:rPr>
        <w:tab/>
        <w:t>state the full name(a) and business address(es) of the tenement holder(s), including percentage share (if relevant);</w:t>
      </w:r>
    </w:p>
    <w:p w:rsidR="00E26C8E" w:rsidRPr="00E26C8E" w:rsidRDefault="00E26C8E" w:rsidP="00E26C8E">
      <w:pPr>
        <w:ind w:left="567" w:hanging="283"/>
        <w:rPr>
          <w:rFonts w:eastAsia="Times New Roman"/>
          <w:szCs w:val="17"/>
        </w:rPr>
      </w:pPr>
      <w:r w:rsidRPr="00E26C8E">
        <w:rPr>
          <w:rFonts w:eastAsia="Times New Roman"/>
          <w:szCs w:val="17"/>
        </w:rPr>
        <w:t>2.</w:t>
      </w:r>
      <w:r w:rsidRPr="00E26C8E">
        <w:rPr>
          <w:rFonts w:eastAsia="Times New Roman"/>
          <w:szCs w:val="17"/>
        </w:rPr>
        <w:tab/>
        <w:t>provide the mineral tenement number(s);</w:t>
      </w:r>
    </w:p>
    <w:p w:rsidR="00E26C8E" w:rsidRPr="00E26C8E" w:rsidRDefault="00E26C8E" w:rsidP="00E26C8E">
      <w:pPr>
        <w:ind w:left="567" w:hanging="283"/>
        <w:rPr>
          <w:rFonts w:eastAsia="Times New Roman"/>
          <w:szCs w:val="17"/>
        </w:rPr>
      </w:pPr>
      <w:r w:rsidRPr="00E26C8E">
        <w:rPr>
          <w:rFonts w:eastAsia="Times New Roman"/>
          <w:szCs w:val="17"/>
        </w:rPr>
        <w:t>3.</w:t>
      </w:r>
      <w:r w:rsidRPr="00E26C8E">
        <w:rPr>
          <w:rFonts w:eastAsia="Times New Roman"/>
          <w:szCs w:val="17"/>
        </w:rPr>
        <w:tab/>
        <w:t>state whether the surrender relates to the total area of the mineral tenement(s) or part of the area of the mineral tenement(s); and</w:t>
      </w:r>
    </w:p>
    <w:p w:rsidR="00E26C8E" w:rsidRPr="00E26C8E" w:rsidRDefault="00E26C8E" w:rsidP="00E26C8E">
      <w:pPr>
        <w:ind w:left="567" w:hanging="283"/>
        <w:rPr>
          <w:rFonts w:eastAsia="Times New Roman"/>
          <w:szCs w:val="17"/>
        </w:rPr>
      </w:pPr>
      <w:r w:rsidRPr="00E26C8E">
        <w:rPr>
          <w:rFonts w:eastAsia="Times New Roman"/>
          <w:szCs w:val="17"/>
        </w:rPr>
        <w:t>4.</w:t>
      </w:r>
      <w:r w:rsidRPr="00E26C8E">
        <w:rPr>
          <w:rFonts w:eastAsia="Times New Roman"/>
          <w:szCs w:val="17"/>
        </w:rPr>
        <w:tab/>
        <w:t>if the surrender relates to part of the area of the mineral tenement(s)—provide one or more of the following statements, as applicable to the application:</w:t>
      </w:r>
    </w:p>
    <w:p w:rsidR="00E26C8E" w:rsidRPr="00E26C8E" w:rsidRDefault="00E26C8E" w:rsidP="00E26C8E">
      <w:pPr>
        <w:ind w:left="851" w:hanging="284"/>
        <w:rPr>
          <w:rFonts w:eastAsia="Times New Roman"/>
          <w:szCs w:val="17"/>
        </w:rPr>
      </w:pPr>
      <w:r w:rsidRPr="00E26C8E">
        <w:rPr>
          <w:rFonts w:eastAsia="Times New Roman"/>
          <w:szCs w:val="17"/>
        </w:rPr>
        <w:t>a.</w:t>
      </w:r>
      <w:r w:rsidRPr="00E26C8E">
        <w:rPr>
          <w:rFonts w:eastAsia="Times New Roman"/>
          <w:szCs w:val="17"/>
        </w:rPr>
        <w:tab/>
        <w:t>in the case of a mining lease—a statement that the remaining area can be effectively and efficiently mined and that the environmental outcomes are capable of being achieved in respect of the remaining area;</w:t>
      </w:r>
    </w:p>
    <w:p w:rsidR="00E26C8E" w:rsidRPr="00E26C8E" w:rsidRDefault="00E26C8E" w:rsidP="00E26C8E">
      <w:pPr>
        <w:ind w:left="851" w:hanging="284"/>
        <w:rPr>
          <w:rFonts w:eastAsia="Times New Roman"/>
          <w:szCs w:val="17"/>
        </w:rPr>
      </w:pPr>
      <w:r w:rsidRPr="00E26C8E">
        <w:rPr>
          <w:rFonts w:eastAsia="Times New Roman"/>
          <w:szCs w:val="17"/>
        </w:rPr>
        <w:t>b.</w:t>
      </w:r>
      <w:r w:rsidRPr="00E26C8E">
        <w:rPr>
          <w:rFonts w:eastAsia="Times New Roman"/>
          <w:szCs w:val="17"/>
        </w:rPr>
        <w:tab/>
        <w:t>in the case of a retention lease or miscellaneous purpose licence—a statement that the environmental outcomes are capable of being achieved in respect of the remaining area;</w:t>
      </w:r>
    </w:p>
    <w:p w:rsidR="00E26C8E" w:rsidRPr="00E26C8E" w:rsidRDefault="00E26C8E" w:rsidP="00E26C8E">
      <w:pPr>
        <w:ind w:left="851" w:hanging="284"/>
        <w:rPr>
          <w:rFonts w:eastAsia="Times New Roman"/>
          <w:szCs w:val="17"/>
        </w:rPr>
      </w:pPr>
      <w:r w:rsidRPr="00E26C8E">
        <w:rPr>
          <w:rFonts w:eastAsia="Times New Roman"/>
          <w:szCs w:val="17"/>
        </w:rPr>
        <w:t>c.</w:t>
      </w:r>
      <w:r w:rsidRPr="00E26C8E">
        <w:rPr>
          <w:rFonts w:eastAsia="Times New Roman"/>
          <w:szCs w:val="17"/>
        </w:rPr>
        <w:tab/>
        <w:t>in the case of a private mine—a statement that the objectives and criteria are capable of being achieved in respect of the remaining area.</w:t>
      </w:r>
    </w:p>
    <w:p w:rsidR="00E26C8E" w:rsidRPr="00E26C8E" w:rsidRDefault="00E26C8E" w:rsidP="00E26C8E">
      <w:pPr>
        <w:rPr>
          <w:rFonts w:eastAsia="Times New Roman"/>
          <w:szCs w:val="17"/>
        </w:rPr>
      </w:pPr>
      <w:r w:rsidRPr="00E26C8E">
        <w:rPr>
          <w:rFonts w:eastAsia="Times New Roman"/>
          <w:szCs w:val="17"/>
        </w:rPr>
        <w:t>In accordance with Section 56X(2) of the</w:t>
      </w:r>
      <w:r w:rsidRPr="00E26C8E">
        <w:rPr>
          <w:rFonts w:eastAsia="Times New Roman"/>
          <w:i/>
          <w:szCs w:val="17"/>
        </w:rPr>
        <w:t xml:space="preserve"> Mining Act 1971,</w:t>
      </w:r>
      <w:r w:rsidRPr="00E26C8E">
        <w:rPr>
          <w:rFonts w:eastAsia="Times New Roman"/>
          <w:szCs w:val="17"/>
        </w:rPr>
        <w:t xml:space="preserve"> this notice will have effect from 1 January 2021.</w:t>
      </w:r>
    </w:p>
    <w:p w:rsidR="00E26C8E" w:rsidRPr="00E26C8E" w:rsidRDefault="00E26C8E" w:rsidP="00E26C8E">
      <w:pPr>
        <w:spacing w:after="0"/>
        <w:rPr>
          <w:rFonts w:eastAsia="Times New Roman"/>
          <w:szCs w:val="17"/>
        </w:rPr>
      </w:pPr>
      <w:r w:rsidRPr="00E26C8E">
        <w:rPr>
          <w:rFonts w:eastAsia="Times New Roman"/>
          <w:szCs w:val="17"/>
        </w:rPr>
        <w:t>Dated: 11 December 2020</w:t>
      </w:r>
    </w:p>
    <w:p w:rsidR="00E26C8E" w:rsidRPr="00E26C8E" w:rsidRDefault="00E26C8E" w:rsidP="00E26C8E">
      <w:pPr>
        <w:spacing w:after="0"/>
        <w:jc w:val="right"/>
        <w:rPr>
          <w:rFonts w:eastAsia="Times New Roman"/>
          <w:smallCaps/>
          <w:szCs w:val="20"/>
        </w:rPr>
      </w:pPr>
      <w:r w:rsidRPr="00E26C8E">
        <w:rPr>
          <w:rFonts w:eastAsia="Times New Roman"/>
          <w:smallCaps/>
          <w:szCs w:val="20"/>
        </w:rPr>
        <w:t>Hon. Daniel van Holst Pellekaan</w:t>
      </w:r>
    </w:p>
    <w:p w:rsidR="00E26C8E" w:rsidRPr="00E26C8E" w:rsidRDefault="00E26C8E" w:rsidP="00E26C8E">
      <w:pPr>
        <w:spacing w:after="0"/>
        <w:jc w:val="right"/>
        <w:rPr>
          <w:rFonts w:eastAsia="Times New Roman"/>
          <w:szCs w:val="17"/>
        </w:rPr>
      </w:pPr>
      <w:r w:rsidRPr="00E26C8E">
        <w:rPr>
          <w:rFonts w:eastAsia="Times New Roman"/>
          <w:szCs w:val="17"/>
        </w:rPr>
        <w:t>Minister for Energy and Mining</w:t>
      </w:r>
    </w:p>
    <w:p w:rsidR="00E26C8E" w:rsidRPr="00E26C8E" w:rsidRDefault="00E26C8E" w:rsidP="00E26C8E">
      <w:pPr>
        <w:pBdr>
          <w:top w:val="single" w:sz="4" w:space="1" w:color="auto"/>
        </w:pBdr>
        <w:spacing w:before="100" w:after="0" w:line="14" w:lineRule="exact"/>
        <w:jc w:val="center"/>
        <w:rPr>
          <w:rFonts w:eastAsia="Times New Roman"/>
          <w:szCs w:val="17"/>
        </w:rPr>
      </w:pPr>
    </w:p>
    <w:p w:rsidR="00E26C8E" w:rsidRPr="00E26C8E" w:rsidRDefault="00E26C8E" w:rsidP="00E26C8E">
      <w:pPr>
        <w:spacing w:after="0"/>
        <w:rPr>
          <w:rFonts w:eastAsia="Times New Roman"/>
          <w:szCs w:val="17"/>
        </w:rPr>
      </w:pPr>
    </w:p>
    <w:p w:rsidR="00E26C8E" w:rsidRPr="00E26C8E" w:rsidRDefault="00E26C8E" w:rsidP="00E26C8E">
      <w:pPr>
        <w:jc w:val="center"/>
        <w:rPr>
          <w:caps/>
          <w:szCs w:val="17"/>
        </w:rPr>
      </w:pPr>
      <w:r w:rsidRPr="00E26C8E">
        <w:rPr>
          <w:caps/>
          <w:szCs w:val="17"/>
        </w:rPr>
        <w:t>Mining Act 1971</w:t>
      </w:r>
    </w:p>
    <w:p w:rsidR="00E26C8E" w:rsidRPr="00E26C8E" w:rsidRDefault="00E26C8E" w:rsidP="005549E6">
      <w:pPr>
        <w:pStyle w:val="GG-Title3"/>
      </w:pPr>
      <w:r w:rsidRPr="00E26C8E">
        <w:t>Notice under Section 58A(15) of the Mining Act 1971</w:t>
      </w:r>
    </w:p>
    <w:p w:rsidR="00E26C8E" w:rsidRPr="00E26C8E" w:rsidRDefault="00E26C8E" w:rsidP="00E26C8E">
      <w:pPr>
        <w:rPr>
          <w:rFonts w:eastAsia="Times New Roman"/>
          <w:szCs w:val="17"/>
        </w:rPr>
      </w:pPr>
      <w:r w:rsidRPr="00E26C8E">
        <w:rPr>
          <w:rFonts w:eastAsia="Times New Roman"/>
          <w:szCs w:val="17"/>
        </w:rPr>
        <w:t>NOTICE is hereby given pursuant to the provision of section 58A(15) of the</w:t>
      </w:r>
      <w:r w:rsidRPr="00E26C8E">
        <w:rPr>
          <w:rFonts w:eastAsia="Times New Roman"/>
          <w:i/>
          <w:szCs w:val="17"/>
        </w:rPr>
        <w:t xml:space="preserve"> Mining Act 1971,</w:t>
      </w:r>
      <w:r w:rsidRPr="00E26C8E">
        <w:rPr>
          <w:rFonts w:eastAsia="Times New Roman"/>
          <w:szCs w:val="17"/>
        </w:rPr>
        <w:t xml:space="preserve"> to specify the manner and form of a notice under section 58A(1) of the</w:t>
      </w:r>
      <w:r w:rsidRPr="00E26C8E">
        <w:rPr>
          <w:rFonts w:eastAsia="Times New Roman"/>
          <w:i/>
          <w:szCs w:val="17"/>
        </w:rPr>
        <w:t xml:space="preserve"> Mining Act 1971.</w:t>
      </w:r>
    </w:p>
    <w:p w:rsidR="00E26C8E" w:rsidRPr="00E26C8E" w:rsidRDefault="00E26C8E" w:rsidP="00E26C8E">
      <w:pPr>
        <w:rPr>
          <w:rFonts w:eastAsia="Times New Roman"/>
          <w:szCs w:val="17"/>
        </w:rPr>
      </w:pPr>
      <w:r w:rsidRPr="00E26C8E">
        <w:rPr>
          <w:rFonts w:eastAsia="Times New Roman"/>
          <w:szCs w:val="17"/>
        </w:rPr>
        <w:t>TAKE notice that I, Daniel van Holst Pellekaan, Minister for Energy and Mining, pursuant to section 58A(15) of the</w:t>
      </w:r>
      <w:r w:rsidRPr="00E26C8E">
        <w:rPr>
          <w:rFonts w:eastAsia="Times New Roman"/>
          <w:i/>
          <w:szCs w:val="17"/>
        </w:rPr>
        <w:t xml:space="preserve"> Mining Act 1971 </w:t>
      </w:r>
      <w:r w:rsidRPr="00E26C8E">
        <w:rPr>
          <w:rFonts w:eastAsia="Times New Roman"/>
          <w:szCs w:val="17"/>
        </w:rPr>
        <w:t>do hereby:</w:t>
      </w:r>
    </w:p>
    <w:p w:rsidR="00E26C8E" w:rsidRPr="00E26C8E" w:rsidRDefault="00E26C8E" w:rsidP="00E26C8E">
      <w:pPr>
        <w:ind w:left="142"/>
        <w:rPr>
          <w:rFonts w:eastAsia="Times New Roman"/>
          <w:szCs w:val="17"/>
        </w:rPr>
      </w:pPr>
      <w:r w:rsidRPr="00E26C8E">
        <w:rPr>
          <w:rFonts w:eastAsia="Times New Roman"/>
          <w:szCs w:val="17"/>
        </w:rPr>
        <w:t>DETERMINE that a notice under section 58A(1) of the</w:t>
      </w:r>
      <w:r w:rsidRPr="00E26C8E">
        <w:rPr>
          <w:rFonts w:eastAsia="Times New Roman"/>
          <w:i/>
          <w:szCs w:val="17"/>
        </w:rPr>
        <w:t xml:space="preserve"> Mining Act 1971</w:t>
      </w:r>
      <w:r w:rsidRPr="00E26C8E">
        <w:rPr>
          <w:rFonts w:eastAsia="Times New Roman"/>
          <w:szCs w:val="17"/>
        </w:rPr>
        <w:t>must be in the following manner and form:</w:t>
      </w:r>
    </w:p>
    <w:p w:rsidR="00E26C8E" w:rsidRPr="00E26C8E" w:rsidRDefault="00E26C8E" w:rsidP="00E26C8E">
      <w:pPr>
        <w:ind w:left="567" w:hanging="283"/>
        <w:rPr>
          <w:rFonts w:eastAsia="Times New Roman"/>
          <w:szCs w:val="17"/>
        </w:rPr>
      </w:pPr>
      <w:r w:rsidRPr="00E26C8E">
        <w:rPr>
          <w:rFonts w:eastAsia="Times New Roman"/>
          <w:szCs w:val="17"/>
        </w:rPr>
        <w:t>1.</w:t>
      </w:r>
      <w:r w:rsidRPr="00E26C8E">
        <w:rPr>
          <w:rFonts w:eastAsia="Times New Roman"/>
          <w:szCs w:val="17"/>
        </w:rPr>
        <w:tab/>
        <w:t>state the full name(s) and address(es), as well as the phone numbers and email addresses (if known) of each owner of land;</w:t>
      </w:r>
    </w:p>
    <w:p w:rsidR="00E26C8E" w:rsidRPr="00E26C8E" w:rsidRDefault="00E26C8E" w:rsidP="00E26C8E">
      <w:pPr>
        <w:ind w:left="567" w:hanging="283"/>
        <w:rPr>
          <w:rFonts w:eastAsia="Times New Roman"/>
          <w:szCs w:val="17"/>
        </w:rPr>
      </w:pPr>
      <w:r w:rsidRPr="00E26C8E">
        <w:rPr>
          <w:rFonts w:eastAsia="Times New Roman"/>
          <w:szCs w:val="17"/>
        </w:rPr>
        <w:t>2.</w:t>
      </w:r>
      <w:r w:rsidRPr="00E26C8E">
        <w:rPr>
          <w:rFonts w:eastAsia="Times New Roman"/>
          <w:szCs w:val="17"/>
        </w:rPr>
        <w:tab/>
        <w:t>state the full name(s) and business address(es) of the tenement holder(s);</w:t>
      </w:r>
    </w:p>
    <w:p w:rsidR="00E26C8E" w:rsidRPr="00E26C8E" w:rsidRDefault="00E26C8E" w:rsidP="00E26C8E">
      <w:pPr>
        <w:ind w:left="567" w:hanging="283"/>
        <w:rPr>
          <w:rFonts w:eastAsia="Times New Roman"/>
          <w:szCs w:val="17"/>
        </w:rPr>
      </w:pPr>
      <w:r w:rsidRPr="00E26C8E">
        <w:rPr>
          <w:rFonts w:eastAsia="Times New Roman"/>
          <w:szCs w:val="17"/>
        </w:rPr>
        <w:t>3.</w:t>
      </w:r>
      <w:r w:rsidRPr="00E26C8E">
        <w:rPr>
          <w:rFonts w:eastAsia="Times New Roman"/>
          <w:szCs w:val="17"/>
        </w:rPr>
        <w:tab/>
        <w:t>provide the name, telephone number and email address of a person who may be contacted about the notice;</w:t>
      </w:r>
    </w:p>
    <w:p w:rsidR="00E26C8E" w:rsidRPr="00E26C8E" w:rsidRDefault="00E26C8E" w:rsidP="00E26C8E">
      <w:pPr>
        <w:ind w:left="567" w:hanging="283"/>
        <w:rPr>
          <w:rFonts w:eastAsia="Times New Roman"/>
          <w:szCs w:val="17"/>
        </w:rPr>
      </w:pPr>
      <w:r w:rsidRPr="00E26C8E">
        <w:rPr>
          <w:rFonts w:eastAsia="Times New Roman"/>
          <w:szCs w:val="17"/>
        </w:rPr>
        <w:t>4.</w:t>
      </w:r>
      <w:r w:rsidRPr="00E26C8E">
        <w:rPr>
          <w:rFonts w:eastAsia="Times New Roman"/>
          <w:szCs w:val="17"/>
        </w:rPr>
        <w:tab/>
        <w:t>provide a description of the land, including the title reference (CT or CL) and parcel references, relating to the notice;</w:t>
      </w:r>
    </w:p>
    <w:p w:rsidR="00E26C8E" w:rsidRPr="00E26C8E" w:rsidRDefault="00E26C8E" w:rsidP="00E26C8E">
      <w:pPr>
        <w:ind w:left="567" w:hanging="283"/>
        <w:rPr>
          <w:rFonts w:eastAsia="Times New Roman"/>
          <w:szCs w:val="17"/>
        </w:rPr>
      </w:pPr>
      <w:r w:rsidRPr="00E26C8E">
        <w:rPr>
          <w:rFonts w:eastAsia="Times New Roman"/>
          <w:szCs w:val="17"/>
        </w:rPr>
        <w:t>5.</w:t>
      </w:r>
      <w:r w:rsidRPr="00E26C8E">
        <w:rPr>
          <w:rFonts w:eastAsia="Times New Roman"/>
          <w:szCs w:val="17"/>
        </w:rPr>
        <w:tab/>
        <w:t>provide a map clearly showing the following (at a minimum):</w:t>
      </w:r>
    </w:p>
    <w:p w:rsidR="00E26C8E" w:rsidRPr="00E26C8E" w:rsidRDefault="00E26C8E" w:rsidP="00E26C8E">
      <w:pPr>
        <w:ind w:left="851" w:hanging="284"/>
        <w:rPr>
          <w:rFonts w:eastAsia="Times New Roman"/>
          <w:szCs w:val="17"/>
        </w:rPr>
      </w:pPr>
      <w:r w:rsidRPr="00E26C8E">
        <w:rPr>
          <w:rFonts w:eastAsia="Times New Roman"/>
          <w:szCs w:val="17"/>
        </w:rPr>
        <w:t>a.</w:t>
      </w:r>
      <w:r w:rsidRPr="00E26C8E">
        <w:rPr>
          <w:rFonts w:eastAsia="Times New Roman"/>
          <w:szCs w:val="17"/>
        </w:rPr>
        <w:tab/>
        <w:t>relevant property ownership boundaries;</w:t>
      </w:r>
    </w:p>
    <w:p w:rsidR="00E26C8E" w:rsidRPr="00E26C8E" w:rsidRDefault="00E26C8E" w:rsidP="00E26C8E">
      <w:pPr>
        <w:ind w:left="851" w:hanging="284"/>
        <w:rPr>
          <w:rFonts w:eastAsia="Times New Roman"/>
          <w:szCs w:val="17"/>
        </w:rPr>
      </w:pPr>
      <w:r w:rsidRPr="00E26C8E">
        <w:rPr>
          <w:rFonts w:eastAsia="Times New Roman"/>
          <w:szCs w:val="17"/>
        </w:rPr>
        <w:t>b.</w:t>
      </w:r>
      <w:r w:rsidRPr="00E26C8E">
        <w:rPr>
          <w:rFonts w:eastAsia="Times New Roman"/>
          <w:szCs w:val="17"/>
        </w:rPr>
        <w:tab/>
        <w:t>tenement area (if applicable);</w:t>
      </w:r>
    </w:p>
    <w:p w:rsidR="00E26C8E" w:rsidRPr="00E26C8E" w:rsidRDefault="00E26C8E" w:rsidP="00E26C8E">
      <w:pPr>
        <w:ind w:left="851" w:hanging="284"/>
        <w:rPr>
          <w:rFonts w:eastAsia="Times New Roman"/>
          <w:szCs w:val="17"/>
        </w:rPr>
      </w:pPr>
      <w:r w:rsidRPr="00E26C8E">
        <w:rPr>
          <w:rFonts w:eastAsia="Times New Roman"/>
          <w:szCs w:val="17"/>
        </w:rPr>
        <w:t>c.</w:t>
      </w:r>
      <w:r w:rsidRPr="00E26C8E">
        <w:rPr>
          <w:rFonts w:eastAsia="Times New Roman"/>
          <w:szCs w:val="17"/>
        </w:rPr>
        <w:tab/>
        <w:t>area of proposed operations to be conducted within the tenement (if applicable);</w:t>
      </w:r>
    </w:p>
    <w:p w:rsidR="00E26C8E" w:rsidRPr="00E26C8E" w:rsidRDefault="00E26C8E" w:rsidP="00E26C8E">
      <w:pPr>
        <w:ind w:left="851" w:hanging="284"/>
        <w:rPr>
          <w:rFonts w:eastAsia="Times New Roman"/>
          <w:szCs w:val="17"/>
        </w:rPr>
      </w:pPr>
      <w:r w:rsidRPr="00E26C8E">
        <w:rPr>
          <w:rFonts w:eastAsia="Times New Roman"/>
          <w:szCs w:val="17"/>
        </w:rPr>
        <w:t>d.</w:t>
      </w:r>
      <w:r w:rsidRPr="00E26C8E">
        <w:rPr>
          <w:rFonts w:eastAsia="Times New Roman"/>
          <w:szCs w:val="17"/>
        </w:rPr>
        <w:tab/>
        <w:t>an arrow showing North;</w:t>
      </w:r>
    </w:p>
    <w:p w:rsidR="00E26C8E" w:rsidRPr="00E26C8E" w:rsidRDefault="00E26C8E" w:rsidP="00E26C8E">
      <w:pPr>
        <w:ind w:left="851" w:hanging="284"/>
        <w:rPr>
          <w:rFonts w:eastAsia="Times New Roman"/>
          <w:szCs w:val="17"/>
        </w:rPr>
      </w:pPr>
      <w:r w:rsidRPr="00E26C8E">
        <w:rPr>
          <w:rFonts w:eastAsia="Times New Roman"/>
          <w:szCs w:val="17"/>
        </w:rPr>
        <w:t>e.</w:t>
      </w:r>
      <w:r w:rsidRPr="00E26C8E">
        <w:rPr>
          <w:rFonts w:eastAsia="Times New Roman"/>
          <w:szCs w:val="17"/>
        </w:rPr>
        <w:tab/>
        <w:t>the Eastings and Northings of the tenement;</w:t>
      </w:r>
    </w:p>
    <w:p w:rsidR="00E26C8E" w:rsidRPr="00E26C8E" w:rsidRDefault="00E26C8E" w:rsidP="00E26C8E">
      <w:pPr>
        <w:ind w:left="851" w:hanging="284"/>
        <w:rPr>
          <w:rFonts w:eastAsia="Times New Roman"/>
          <w:szCs w:val="17"/>
        </w:rPr>
      </w:pPr>
      <w:r w:rsidRPr="00E26C8E">
        <w:rPr>
          <w:rFonts w:eastAsia="Times New Roman"/>
          <w:szCs w:val="17"/>
        </w:rPr>
        <w:t>f.</w:t>
      </w:r>
      <w:r w:rsidRPr="00E26C8E">
        <w:rPr>
          <w:rFonts w:eastAsia="Times New Roman"/>
          <w:szCs w:val="17"/>
        </w:rPr>
        <w:tab/>
        <w:t>relevant topographical information; and</w:t>
      </w:r>
    </w:p>
    <w:p w:rsidR="00E26C8E" w:rsidRPr="00E26C8E" w:rsidRDefault="00E26C8E" w:rsidP="00E26C8E">
      <w:pPr>
        <w:ind w:left="851" w:hanging="284"/>
        <w:rPr>
          <w:rFonts w:eastAsia="Times New Roman"/>
          <w:szCs w:val="17"/>
        </w:rPr>
      </w:pPr>
      <w:r w:rsidRPr="00E26C8E">
        <w:rPr>
          <w:rFonts w:eastAsia="Times New Roman"/>
          <w:szCs w:val="17"/>
        </w:rPr>
        <w:t>g.</w:t>
      </w:r>
      <w:r w:rsidRPr="00E26C8E">
        <w:rPr>
          <w:rFonts w:eastAsia="Times New Roman"/>
          <w:szCs w:val="17"/>
        </w:rPr>
        <w:tab/>
        <w:t>a scale bar;</w:t>
      </w:r>
    </w:p>
    <w:p w:rsidR="00E26C8E" w:rsidRPr="00E26C8E" w:rsidRDefault="00E26C8E" w:rsidP="00E26C8E">
      <w:pPr>
        <w:ind w:left="567" w:hanging="283"/>
        <w:rPr>
          <w:rFonts w:eastAsia="Times New Roman"/>
          <w:szCs w:val="17"/>
        </w:rPr>
      </w:pPr>
      <w:r w:rsidRPr="00E26C8E">
        <w:rPr>
          <w:rFonts w:eastAsia="Times New Roman"/>
          <w:szCs w:val="17"/>
        </w:rPr>
        <w:t>6.</w:t>
      </w:r>
      <w:r w:rsidRPr="00E26C8E">
        <w:rPr>
          <w:rFonts w:eastAsia="Times New Roman"/>
          <w:szCs w:val="17"/>
        </w:rPr>
        <w:tab/>
        <w:t>provide the tenement numbers of the tenements related to the notice being served (tenement information can be found at map.sarig.sa.gov.au);</w:t>
      </w:r>
    </w:p>
    <w:p w:rsidR="00E26C8E" w:rsidRPr="00E26C8E" w:rsidRDefault="00E26C8E" w:rsidP="00E26C8E">
      <w:pPr>
        <w:ind w:left="567" w:hanging="283"/>
        <w:rPr>
          <w:rFonts w:eastAsia="Times New Roman"/>
          <w:szCs w:val="17"/>
        </w:rPr>
      </w:pPr>
      <w:r w:rsidRPr="00E26C8E">
        <w:rPr>
          <w:rFonts w:eastAsia="Times New Roman"/>
          <w:szCs w:val="17"/>
        </w:rPr>
        <w:t>7.</w:t>
      </w:r>
      <w:r w:rsidRPr="00E26C8E">
        <w:rPr>
          <w:rFonts w:eastAsia="Times New Roman"/>
          <w:szCs w:val="17"/>
        </w:rPr>
        <w:tab/>
        <w:t>provide a copy of or a link to access the program for environment protection and rehabilitation (PEPR) (if approved) or provide a reasonable description of the type of operations proposed to be carried out on the land;</w:t>
      </w:r>
    </w:p>
    <w:p w:rsidR="00E26C8E" w:rsidRPr="00E26C8E" w:rsidRDefault="00E26C8E" w:rsidP="00E26C8E">
      <w:pPr>
        <w:ind w:left="567" w:hanging="283"/>
        <w:rPr>
          <w:rFonts w:eastAsia="Times New Roman"/>
          <w:szCs w:val="17"/>
        </w:rPr>
      </w:pPr>
      <w:r w:rsidRPr="00E26C8E">
        <w:rPr>
          <w:rFonts w:eastAsia="Times New Roman"/>
          <w:szCs w:val="17"/>
        </w:rPr>
        <w:t>8.</w:t>
      </w:r>
      <w:r w:rsidRPr="00E26C8E">
        <w:rPr>
          <w:rFonts w:eastAsia="Times New Roman"/>
          <w:szCs w:val="17"/>
        </w:rPr>
        <w:tab/>
        <w:t>if the notice is being served to prospect under section 20 of the</w:t>
      </w:r>
      <w:r w:rsidRPr="00E26C8E">
        <w:rPr>
          <w:rFonts w:eastAsia="Times New Roman"/>
          <w:i/>
          <w:szCs w:val="17"/>
        </w:rPr>
        <w:t xml:space="preserve"> Mining Act 1971 </w:t>
      </w:r>
      <w:r w:rsidRPr="00E26C8E">
        <w:rPr>
          <w:rFonts w:eastAsia="Times New Roman"/>
          <w:szCs w:val="17"/>
        </w:rPr>
        <w:t>in order to establish a mineral claim, provide a reasonable timeframe to entry land to establish the claim;</w:t>
      </w:r>
    </w:p>
    <w:p w:rsidR="00E26C8E" w:rsidRPr="00E26C8E" w:rsidRDefault="00E26C8E" w:rsidP="00E26C8E">
      <w:pPr>
        <w:ind w:left="567" w:hanging="283"/>
        <w:rPr>
          <w:rFonts w:eastAsia="Times New Roman"/>
          <w:szCs w:val="17"/>
        </w:rPr>
      </w:pPr>
      <w:r w:rsidRPr="00E26C8E">
        <w:rPr>
          <w:rFonts w:eastAsia="Times New Roman"/>
          <w:szCs w:val="17"/>
        </w:rPr>
        <w:t>9.</w:t>
      </w:r>
      <w:r w:rsidRPr="00E26C8E">
        <w:rPr>
          <w:rFonts w:eastAsia="Times New Roman"/>
          <w:szCs w:val="17"/>
        </w:rPr>
        <w:tab/>
        <w:t>set out a process by which the owner of the land will, on an on-going basis, be:</w:t>
      </w:r>
    </w:p>
    <w:p w:rsidR="00E26C8E" w:rsidRPr="00E26C8E" w:rsidRDefault="00E26C8E" w:rsidP="00E26C8E">
      <w:pPr>
        <w:ind w:left="851" w:hanging="284"/>
        <w:rPr>
          <w:rFonts w:eastAsia="Times New Roman"/>
          <w:szCs w:val="17"/>
        </w:rPr>
      </w:pPr>
      <w:r w:rsidRPr="00E26C8E">
        <w:rPr>
          <w:rFonts w:eastAsia="Times New Roman"/>
          <w:szCs w:val="17"/>
        </w:rPr>
        <w:t>a.</w:t>
      </w:r>
      <w:r w:rsidRPr="00E26C8E">
        <w:rPr>
          <w:rFonts w:eastAsia="Times New Roman"/>
          <w:szCs w:val="17"/>
        </w:rPr>
        <w:tab/>
        <w:t>updated on the operations carried out on the land</w:t>
      </w:r>
    </w:p>
    <w:p w:rsidR="00E26C8E" w:rsidRPr="00E26C8E" w:rsidRDefault="00E26C8E" w:rsidP="00E26C8E">
      <w:pPr>
        <w:ind w:left="851" w:hanging="284"/>
        <w:rPr>
          <w:rFonts w:eastAsia="Times New Roman"/>
          <w:szCs w:val="17"/>
        </w:rPr>
      </w:pPr>
      <w:r w:rsidRPr="00E26C8E">
        <w:rPr>
          <w:rFonts w:eastAsia="Times New Roman"/>
          <w:szCs w:val="17"/>
        </w:rPr>
        <w:t>b.</w:t>
      </w:r>
      <w:r w:rsidRPr="00E26C8E">
        <w:rPr>
          <w:rFonts w:eastAsia="Times New Roman"/>
          <w:szCs w:val="17"/>
        </w:rPr>
        <w:tab/>
        <w:t>notified of the place or places where operations are to be carried out on the land</w:t>
      </w:r>
    </w:p>
    <w:p w:rsidR="00E26C8E" w:rsidRPr="00E26C8E" w:rsidRDefault="00E26C8E" w:rsidP="00E26C8E">
      <w:pPr>
        <w:ind w:left="851" w:hanging="284"/>
        <w:rPr>
          <w:rFonts w:eastAsia="Times New Roman"/>
          <w:szCs w:val="17"/>
        </w:rPr>
      </w:pPr>
      <w:r w:rsidRPr="00E26C8E">
        <w:rPr>
          <w:rFonts w:eastAsia="Times New Roman"/>
          <w:szCs w:val="17"/>
        </w:rPr>
        <w:t>c.</w:t>
      </w:r>
      <w:r w:rsidRPr="00E26C8E">
        <w:rPr>
          <w:rFonts w:eastAsia="Times New Roman"/>
          <w:szCs w:val="17"/>
        </w:rPr>
        <w:tab/>
        <w:t>notified of the proposed timing for the operations and the proposed duration of the operations</w:t>
      </w:r>
    </w:p>
    <w:p w:rsidR="00E26C8E" w:rsidRPr="00E26C8E" w:rsidRDefault="00E26C8E" w:rsidP="00E26C8E">
      <w:pPr>
        <w:ind w:left="851" w:hanging="284"/>
        <w:rPr>
          <w:rFonts w:eastAsia="Times New Roman"/>
          <w:szCs w:val="17"/>
        </w:rPr>
      </w:pPr>
      <w:r w:rsidRPr="00E26C8E">
        <w:rPr>
          <w:rFonts w:eastAsia="Times New Roman"/>
          <w:szCs w:val="17"/>
        </w:rPr>
        <w:t>d.</w:t>
      </w:r>
      <w:r w:rsidRPr="00E26C8E">
        <w:rPr>
          <w:rFonts w:eastAsia="Times New Roman"/>
          <w:szCs w:val="17"/>
        </w:rPr>
        <w:tab/>
        <w:t>provided with reasonable information on the anticipated events and consequences associated with the operations to be carried out on the land (including any potential impacts on native title rights and interests and Aboriginal heritage).</w:t>
      </w:r>
    </w:p>
    <w:p w:rsidR="00E26C8E" w:rsidRPr="00E26C8E" w:rsidRDefault="00E26C8E" w:rsidP="00E26C8E">
      <w:pPr>
        <w:ind w:left="851" w:hanging="284"/>
        <w:rPr>
          <w:rFonts w:eastAsia="Times New Roman"/>
          <w:szCs w:val="17"/>
        </w:rPr>
      </w:pPr>
      <w:r w:rsidRPr="00E26C8E">
        <w:rPr>
          <w:rFonts w:eastAsia="Times New Roman"/>
          <w:szCs w:val="17"/>
        </w:rPr>
        <w:t>e.</w:t>
      </w:r>
      <w:r w:rsidRPr="00E26C8E">
        <w:rPr>
          <w:rFonts w:eastAsia="Times New Roman"/>
          <w:szCs w:val="17"/>
        </w:rPr>
        <w:tab/>
        <w:t>provided the proposed action the tenement holder will take to manage and address those events and consequences (including any potential impacts on native title rights and interests and Aboriginal heritage), in order to enable the owner of the land to make an informed decision about the impact or potential impact of the operations on the land.</w:t>
      </w:r>
    </w:p>
    <w:p w:rsidR="00E26C8E" w:rsidRPr="00E26C8E" w:rsidRDefault="00E26C8E" w:rsidP="00E26C8E">
      <w:pPr>
        <w:spacing w:after="0" w:line="240" w:lineRule="auto"/>
        <w:jc w:val="left"/>
        <w:rPr>
          <w:rFonts w:eastAsia="Times New Roman"/>
          <w:szCs w:val="17"/>
        </w:rPr>
      </w:pPr>
      <w:r w:rsidRPr="00E26C8E">
        <w:rPr>
          <w:rFonts w:eastAsia="Times New Roman"/>
          <w:szCs w:val="20"/>
        </w:rPr>
        <w:br w:type="page"/>
      </w:r>
    </w:p>
    <w:p w:rsidR="00E26C8E" w:rsidRPr="00E26C8E" w:rsidRDefault="00E26C8E" w:rsidP="00E26C8E">
      <w:pPr>
        <w:ind w:left="567" w:hanging="283"/>
        <w:rPr>
          <w:rFonts w:eastAsia="Times New Roman"/>
          <w:szCs w:val="17"/>
        </w:rPr>
      </w:pPr>
      <w:r w:rsidRPr="00E26C8E">
        <w:rPr>
          <w:rFonts w:eastAsia="Times New Roman"/>
          <w:szCs w:val="17"/>
        </w:rPr>
        <w:t>10.</w:t>
      </w:r>
      <w:r w:rsidRPr="00E26C8E">
        <w:rPr>
          <w:rFonts w:eastAsia="Times New Roman"/>
          <w:szCs w:val="17"/>
        </w:rPr>
        <w:tab/>
        <w:t>be accompanied by an Information Sheet relating to:</w:t>
      </w:r>
    </w:p>
    <w:p w:rsidR="00E26C8E" w:rsidRPr="00E26C8E" w:rsidRDefault="00E26C8E" w:rsidP="00E26C8E">
      <w:pPr>
        <w:ind w:left="851" w:hanging="284"/>
        <w:rPr>
          <w:rFonts w:eastAsia="Times New Roman"/>
          <w:szCs w:val="17"/>
        </w:rPr>
      </w:pPr>
      <w:r w:rsidRPr="00E26C8E">
        <w:rPr>
          <w:rFonts w:eastAsia="Times New Roman"/>
          <w:szCs w:val="17"/>
        </w:rPr>
        <w:t>a.</w:t>
      </w:r>
      <w:r w:rsidRPr="00E26C8E">
        <w:rPr>
          <w:rFonts w:eastAsia="Times New Roman"/>
          <w:szCs w:val="17"/>
        </w:rPr>
        <w:tab/>
        <w:t>the owner of land’s rights to object to a notice and rights to compensation approved by the Minister and published on the website of the Department for Energy and Mining; and</w:t>
      </w:r>
    </w:p>
    <w:p w:rsidR="00E26C8E" w:rsidRPr="00E26C8E" w:rsidRDefault="00E26C8E" w:rsidP="00E26C8E">
      <w:pPr>
        <w:ind w:left="851" w:hanging="284"/>
        <w:rPr>
          <w:rFonts w:eastAsia="Times New Roman"/>
          <w:szCs w:val="17"/>
        </w:rPr>
      </w:pPr>
      <w:r w:rsidRPr="00E26C8E">
        <w:rPr>
          <w:rFonts w:eastAsia="Times New Roman"/>
          <w:szCs w:val="17"/>
        </w:rPr>
        <w:t>b.</w:t>
      </w:r>
      <w:r w:rsidRPr="00E26C8E">
        <w:rPr>
          <w:rFonts w:eastAsia="Times New Roman"/>
          <w:szCs w:val="17"/>
        </w:rPr>
        <w:tab/>
        <w:t>the owner of land’s rights to apply to the Small Business Commissioner approved by the Minister and published on the website of the Department for Energy and Mining</w:t>
      </w:r>
    </w:p>
    <w:p w:rsidR="00E26C8E" w:rsidRPr="00E26C8E" w:rsidRDefault="00E26C8E" w:rsidP="00E26C8E">
      <w:pPr>
        <w:rPr>
          <w:rFonts w:eastAsia="Times New Roman"/>
          <w:szCs w:val="17"/>
        </w:rPr>
      </w:pPr>
      <w:r w:rsidRPr="00E26C8E">
        <w:rPr>
          <w:rFonts w:eastAsia="Times New Roman"/>
          <w:szCs w:val="17"/>
        </w:rPr>
        <w:t>In accordance with section 58A(15) of the</w:t>
      </w:r>
      <w:r w:rsidRPr="00E26C8E">
        <w:rPr>
          <w:rFonts w:eastAsia="Times New Roman"/>
          <w:i/>
          <w:szCs w:val="17"/>
        </w:rPr>
        <w:t xml:space="preserve"> Mining Act 1971 </w:t>
      </w:r>
      <w:r w:rsidRPr="00E26C8E">
        <w:rPr>
          <w:rFonts w:eastAsia="Times New Roman"/>
          <w:szCs w:val="17"/>
        </w:rPr>
        <w:t>this notice will have effect from 1 January 2021.</w:t>
      </w:r>
    </w:p>
    <w:p w:rsidR="00E26C8E" w:rsidRPr="00E26C8E" w:rsidRDefault="00E26C8E" w:rsidP="00E26C8E">
      <w:pPr>
        <w:spacing w:after="0"/>
        <w:rPr>
          <w:rFonts w:eastAsia="Times New Roman"/>
          <w:szCs w:val="17"/>
        </w:rPr>
      </w:pPr>
      <w:r w:rsidRPr="00E26C8E">
        <w:rPr>
          <w:rFonts w:eastAsia="Times New Roman"/>
          <w:szCs w:val="17"/>
        </w:rPr>
        <w:t>Dated: 11 December 2020</w:t>
      </w:r>
    </w:p>
    <w:p w:rsidR="00E26C8E" w:rsidRPr="00E26C8E" w:rsidRDefault="00E26C8E" w:rsidP="00E26C8E">
      <w:pPr>
        <w:spacing w:after="0"/>
        <w:jc w:val="right"/>
        <w:rPr>
          <w:rFonts w:eastAsia="Times New Roman"/>
          <w:smallCaps/>
          <w:szCs w:val="20"/>
        </w:rPr>
      </w:pPr>
      <w:r w:rsidRPr="00E26C8E">
        <w:rPr>
          <w:rFonts w:eastAsia="Times New Roman"/>
          <w:smallCaps/>
          <w:szCs w:val="20"/>
        </w:rPr>
        <w:t>Hon. Daniel van Holst Pellekaan</w:t>
      </w:r>
    </w:p>
    <w:p w:rsidR="00E26C8E" w:rsidRPr="00E26C8E" w:rsidRDefault="00E26C8E" w:rsidP="00E26C8E">
      <w:pPr>
        <w:spacing w:after="0"/>
        <w:jc w:val="right"/>
        <w:rPr>
          <w:rFonts w:eastAsia="Times New Roman"/>
          <w:szCs w:val="17"/>
        </w:rPr>
      </w:pPr>
      <w:r w:rsidRPr="00E26C8E">
        <w:rPr>
          <w:rFonts w:eastAsia="Times New Roman"/>
          <w:szCs w:val="17"/>
        </w:rPr>
        <w:t>Minister for Energy and Mining</w:t>
      </w:r>
    </w:p>
    <w:p w:rsidR="00E26C8E" w:rsidRPr="00E26C8E" w:rsidRDefault="00E26C8E" w:rsidP="00E26C8E">
      <w:pPr>
        <w:pBdr>
          <w:top w:val="single" w:sz="4" w:space="1" w:color="auto"/>
        </w:pBdr>
        <w:spacing w:before="100" w:after="0" w:line="14" w:lineRule="exact"/>
        <w:jc w:val="center"/>
        <w:rPr>
          <w:rFonts w:eastAsia="Times New Roman"/>
          <w:szCs w:val="17"/>
        </w:rPr>
      </w:pPr>
    </w:p>
    <w:p w:rsidR="00E26C8E" w:rsidRPr="00E26C8E" w:rsidRDefault="00E26C8E" w:rsidP="00E26C8E">
      <w:pPr>
        <w:spacing w:after="0"/>
        <w:rPr>
          <w:rFonts w:eastAsia="Times New Roman"/>
          <w:szCs w:val="17"/>
        </w:rPr>
      </w:pPr>
    </w:p>
    <w:p w:rsidR="00E26C8E" w:rsidRPr="00E26C8E" w:rsidRDefault="00E26C8E" w:rsidP="00E26C8E">
      <w:pPr>
        <w:jc w:val="center"/>
        <w:rPr>
          <w:caps/>
          <w:szCs w:val="17"/>
        </w:rPr>
      </w:pPr>
      <w:r w:rsidRPr="00E26C8E">
        <w:rPr>
          <w:caps/>
          <w:szCs w:val="17"/>
        </w:rPr>
        <w:t>Mining Act 1971</w:t>
      </w:r>
    </w:p>
    <w:p w:rsidR="00E26C8E" w:rsidRPr="00E26C8E" w:rsidRDefault="00E26C8E" w:rsidP="005549E6">
      <w:pPr>
        <w:pStyle w:val="GG-Title3"/>
      </w:pPr>
      <w:r w:rsidRPr="00E26C8E">
        <w:t>Notice under Section 58A(15) of the Mining Act 1971</w:t>
      </w:r>
    </w:p>
    <w:p w:rsidR="00E26C8E" w:rsidRPr="00E26C8E" w:rsidRDefault="00E26C8E" w:rsidP="00E26C8E">
      <w:pPr>
        <w:rPr>
          <w:rFonts w:eastAsia="Times New Roman"/>
          <w:szCs w:val="17"/>
        </w:rPr>
      </w:pPr>
      <w:r w:rsidRPr="00E26C8E">
        <w:rPr>
          <w:rFonts w:eastAsia="Times New Roman"/>
          <w:szCs w:val="17"/>
        </w:rPr>
        <w:t>NOTICE is hereby given pursuant to the provision of section 58A(15) of the</w:t>
      </w:r>
      <w:r w:rsidRPr="00E26C8E">
        <w:rPr>
          <w:rFonts w:eastAsia="Times New Roman"/>
          <w:i/>
          <w:szCs w:val="17"/>
        </w:rPr>
        <w:t xml:space="preserve"> Mining Act 1971,</w:t>
      </w:r>
      <w:r w:rsidRPr="00E26C8E">
        <w:rPr>
          <w:rFonts w:eastAsia="Times New Roman"/>
          <w:szCs w:val="17"/>
        </w:rPr>
        <w:t xml:space="preserve"> to specify the manner and form of a notice under section 58A(2) of the</w:t>
      </w:r>
      <w:r w:rsidRPr="00E26C8E">
        <w:rPr>
          <w:rFonts w:eastAsia="Times New Roman"/>
          <w:i/>
          <w:szCs w:val="17"/>
        </w:rPr>
        <w:t xml:space="preserve"> Mining Act 1971.</w:t>
      </w:r>
    </w:p>
    <w:p w:rsidR="00E26C8E" w:rsidRPr="00E26C8E" w:rsidRDefault="00E26C8E" w:rsidP="00E26C8E">
      <w:pPr>
        <w:rPr>
          <w:rFonts w:eastAsia="Times New Roman"/>
          <w:szCs w:val="17"/>
        </w:rPr>
      </w:pPr>
      <w:r w:rsidRPr="00E26C8E">
        <w:rPr>
          <w:rFonts w:eastAsia="Times New Roman"/>
          <w:szCs w:val="17"/>
        </w:rPr>
        <w:t>TAKE notice that I, Daniel van Holst Pellekaan, Minister for Energy and Mining, pursuant to section 58A(15) of the</w:t>
      </w:r>
      <w:r w:rsidRPr="00E26C8E">
        <w:rPr>
          <w:rFonts w:eastAsia="Times New Roman"/>
          <w:i/>
          <w:szCs w:val="17"/>
        </w:rPr>
        <w:t xml:space="preserve"> Mining Act 1971 </w:t>
      </w:r>
      <w:r w:rsidRPr="00E26C8E">
        <w:rPr>
          <w:rFonts w:eastAsia="Times New Roman"/>
          <w:szCs w:val="17"/>
        </w:rPr>
        <w:t>do hereby:</w:t>
      </w:r>
    </w:p>
    <w:p w:rsidR="00E26C8E" w:rsidRPr="00E26C8E" w:rsidRDefault="00E26C8E" w:rsidP="00E26C8E">
      <w:pPr>
        <w:ind w:left="142"/>
        <w:rPr>
          <w:rFonts w:eastAsia="Times New Roman"/>
          <w:szCs w:val="17"/>
        </w:rPr>
      </w:pPr>
      <w:r w:rsidRPr="00E26C8E">
        <w:rPr>
          <w:rFonts w:eastAsia="Times New Roman"/>
          <w:szCs w:val="17"/>
        </w:rPr>
        <w:t>DETERMINE that a notice under section 58A(2) of the</w:t>
      </w:r>
      <w:r w:rsidRPr="00E26C8E">
        <w:rPr>
          <w:rFonts w:eastAsia="Times New Roman"/>
          <w:i/>
          <w:szCs w:val="17"/>
        </w:rPr>
        <w:t xml:space="preserve"> Mining Act 1971 </w:t>
      </w:r>
      <w:r w:rsidRPr="00E26C8E">
        <w:rPr>
          <w:rFonts w:eastAsia="Times New Roman"/>
          <w:szCs w:val="17"/>
        </w:rPr>
        <w:t>must be in the following manner and form:</w:t>
      </w:r>
    </w:p>
    <w:p w:rsidR="00E26C8E" w:rsidRPr="00E26C8E" w:rsidRDefault="00E26C8E" w:rsidP="00E26C8E">
      <w:pPr>
        <w:ind w:left="567" w:hanging="283"/>
        <w:rPr>
          <w:rFonts w:eastAsia="Times New Roman"/>
          <w:szCs w:val="17"/>
        </w:rPr>
      </w:pPr>
      <w:r w:rsidRPr="00E26C8E">
        <w:rPr>
          <w:rFonts w:eastAsia="Times New Roman"/>
          <w:szCs w:val="17"/>
        </w:rPr>
        <w:t>1.</w:t>
      </w:r>
      <w:r w:rsidRPr="00E26C8E">
        <w:rPr>
          <w:rFonts w:eastAsia="Times New Roman"/>
          <w:szCs w:val="17"/>
        </w:rPr>
        <w:tab/>
        <w:t>state the full name(s) and address(es), as well as the phone numbers and email addresses (if known) of each owner of land;</w:t>
      </w:r>
    </w:p>
    <w:p w:rsidR="00E26C8E" w:rsidRPr="00E26C8E" w:rsidRDefault="00E26C8E" w:rsidP="00E26C8E">
      <w:pPr>
        <w:ind w:left="567" w:hanging="283"/>
        <w:rPr>
          <w:rFonts w:eastAsia="Times New Roman"/>
          <w:szCs w:val="17"/>
        </w:rPr>
      </w:pPr>
      <w:r w:rsidRPr="00E26C8E">
        <w:rPr>
          <w:rFonts w:eastAsia="Times New Roman"/>
          <w:szCs w:val="17"/>
        </w:rPr>
        <w:t>2.</w:t>
      </w:r>
      <w:r w:rsidRPr="00E26C8E">
        <w:rPr>
          <w:rFonts w:eastAsia="Times New Roman"/>
          <w:szCs w:val="17"/>
        </w:rPr>
        <w:tab/>
        <w:t>state the full name(s) and business address(es) of the tenement holder(s);</w:t>
      </w:r>
    </w:p>
    <w:p w:rsidR="00E26C8E" w:rsidRPr="00E26C8E" w:rsidRDefault="00E26C8E" w:rsidP="00E26C8E">
      <w:pPr>
        <w:ind w:left="567" w:hanging="283"/>
        <w:rPr>
          <w:rFonts w:eastAsia="Times New Roman"/>
          <w:szCs w:val="17"/>
        </w:rPr>
      </w:pPr>
      <w:r w:rsidRPr="00E26C8E">
        <w:rPr>
          <w:rFonts w:eastAsia="Times New Roman"/>
          <w:szCs w:val="17"/>
        </w:rPr>
        <w:t>3.</w:t>
      </w:r>
      <w:r w:rsidRPr="00E26C8E">
        <w:rPr>
          <w:rFonts w:eastAsia="Times New Roman"/>
          <w:szCs w:val="17"/>
        </w:rPr>
        <w:tab/>
        <w:t>provide the name, telephone number and email address of a person who may be contacted about the notice;</w:t>
      </w:r>
    </w:p>
    <w:p w:rsidR="00E26C8E" w:rsidRPr="00E26C8E" w:rsidRDefault="00E26C8E" w:rsidP="00E26C8E">
      <w:pPr>
        <w:ind w:left="567" w:hanging="283"/>
        <w:rPr>
          <w:rFonts w:eastAsia="Times New Roman"/>
          <w:szCs w:val="17"/>
        </w:rPr>
      </w:pPr>
      <w:r w:rsidRPr="00E26C8E">
        <w:rPr>
          <w:rFonts w:eastAsia="Times New Roman"/>
          <w:szCs w:val="17"/>
        </w:rPr>
        <w:t>4.</w:t>
      </w:r>
      <w:r w:rsidRPr="00E26C8E">
        <w:rPr>
          <w:rFonts w:eastAsia="Times New Roman"/>
          <w:szCs w:val="17"/>
        </w:rPr>
        <w:tab/>
        <w:t>provide a description of the land, including the title reference (CT or CL) and parcel references, relating to the notice;</w:t>
      </w:r>
    </w:p>
    <w:p w:rsidR="00E26C8E" w:rsidRPr="00E26C8E" w:rsidRDefault="00E26C8E" w:rsidP="00E26C8E">
      <w:pPr>
        <w:ind w:left="567" w:hanging="283"/>
        <w:rPr>
          <w:rFonts w:eastAsia="Times New Roman"/>
          <w:szCs w:val="17"/>
        </w:rPr>
      </w:pPr>
      <w:r w:rsidRPr="00E26C8E">
        <w:rPr>
          <w:rFonts w:eastAsia="Times New Roman"/>
          <w:szCs w:val="17"/>
        </w:rPr>
        <w:t>5.</w:t>
      </w:r>
      <w:r w:rsidRPr="00E26C8E">
        <w:rPr>
          <w:rFonts w:eastAsia="Times New Roman"/>
          <w:szCs w:val="17"/>
        </w:rPr>
        <w:tab/>
        <w:t>provide a map clearly showing the following (at a minimum):</w:t>
      </w:r>
    </w:p>
    <w:p w:rsidR="00E26C8E" w:rsidRPr="00E26C8E" w:rsidRDefault="00E26C8E" w:rsidP="00E26C8E">
      <w:pPr>
        <w:ind w:left="851" w:hanging="284"/>
        <w:rPr>
          <w:rFonts w:eastAsia="Times New Roman"/>
          <w:szCs w:val="17"/>
        </w:rPr>
      </w:pPr>
      <w:r w:rsidRPr="00E26C8E">
        <w:rPr>
          <w:rFonts w:eastAsia="Times New Roman"/>
          <w:szCs w:val="17"/>
        </w:rPr>
        <w:t>a.</w:t>
      </w:r>
      <w:r w:rsidRPr="00E26C8E">
        <w:rPr>
          <w:rFonts w:eastAsia="Times New Roman"/>
          <w:szCs w:val="17"/>
        </w:rPr>
        <w:tab/>
        <w:t>relevant property ownership boundaries;</w:t>
      </w:r>
    </w:p>
    <w:p w:rsidR="00E26C8E" w:rsidRPr="00E26C8E" w:rsidRDefault="00E26C8E" w:rsidP="00E26C8E">
      <w:pPr>
        <w:ind w:left="851" w:hanging="284"/>
        <w:rPr>
          <w:rFonts w:eastAsia="Times New Roman"/>
          <w:szCs w:val="17"/>
        </w:rPr>
      </w:pPr>
      <w:r w:rsidRPr="00E26C8E">
        <w:rPr>
          <w:rFonts w:eastAsia="Times New Roman"/>
          <w:szCs w:val="17"/>
        </w:rPr>
        <w:t>b.</w:t>
      </w:r>
      <w:r w:rsidRPr="00E26C8E">
        <w:rPr>
          <w:rFonts w:eastAsia="Times New Roman"/>
          <w:szCs w:val="17"/>
        </w:rPr>
        <w:tab/>
        <w:t>tenement area (if applicable);</w:t>
      </w:r>
    </w:p>
    <w:p w:rsidR="00E26C8E" w:rsidRPr="00E26C8E" w:rsidRDefault="00E26C8E" w:rsidP="00E26C8E">
      <w:pPr>
        <w:ind w:left="851" w:hanging="284"/>
        <w:rPr>
          <w:rFonts w:eastAsia="Times New Roman"/>
          <w:szCs w:val="17"/>
        </w:rPr>
      </w:pPr>
      <w:r w:rsidRPr="00E26C8E">
        <w:rPr>
          <w:rFonts w:eastAsia="Times New Roman"/>
          <w:szCs w:val="17"/>
        </w:rPr>
        <w:t>c.</w:t>
      </w:r>
      <w:r w:rsidRPr="00E26C8E">
        <w:rPr>
          <w:rFonts w:eastAsia="Times New Roman"/>
          <w:szCs w:val="17"/>
        </w:rPr>
        <w:tab/>
        <w:t>area of proposed operations to be conducted within the tenement (if applicable);</w:t>
      </w:r>
    </w:p>
    <w:p w:rsidR="00E26C8E" w:rsidRPr="00E26C8E" w:rsidRDefault="00E26C8E" w:rsidP="00E26C8E">
      <w:pPr>
        <w:ind w:left="851" w:hanging="284"/>
        <w:rPr>
          <w:rFonts w:eastAsia="Times New Roman"/>
          <w:szCs w:val="17"/>
        </w:rPr>
      </w:pPr>
      <w:r w:rsidRPr="00E26C8E">
        <w:rPr>
          <w:rFonts w:eastAsia="Times New Roman"/>
          <w:szCs w:val="17"/>
        </w:rPr>
        <w:t>d.</w:t>
      </w:r>
      <w:r w:rsidRPr="00E26C8E">
        <w:rPr>
          <w:rFonts w:eastAsia="Times New Roman"/>
          <w:szCs w:val="17"/>
        </w:rPr>
        <w:tab/>
        <w:t>an arrow showing North;</w:t>
      </w:r>
    </w:p>
    <w:p w:rsidR="00E26C8E" w:rsidRPr="00E26C8E" w:rsidRDefault="00E26C8E" w:rsidP="00E26C8E">
      <w:pPr>
        <w:ind w:left="851" w:hanging="284"/>
        <w:rPr>
          <w:rFonts w:eastAsia="Times New Roman"/>
          <w:szCs w:val="17"/>
        </w:rPr>
      </w:pPr>
      <w:r w:rsidRPr="00E26C8E">
        <w:rPr>
          <w:rFonts w:eastAsia="Times New Roman"/>
          <w:szCs w:val="17"/>
        </w:rPr>
        <w:t>e.</w:t>
      </w:r>
      <w:r w:rsidRPr="00E26C8E">
        <w:rPr>
          <w:rFonts w:eastAsia="Times New Roman"/>
          <w:szCs w:val="17"/>
        </w:rPr>
        <w:tab/>
        <w:t>the Eastings and Northings of the tenement;</w:t>
      </w:r>
    </w:p>
    <w:p w:rsidR="00E26C8E" w:rsidRPr="00E26C8E" w:rsidRDefault="00E26C8E" w:rsidP="00E26C8E">
      <w:pPr>
        <w:ind w:left="851" w:hanging="284"/>
        <w:rPr>
          <w:rFonts w:eastAsia="Times New Roman"/>
          <w:szCs w:val="17"/>
        </w:rPr>
      </w:pPr>
      <w:r w:rsidRPr="00E26C8E">
        <w:rPr>
          <w:rFonts w:eastAsia="Times New Roman"/>
          <w:szCs w:val="17"/>
        </w:rPr>
        <w:t>f.</w:t>
      </w:r>
      <w:r w:rsidRPr="00E26C8E">
        <w:rPr>
          <w:rFonts w:eastAsia="Times New Roman"/>
          <w:szCs w:val="17"/>
        </w:rPr>
        <w:tab/>
        <w:t>relevant topographical information; and</w:t>
      </w:r>
    </w:p>
    <w:p w:rsidR="00E26C8E" w:rsidRPr="00E26C8E" w:rsidRDefault="00E26C8E" w:rsidP="00E26C8E">
      <w:pPr>
        <w:ind w:left="851" w:hanging="284"/>
        <w:rPr>
          <w:rFonts w:eastAsia="Times New Roman"/>
          <w:szCs w:val="17"/>
        </w:rPr>
      </w:pPr>
      <w:r w:rsidRPr="00E26C8E">
        <w:rPr>
          <w:rFonts w:eastAsia="Times New Roman"/>
          <w:szCs w:val="17"/>
        </w:rPr>
        <w:t>g.</w:t>
      </w:r>
      <w:r w:rsidRPr="00E26C8E">
        <w:rPr>
          <w:rFonts w:eastAsia="Times New Roman"/>
          <w:szCs w:val="17"/>
        </w:rPr>
        <w:tab/>
        <w:t>a scale bar;</w:t>
      </w:r>
    </w:p>
    <w:p w:rsidR="00E26C8E" w:rsidRPr="00E26C8E" w:rsidRDefault="00E26C8E" w:rsidP="00E26C8E">
      <w:pPr>
        <w:ind w:left="567" w:hanging="283"/>
        <w:rPr>
          <w:rFonts w:eastAsia="Times New Roman"/>
          <w:szCs w:val="17"/>
        </w:rPr>
      </w:pPr>
      <w:r w:rsidRPr="00E26C8E">
        <w:rPr>
          <w:rFonts w:eastAsia="Times New Roman"/>
          <w:szCs w:val="17"/>
        </w:rPr>
        <w:t>6.</w:t>
      </w:r>
      <w:r w:rsidRPr="00E26C8E">
        <w:rPr>
          <w:rFonts w:eastAsia="Times New Roman"/>
          <w:szCs w:val="17"/>
        </w:rPr>
        <w:tab/>
        <w:t>provide the tenement numbers of the tenements related to the notice being served (tenement information can be found at map.sarig.sa.gov.au);</w:t>
      </w:r>
    </w:p>
    <w:p w:rsidR="00E26C8E" w:rsidRPr="00E26C8E" w:rsidRDefault="00E26C8E" w:rsidP="00E26C8E">
      <w:pPr>
        <w:ind w:left="567" w:hanging="283"/>
        <w:rPr>
          <w:rFonts w:eastAsia="Times New Roman"/>
          <w:szCs w:val="17"/>
        </w:rPr>
      </w:pPr>
      <w:r w:rsidRPr="00E26C8E">
        <w:rPr>
          <w:rFonts w:eastAsia="Times New Roman"/>
          <w:szCs w:val="17"/>
        </w:rPr>
        <w:t>7.</w:t>
      </w:r>
      <w:r w:rsidRPr="00E26C8E">
        <w:rPr>
          <w:rFonts w:eastAsia="Times New Roman"/>
          <w:szCs w:val="17"/>
        </w:rPr>
        <w:tab/>
        <w:t>provide a copy of or a link to access the program for environment protection and rehabilitation (PEPR) (if approved) or provide a reasonable description of the type of operations proposed to be carried out on the land;</w:t>
      </w:r>
    </w:p>
    <w:p w:rsidR="00E26C8E" w:rsidRPr="00E26C8E" w:rsidRDefault="00E26C8E" w:rsidP="00E26C8E">
      <w:pPr>
        <w:ind w:left="567" w:hanging="283"/>
        <w:rPr>
          <w:rFonts w:eastAsia="Times New Roman"/>
          <w:szCs w:val="17"/>
        </w:rPr>
      </w:pPr>
      <w:r w:rsidRPr="00E26C8E">
        <w:rPr>
          <w:rFonts w:eastAsia="Times New Roman"/>
          <w:szCs w:val="17"/>
        </w:rPr>
        <w:t>8.</w:t>
      </w:r>
      <w:r w:rsidRPr="00E26C8E">
        <w:rPr>
          <w:rFonts w:eastAsia="Times New Roman"/>
          <w:szCs w:val="17"/>
        </w:rPr>
        <w:tab/>
        <w:t>set out a process by which the owner of the land will, on an on-going basis, be:</w:t>
      </w:r>
    </w:p>
    <w:p w:rsidR="00E26C8E" w:rsidRPr="00E26C8E" w:rsidRDefault="00E26C8E" w:rsidP="00E26C8E">
      <w:pPr>
        <w:ind w:left="851" w:hanging="284"/>
        <w:rPr>
          <w:rFonts w:eastAsia="Times New Roman"/>
          <w:szCs w:val="17"/>
        </w:rPr>
      </w:pPr>
      <w:r w:rsidRPr="00E26C8E">
        <w:rPr>
          <w:rFonts w:eastAsia="Times New Roman"/>
          <w:szCs w:val="17"/>
        </w:rPr>
        <w:t>a.</w:t>
      </w:r>
      <w:r w:rsidRPr="00E26C8E">
        <w:rPr>
          <w:rFonts w:eastAsia="Times New Roman"/>
          <w:szCs w:val="17"/>
        </w:rPr>
        <w:tab/>
        <w:t>updated on the operations carried out on the land</w:t>
      </w:r>
    </w:p>
    <w:p w:rsidR="00E26C8E" w:rsidRPr="00E26C8E" w:rsidRDefault="00E26C8E" w:rsidP="00E26C8E">
      <w:pPr>
        <w:ind w:left="851" w:hanging="284"/>
        <w:rPr>
          <w:rFonts w:eastAsia="Times New Roman"/>
          <w:szCs w:val="17"/>
        </w:rPr>
      </w:pPr>
      <w:r w:rsidRPr="00E26C8E">
        <w:rPr>
          <w:rFonts w:eastAsia="Times New Roman"/>
          <w:szCs w:val="17"/>
        </w:rPr>
        <w:t>b.</w:t>
      </w:r>
      <w:r w:rsidRPr="00E26C8E">
        <w:rPr>
          <w:rFonts w:eastAsia="Times New Roman"/>
          <w:szCs w:val="17"/>
        </w:rPr>
        <w:tab/>
        <w:t>notified of the place or places where operations are to be carried out on the land</w:t>
      </w:r>
    </w:p>
    <w:p w:rsidR="00E26C8E" w:rsidRPr="00E26C8E" w:rsidRDefault="00E26C8E" w:rsidP="00E26C8E">
      <w:pPr>
        <w:ind w:left="851" w:hanging="284"/>
        <w:rPr>
          <w:rFonts w:eastAsia="Times New Roman"/>
          <w:szCs w:val="17"/>
        </w:rPr>
      </w:pPr>
      <w:r w:rsidRPr="00E26C8E">
        <w:rPr>
          <w:rFonts w:eastAsia="Times New Roman"/>
          <w:szCs w:val="17"/>
        </w:rPr>
        <w:t>c.</w:t>
      </w:r>
      <w:r w:rsidRPr="00E26C8E">
        <w:rPr>
          <w:rFonts w:eastAsia="Times New Roman"/>
          <w:szCs w:val="17"/>
        </w:rPr>
        <w:tab/>
        <w:t>notified of the proposed timing for the operations and the proposed duration of the operations</w:t>
      </w:r>
    </w:p>
    <w:p w:rsidR="00E26C8E" w:rsidRPr="00E26C8E" w:rsidRDefault="00E26C8E" w:rsidP="00E26C8E">
      <w:pPr>
        <w:ind w:left="851" w:hanging="284"/>
        <w:rPr>
          <w:rFonts w:eastAsia="Times New Roman"/>
          <w:szCs w:val="17"/>
        </w:rPr>
      </w:pPr>
      <w:r w:rsidRPr="00E26C8E">
        <w:rPr>
          <w:rFonts w:eastAsia="Times New Roman"/>
          <w:szCs w:val="17"/>
        </w:rPr>
        <w:t>d.</w:t>
      </w:r>
      <w:r w:rsidRPr="00E26C8E">
        <w:rPr>
          <w:rFonts w:eastAsia="Times New Roman"/>
          <w:szCs w:val="17"/>
        </w:rPr>
        <w:tab/>
        <w:t>provided with reasonable information on the anticipated events and consequences associated with the operations to be carried out on the land (including any potential impacts on native title rights and interests and Aboriginal heritage).</w:t>
      </w:r>
    </w:p>
    <w:p w:rsidR="00E26C8E" w:rsidRPr="00E26C8E" w:rsidRDefault="00E26C8E" w:rsidP="00E26C8E">
      <w:pPr>
        <w:ind w:left="851" w:hanging="284"/>
        <w:rPr>
          <w:rFonts w:eastAsia="Times New Roman"/>
          <w:szCs w:val="17"/>
        </w:rPr>
      </w:pPr>
      <w:r w:rsidRPr="00E26C8E">
        <w:rPr>
          <w:rFonts w:eastAsia="Times New Roman"/>
          <w:szCs w:val="17"/>
        </w:rPr>
        <w:t>e.</w:t>
      </w:r>
      <w:r w:rsidRPr="00E26C8E">
        <w:rPr>
          <w:rFonts w:eastAsia="Times New Roman"/>
          <w:szCs w:val="17"/>
        </w:rPr>
        <w:tab/>
        <w:t>provided the proposed action the tenement holder will take to manage and address those events and consequences (including any potential impacts on native title rights and interests and Aboriginal heritage), in order to enable the owner of the land to make an informed decision about the impact or potential impact of the operations on the land.</w:t>
      </w:r>
    </w:p>
    <w:p w:rsidR="00E26C8E" w:rsidRPr="00E26C8E" w:rsidRDefault="00E26C8E" w:rsidP="00E26C8E">
      <w:pPr>
        <w:ind w:left="567" w:hanging="283"/>
        <w:rPr>
          <w:rFonts w:eastAsia="Times New Roman"/>
          <w:szCs w:val="17"/>
        </w:rPr>
      </w:pPr>
      <w:r w:rsidRPr="00E26C8E">
        <w:rPr>
          <w:rFonts w:eastAsia="Times New Roman"/>
          <w:szCs w:val="17"/>
        </w:rPr>
        <w:t>9.</w:t>
      </w:r>
      <w:r w:rsidRPr="00E26C8E">
        <w:rPr>
          <w:rFonts w:eastAsia="Times New Roman"/>
          <w:szCs w:val="17"/>
        </w:rPr>
        <w:tab/>
        <w:t>be accompanied by an Information Sheet relating to:</w:t>
      </w:r>
    </w:p>
    <w:p w:rsidR="00E26C8E" w:rsidRPr="00E26C8E" w:rsidRDefault="00E26C8E" w:rsidP="00E26C8E">
      <w:pPr>
        <w:ind w:left="851" w:hanging="284"/>
        <w:rPr>
          <w:rFonts w:eastAsia="Times New Roman"/>
          <w:szCs w:val="17"/>
        </w:rPr>
      </w:pPr>
      <w:r w:rsidRPr="00E26C8E">
        <w:rPr>
          <w:rFonts w:eastAsia="Times New Roman"/>
          <w:szCs w:val="17"/>
        </w:rPr>
        <w:t>a.</w:t>
      </w:r>
      <w:r w:rsidRPr="00E26C8E">
        <w:rPr>
          <w:rFonts w:eastAsia="Times New Roman"/>
          <w:szCs w:val="17"/>
        </w:rPr>
        <w:tab/>
        <w:t>the owner of land’s rights to object to a notice and rights to compensation approved by the Minister and published on the website of the Department for Energy and Mining; and</w:t>
      </w:r>
    </w:p>
    <w:p w:rsidR="00E26C8E" w:rsidRPr="00E26C8E" w:rsidRDefault="00E26C8E" w:rsidP="00E26C8E">
      <w:pPr>
        <w:ind w:left="851" w:hanging="284"/>
        <w:rPr>
          <w:rFonts w:eastAsia="Times New Roman"/>
          <w:szCs w:val="17"/>
        </w:rPr>
      </w:pPr>
      <w:r w:rsidRPr="00E26C8E">
        <w:rPr>
          <w:rFonts w:eastAsia="Times New Roman"/>
          <w:szCs w:val="17"/>
        </w:rPr>
        <w:t>b.</w:t>
      </w:r>
      <w:r w:rsidRPr="00E26C8E">
        <w:rPr>
          <w:rFonts w:eastAsia="Times New Roman"/>
          <w:szCs w:val="17"/>
        </w:rPr>
        <w:tab/>
        <w:t>the owner of land’s rights to apply to the Small Business Commissioner approved by the Minister and published on the website of the Department for Energy and Mining</w:t>
      </w:r>
    </w:p>
    <w:p w:rsidR="00E26C8E" w:rsidRPr="00E26C8E" w:rsidRDefault="00E26C8E" w:rsidP="00E26C8E">
      <w:pPr>
        <w:rPr>
          <w:rFonts w:eastAsia="Times New Roman"/>
          <w:szCs w:val="17"/>
        </w:rPr>
      </w:pPr>
      <w:r w:rsidRPr="00E26C8E">
        <w:rPr>
          <w:rFonts w:eastAsia="Times New Roman"/>
          <w:szCs w:val="17"/>
        </w:rPr>
        <w:t>In accordance with section 58A(15) of the</w:t>
      </w:r>
      <w:r w:rsidRPr="00E26C8E">
        <w:rPr>
          <w:rFonts w:eastAsia="Times New Roman"/>
          <w:i/>
          <w:szCs w:val="17"/>
        </w:rPr>
        <w:t xml:space="preserve"> Mining Act 1971 </w:t>
      </w:r>
      <w:r w:rsidRPr="00E26C8E">
        <w:rPr>
          <w:rFonts w:eastAsia="Times New Roman"/>
          <w:szCs w:val="17"/>
        </w:rPr>
        <w:t>this notice will have effect from 1 January 2021.</w:t>
      </w:r>
    </w:p>
    <w:p w:rsidR="00E26C8E" w:rsidRPr="00E26C8E" w:rsidRDefault="00E26C8E" w:rsidP="00E26C8E">
      <w:pPr>
        <w:spacing w:after="0"/>
        <w:rPr>
          <w:rFonts w:eastAsia="Times New Roman"/>
          <w:szCs w:val="17"/>
        </w:rPr>
      </w:pPr>
      <w:r w:rsidRPr="00E26C8E">
        <w:rPr>
          <w:rFonts w:eastAsia="Times New Roman"/>
          <w:szCs w:val="17"/>
        </w:rPr>
        <w:t>Dated: 11 December 2020</w:t>
      </w:r>
    </w:p>
    <w:p w:rsidR="00E26C8E" w:rsidRPr="00E26C8E" w:rsidRDefault="00E26C8E" w:rsidP="00E26C8E">
      <w:pPr>
        <w:spacing w:after="0"/>
        <w:jc w:val="right"/>
        <w:rPr>
          <w:rFonts w:eastAsia="Times New Roman"/>
          <w:smallCaps/>
          <w:szCs w:val="20"/>
        </w:rPr>
      </w:pPr>
      <w:r w:rsidRPr="00E26C8E">
        <w:rPr>
          <w:rFonts w:eastAsia="Times New Roman"/>
          <w:smallCaps/>
          <w:szCs w:val="20"/>
        </w:rPr>
        <w:t>Hon. Daniel van Holst Pellekaan</w:t>
      </w:r>
    </w:p>
    <w:p w:rsidR="00E26C8E" w:rsidRPr="00E26C8E" w:rsidRDefault="00E26C8E" w:rsidP="00E26C8E">
      <w:pPr>
        <w:spacing w:after="0"/>
        <w:jc w:val="right"/>
        <w:rPr>
          <w:rFonts w:eastAsia="Times New Roman"/>
          <w:szCs w:val="17"/>
        </w:rPr>
      </w:pPr>
      <w:r w:rsidRPr="00E26C8E">
        <w:rPr>
          <w:rFonts w:eastAsia="Times New Roman"/>
          <w:szCs w:val="17"/>
        </w:rPr>
        <w:t>Minister for Energy and Mining</w:t>
      </w:r>
    </w:p>
    <w:p w:rsidR="00E26C8E" w:rsidRPr="00E26C8E" w:rsidRDefault="00E26C8E" w:rsidP="00E26C8E">
      <w:pPr>
        <w:pBdr>
          <w:top w:val="single" w:sz="4" w:space="1" w:color="auto"/>
        </w:pBdr>
        <w:spacing w:before="100" w:after="0" w:line="14" w:lineRule="exact"/>
        <w:jc w:val="center"/>
        <w:rPr>
          <w:rFonts w:eastAsia="Times New Roman"/>
          <w:szCs w:val="17"/>
        </w:rPr>
      </w:pPr>
    </w:p>
    <w:p w:rsidR="00E26C8E" w:rsidRPr="00E26C8E" w:rsidRDefault="00E26C8E" w:rsidP="00E26C8E">
      <w:pPr>
        <w:spacing w:after="0"/>
        <w:rPr>
          <w:rFonts w:eastAsia="Times New Roman"/>
          <w:szCs w:val="17"/>
        </w:rPr>
      </w:pPr>
    </w:p>
    <w:p w:rsidR="00E26C8E" w:rsidRPr="00E26C8E" w:rsidRDefault="00E26C8E" w:rsidP="00E26C8E">
      <w:pPr>
        <w:spacing w:after="0" w:line="240" w:lineRule="auto"/>
        <w:jc w:val="left"/>
        <w:rPr>
          <w:caps/>
          <w:szCs w:val="17"/>
        </w:rPr>
      </w:pPr>
      <w:r w:rsidRPr="00E26C8E">
        <w:rPr>
          <w:rFonts w:eastAsia="Times New Roman"/>
          <w:szCs w:val="20"/>
        </w:rPr>
        <w:br w:type="page"/>
      </w:r>
    </w:p>
    <w:p w:rsidR="00E26C8E" w:rsidRPr="00E26C8E" w:rsidRDefault="00E26C8E" w:rsidP="00E26C8E">
      <w:pPr>
        <w:jc w:val="center"/>
        <w:rPr>
          <w:caps/>
          <w:szCs w:val="17"/>
        </w:rPr>
      </w:pPr>
      <w:r w:rsidRPr="00E26C8E">
        <w:rPr>
          <w:caps/>
          <w:szCs w:val="17"/>
        </w:rPr>
        <w:t>Mining Act 1971</w:t>
      </w:r>
    </w:p>
    <w:p w:rsidR="00E26C8E" w:rsidRPr="00E26C8E" w:rsidRDefault="00E26C8E" w:rsidP="005549E6">
      <w:pPr>
        <w:pStyle w:val="GG-Title3"/>
      </w:pPr>
      <w:r w:rsidRPr="00E26C8E">
        <w:t>Notice under Section 58A(15) of the Mining Act 1971</w:t>
      </w:r>
    </w:p>
    <w:p w:rsidR="00E26C8E" w:rsidRPr="00E26C8E" w:rsidRDefault="00E26C8E" w:rsidP="00E26C8E">
      <w:pPr>
        <w:rPr>
          <w:rFonts w:eastAsia="Times New Roman"/>
          <w:szCs w:val="17"/>
        </w:rPr>
      </w:pPr>
      <w:r w:rsidRPr="00E26C8E">
        <w:rPr>
          <w:rFonts w:eastAsia="Times New Roman"/>
          <w:szCs w:val="17"/>
        </w:rPr>
        <w:t>NOTICE is hereby given pursuant to the provision of section 58A(15) of the</w:t>
      </w:r>
      <w:r w:rsidRPr="00E26C8E">
        <w:rPr>
          <w:rFonts w:eastAsia="Times New Roman"/>
          <w:i/>
          <w:szCs w:val="17"/>
        </w:rPr>
        <w:t xml:space="preserve"> Mining Act 1971,</w:t>
      </w:r>
      <w:r w:rsidRPr="00E26C8E">
        <w:rPr>
          <w:rFonts w:eastAsia="Times New Roman"/>
          <w:szCs w:val="17"/>
        </w:rPr>
        <w:t xml:space="preserve"> to specify the manner and form of a notice under section 58A(3) of the</w:t>
      </w:r>
      <w:r w:rsidRPr="00E26C8E">
        <w:rPr>
          <w:rFonts w:eastAsia="Times New Roman"/>
          <w:i/>
          <w:szCs w:val="17"/>
        </w:rPr>
        <w:t xml:space="preserve"> Mining Act 1971.</w:t>
      </w:r>
    </w:p>
    <w:p w:rsidR="00E26C8E" w:rsidRPr="00E26C8E" w:rsidRDefault="00E26C8E" w:rsidP="00E26C8E">
      <w:pPr>
        <w:rPr>
          <w:rFonts w:eastAsia="Times New Roman"/>
          <w:szCs w:val="17"/>
        </w:rPr>
      </w:pPr>
      <w:r w:rsidRPr="00E26C8E">
        <w:rPr>
          <w:rFonts w:eastAsia="Times New Roman"/>
          <w:szCs w:val="17"/>
        </w:rPr>
        <w:t>TAKE notice that I, Daniel van Holst Pellekaan, Minister for Energy and Mining, pursuant to section 58A(15) of the</w:t>
      </w:r>
      <w:r w:rsidRPr="00E26C8E">
        <w:rPr>
          <w:rFonts w:eastAsia="Times New Roman"/>
          <w:i/>
          <w:szCs w:val="17"/>
        </w:rPr>
        <w:t xml:space="preserve"> Mining Act 1971 </w:t>
      </w:r>
      <w:r w:rsidRPr="00E26C8E">
        <w:rPr>
          <w:rFonts w:eastAsia="Times New Roman"/>
          <w:szCs w:val="17"/>
        </w:rPr>
        <w:t>do hereby:</w:t>
      </w:r>
    </w:p>
    <w:p w:rsidR="00E26C8E" w:rsidRPr="00E26C8E" w:rsidRDefault="00E26C8E" w:rsidP="00E26C8E">
      <w:pPr>
        <w:ind w:left="142"/>
        <w:rPr>
          <w:rFonts w:eastAsia="Times New Roman"/>
          <w:szCs w:val="17"/>
        </w:rPr>
      </w:pPr>
      <w:r w:rsidRPr="00E26C8E">
        <w:rPr>
          <w:rFonts w:eastAsia="Times New Roman"/>
          <w:szCs w:val="17"/>
        </w:rPr>
        <w:t>DETERMINE that a notice under section 58A(3) of the</w:t>
      </w:r>
      <w:r w:rsidRPr="00E26C8E">
        <w:rPr>
          <w:rFonts w:eastAsia="Times New Roman"/>
          <w:i/>
          <w:szCs w:val="17"/>
        </w:rPr>
        <w:t xml:space="preserve"> Mining Act 1971 </w:t>
      </w:r>
      <w:r w:rsidRPr="00E26C8E">
        <w:rPr>
          <w:rFonts w:eastAsia="Times New Roman"/>
          <w:szCs w:val="17"/>
        </w:rPr>
        <w:t>must be in the following manner and form:</w:t>
      </w:r>
    </w:p>
    <w:p w:rsidR="00E26C8E" w:rsidRPr="00E26C8E" w:rsidRDefault="00E26C8E" w:rsidP="00E26C8E">
      <w:pPr>
        <w:ind w:left="567" w:hanging="283"/>
        <w:rPr>
          <w:rFonts w:eastAsia="Times New Roman"/>
          <w:szCs w:val="17"/>
        </w:rPr>
      </w:pPr>
      <w:r w:rsidRPr="00E26C8E">
        <w:rPr>
          <w:rFonts w:eastAsia="Times New Roman"/>
          <w:szCs w:val="17"/>
        </w:rPr>
        <w:t>1.</w:t>
      </w:r>
      <w:r w:rsidRPr="00E26C8E">
        <w:rPr>
          <w:rFonts w:eastAsia="Times New Roman"/>
          <w:szCs w:val="17"/>
        </w:rPr>
        <w:tab/>
        <w:t>state the full name(s) and address(es), as well as the phone numbers and email addresses (if known) of each owner of land;</w:t>
      </w:r>
    </w:p>
    <w:p w:rsidR="00E26C8E" w:rsidRPr="00E26C8E" w:rsidRDefault="00E26C8E" w:rsidP="00E26C8E">
      <w:pPr>
        <w:ind w:left="567" w:hanging="283"/>
        <w:rPr>
          <w:rFonts w:eastAsia="Times New Roman"/>
          <w:szCs w:val="17"/>
        </w:rPr>
      </w:pPr>
      <w:r w:rsidRPr="00E26C8E">
        <w:rPr>
          <w:rFonts w:eastAsia="Times New Roman"/>
          <w:szCs w:val="17"/>
        </w:rPr>
        <w:t>2.</w:t>
      </w:r>
      <w:r w:rsidRPr="00E26C8E">
        <w:rPr>
          <w:rFonts w:eastAsia="Times New Roman"/>
          <w:szCs w:val="17"/>
        </w:rPr>
        <w:tab/>
        <w:t>state the full name(s) and business address(es) of the tenement holder(s);</w:t>
      </w:r>
    </w:p>
    <w:p w:rsidR="00E26C8E" w:rsidRPr="00E26C8E" w:rsidRDefault="00E26C8E" w:rsidP="00E26C8E">
      <w:pPr>
        <w:ind w:left="567" w:hanging="283"/>
        <w:rPr>
          <w:rFonts w:eastAsia="Times New Roman"/>
          <w:szCs w:val="17"/>
        </w:rPr>
      </w:pPr>
      <w:r w:rsidRPr="00E26C8E">
        <w:rPr>
          <w:rFonts w:eastAsia="Times New Roman"/>
          <w:szCs w:val="17"/>
        </w:rPr>
        <w:t>3.</w:t>
      </w:r>
      <w:r w:rsidRPr="00E26C8E">
        <w:rPr>
          <w:rFonts w:eastAsia="Times New Roman"/>
          <w:szCs w:val="17"/>
        </w:rPr>
        <w:tab/>
        <w:t>provide the name, telephone number and email address of a person who may be contacted about the notice;</w:t>
      </w:r>
    </w:p>
    <w:p w:rsidR="00E26C8E" w:rsidRPr="00E26C8E" w:rsidRDefault="00E26C8E" w:rsidP="00E26C8E">
      <w:pPr>
        <w:ind w:left="567" w:hanging="283"/>
        <w:rPr>
          <w:rFonts w:eastAsia="Times New Roman"/>
          <w:szCs w:val="17"/>
        </w:rPr>
      </w:pPr>
      <w:r w:rsidRPr="00E26C8E">
        <w:rPr>
          <w:rFonts w:eastAsia="Times New Roman"/>
          <w:szCs w:val="17"/>
        </w:rPr>
        <w:t>4.</w:t>
      </w:r>
      <w:r w:rsidRPr="00E26C8E">
        <w:rPr>
          <w:rFonts w:eastAsia="Times New Roman"/>
          <w:szCs w:val="17"/>
        </w:rPr>
        <w:tab/>
        <w:t>provide a description of the land, including the title reference (CT or CL) and parcel references, relating to the notice;</w:t>
      </w:r>
    </w:p>
    <w:p w:rsidR="00E26C8E" w:rsidRPr="00E26C8E" w:rsidRDefault="00E26C8E" w:rsidP="00E26C8E">
      <w:pPr>
        <w:ind w:left="567" w:hanging="283"/>
        <w:rPr>
          <w:rFonts w:eastAsia="Times New Roman"/>
          <w:szCs w:val="17"/>
        </w:rPr>
      </w:pPr>
      <w:r w:rsidRPr="00E26C8E">
        <w:rPr>
          <w:rFonts w:eastAsia="Times New Roman"/>
          <w:szCs w:val="17"/>
        </w:rPr>
        <w:t>5.</w:t>
      </w:r>
      <w:r w:rsidRPr="00E26C8E">
        <w:rPr>
          <w:rFonts w:eastAsia="Times New Roman"/>
          <w:szCs w:val="17"/>
        </w:rPr>
        <w:tab/>
        <w:t>provide a map clearly showing the following (at a minimum):</w:t>
      </w:r>
    </w:p>
    <w:p w:rsidR="00E26C8E" w:rsidRPr="00E26C8E" w:rsidRDefault="00E26C8E" w:rsidP="00E26C8E">
      <w:pPr>
        <w:ind w:left="851" w:hanging="284"/>
        <w:rPr>
          <w:rFonts w:eastAsia="Times New Roman"/>
          <w:szCs w:val="17"/>
        </w:rPr>
      </w:pPr>
      <w:r w:rsidRPr="00E26C8E">
        <w:rPr>
          <w:rFonts w:eastAsia="Times New Roman"/>
          <w:szCs w:val="17"/>
        </w:rPr>
        <w:t>a.</w:t>
      </w:r>
      <w:r w:rsidRPr="00E26C8E">
        <w:rPr>
          <w:rFonts w:eastAsia="Times New Roman"/>
          <w:szCs w:val="17"/>
        </w:rPr>
        <w:tab/>
        <w:t>relevant property ownership boundaries;</w:t>
      </w:r>
    </w:p>
    <w:p w:rsidR="00E26C8E" w:rsidRPr="00E26C8E" w:rsidRDefault="00E26C8E" w:rsidP="00E26C8E">
      <w:pPr>
        <w:ind w:left="851" w:hanging="284"/>
        <w:rPr>
          <w:rFonts w:eastAsia="Times New Roman"/>
          <w:szCs w:val="17"/>
        </w:rPr>
      </w:pPr>
      <w:r w:rsidRPr="00E26C8E">
        <w:rPr>
          <w:rFonts w:eastAsia="Times New Roman"/>
          <w:szCs w:val="17"/>
        </w:rPr>
        <w:t>b.</w:t>
      </w:r>
      <w:r w:rsidRPr="00E26C8E">
        <w:rPr>
          <w:rFonts w:eastAsia="Times New Roman"/>
          <w:szCs w:val="17"/>
        </w:rPr>
        <w:tab/>
        <w:t>tenement area (if applicable);</w:t>
      </w:r>
    </w:p>
    <w:p w:rsidR="00E26C8E" w:rsidRPr="00E26C8E" w:rsidRDefault="00E26C8E" w:rsidP="00E26C8E">
      <w:pPr>
        <w:ind w:left="851" w:hanging="284"/>
        <w:rPr>
          <w:rFonts w:eastAsia="Times New Roman"/>
          <w:szCs w:val="17"/>
        </w:rPr>
      </w:pPr>
      <w:r w:rsidRPr="00E26C8E">
        <w:rPr>
          <w:rFonts w:eastAsia="Times New Roman"/>
          <w:szCs w:val="17"/>
        </w:rPr>
        <w:t>c.</w:t>
      </w:r>
      <w:r w:rsidRPr="00E26C8E">
        <w:rPr>
          <w:rFonts w:eastAsia="Times New Roman"/>
          <w:szCs w:val="17"/>
        </w:rPr>
        <w:tab/>
        <w:t>area of proposed operations to be conducted within the tenement (if applicable);</w:t>
      </w:r>
    </w:p>
    <w:p w:rsidR="00E26C8E" w:rsidRPr="00E26C8E" w:rsidRDefault="00E26C8E" w:rsidP="00E26C8E">
      <w:pPr>
        <w:ind w:left="851" w:hanging="284"/>
        <w:rPr>
          <w:rFonts w:eastAsia="Times New Roman"/>
          <w:szCs w:val="17"/>
        </w:rPr>
      </w:pPr>
      <w:r w:rsidRPr="00E26C8E">
        <w:rPr>
          <w:rFonts w:eastAsia="Times New Roman"/>
          <w:szCs w:val="17"/>
        </w:rPr>
        <w:t>d.</w:t>
      </w:r>
      <w:r w:rsidRPr="00E26C8E">
        <w:rPr>
          <w:rFonts w:eastAsia="Times New Roman"/>
          <w:szCs w:val="17"/>
        </w:rPr>
        <w:tab/>
        <w:t>an arrow showing North;</w:t>
      </w:r>
    </w:p>
    <w:p w:rsidR="00E26C8E" w:rsidRPr="00E26C8E" w:rsidRDefault="00E26C8E" w:rsidP="00E26C8E">
      <w:pPr>
        <w:ind w:left="851" w:hanging="284"/>
        <w:rPr>
          <w:rFonts w:eastAsia="Times New Roman"/>
          <w:szCs w:val="17"/>
        </w:rPr>
      </w:pPr>
      <w:r w:rsidRPr="00E26C8E">
        <w:rPr>
          <w:rFonts w:eastAsia="Times New Roman"/>
          <w:szCs w:val="17"/>
        </w:rPr>
        <w:t>e.</w:t>
      </w:r>
      <w:r w:rsidRPr="00E26C8E">
        <w:rPr>
          <w:rFonts w:eastAsia="Times New Roman"/>
          <w:szCs w:val="17"/>
        </w:rPr>
        <w:tab/>
        <w:t>the Eastings and Northings of the tenement;</w:t>
      </w:r>
    </w:p>
    <w:p w:rsidR="00E26C8E" w:rsidRPr="00E26C8E" w:rsidRDefault="00E26C8E" w:rsidP="00E26C8E">
      <w:pPr>
        <w:ind w:left="851" w:hanging="284"/>
        <w:rPr>
          <w:rFonts w:eastAsia="Times New Roman"/>
          <w:szCs w:val="17"/>
        </w:rPr>
      </w:pPr>
      <w:r w:rsidRPr="00E26C8E">
        <w:rPr>
          <w:rFonts w:eastAsia="Times New Roman"/>
          <w:szCs w:val="17"/>
        </w:rPr>
        <w:t>f.</w:t>
      </w:r>
      <w:r w:rsidRPr="00E26C8E">
        <w:rPr>
          <w:rFonts w:eastAsia="Times New Roman"/>
          <w:szCs w:val="17"/>
        </w:rPr>
        <w:tab/>
        <w:t>relevant topographical information; and</w:t>
      </w:r>
    </w:p>
    <w:p w:rsidR="00E26C8E" w:rsidRPr="00E26C8E" w:rsidRDefault="00E26C8E" w:rsidP="00E26C8E">
      <w:pPr>
        <w:ind w:left="851" w:hanging="284"/>
        <w:rPr>
          <w:rFonts w:eastAsia="Times New Roman"/>
          <w:szCs w:val="17"/>
        </w:rPr>
      </w:pPr>
      <w:r w:rsidRPr="00E26C8E">
        <w:rPr>
          <w:rFonts w:eastAsia="Times New Roman"/>
          <w:szCs w:val="17"/>
        </w:rPr>
        <w:t>g.</w:t>
      </w:r>
      <w:r w:rsidRPr="00E26C8E">
        <w:rPr>
          <w:rFonts w:eastAsia="Times New Roman"/>
          <w:szCs w:val="17"/>
        </w:rPr>
        <w:tab/>
        <w:t>a scale bar;</w:t>
      </w:r>
    </w:p>
    <w:p w:rsidR="00E26C8E" w:rsidRPr="00E26C8E" w:rsidRDefault="00E26C8E" w:rsidP="00E26C8E">
      <w:pPr>
        <w:ind w:left="567" w:hanging="283"/>
        <w:rPr>
          <w:rFonts w:eastAsia="Times New Roman"/>
          <w:szCs w:val="17"/>
        </w:rPr>
      </w:pPr>
      <w:r w:rsidRPr="00E26C8E">
        <w:rPr>
          <w:rFonts w:eastAsia="Times New Roman"/>
          <w:szCs w:val="17"/>
        </w:rPr>
        <w:t>6.</w:t>
      </w:r>
      <w:r w:rsidRPr="00E26C8E">
        <w:rPr>
          <w:rFonts w:eastAsia="Times New Roman"/>
          <w:szCs w:val="17"/>
        </w:rPr>
        <w:tab/>
        <w:t>provide the tenement numbers of the tenements related to the notice being served (tenement information can be found at map.sarig.sa.gov.au);</w:t>
      </w:r>
    </w:p>
    <w:p w:rsidR="00E26C8E" w:rsidRPr="00E26C8E" w:rsidRDefault="00E26C8E" w:rsidP="00E26C8E">
      <w:pPr>
        <w:ind w:left="567" w:hanging="283"/>
        <w:rPr>
          <w:rFonts w:eastAsia="Times New Roman"/>
          <w:szCs w:val="17"/>
        </w:rPr>
      </w:pPr>
      <w:r w:rsidRPr="00E26C8E">
        <w:rPr>
          <w:rFonts w:eastAsia="Times New Roman"/>
          <w:szCs w:val="17"/>
        </w:rPr>
        <w:t>7.</w:t>
      </w:r>
      <w:r w:rsidRPr="00E26C8E">
        <w:rPr>
          <w:rFonts w:eastAsia="Times New Roman"/>
          <w:szCs w:val="17"/>
        </w:rPr>
        <w:tab/>
        <w:t>provide a description of proposed operations or a copy of the draft application documents, including but not limited to the mining proposal, management plan and/or retention lease proposal;</w:t>
      </w:r>
    </w:p>
    <w:p w:rsidR="00E26C8E" w:rsidRPr="00E26C8E" w:rsidRDefault="00E26C8E" w:rsidP="00E26C8E">
      <w:pPr>
        <w:ind w:left="567" w:hanging="283"/>
        <w:rPr>
          <w:rFonts w:eastAsia="Times New Roman"/>
          <w:szCs w:val="17"/>
        </w:rPr>
      </w:pPr>
      <w:r w:rsidRPr="00E26C8E">
        <w:rPr>
          <w:rFonts w:eastAsia="Times New Roman"/>
          <w:szCs w:val="17"/>
        </w:rPr>
        <w:t>8.</w:t>
      </w:r>
      <w:r w:rsidRPr="00E26C8E">
        <w:rPr>
          <w:rFonts w:eastAsia="Times New Roman"/>
          <w:szCs w:val="17"/>
        </w:rPr>
        <w:tab/>
        <w:t>provide a description of how the views of the owner of the land have been, and will continue to be sought for the purposes of informing the finalisation of the application;</w:t>
      </w:r>
    </w:p>
    <w:p w:rsidR="00E26C8E" w:rsidRPr="00E26C8E" w:rsidRDefault="00E26C8E" w:rsidP="00E26C8E">
      <w:pPr>
        <w:ind w:left="567" w:hanging="283"/>
        <w:rPr>
          <w:rFonts w:eastAsia="Times New Roman"/>
          <w:szCs w:val="17"/>
        </w:rPr>
      </w:pPr>
      <w:r w:rsidRPr="00E26C8E">
        <w:rPr>
          <w:rFonts w:eastAsia="Times New Roman"/>
          <w:szCs w:val="17"/>
        </w:rPr>
        <w:t>9.</w:t>
      </w:r>
      <w:r w:rsidRPr="00E26C8E">
        <w:rPr>
          <w:rFonts w:eastAsia="Times New Roman"/>
          <w:szCs w:val="17"/>
        </w:rPr>
        <w:tab/>
        <w:t>provide a description of the negotiation process between the tenement holder and the owner of land on a land access agreement relating to the application;</w:t>
      </w:r>
    </w:p>
    <w:p w:rsidR="00E26C8E" w:rsidRPr="00E26C8E" w:rsidRDefault="00E26C8E" w:rsidP="00E26C8E">
      <w:pPr>
        <w:ind w:left="567" w:hanging="283"/>
        <w:rPr>
          <w:rFonts w:eastAsia="Times New Roman"/>
          <w:szCs w:val="17"/>
        </w:rPr>
      </w:pPr>
      <w:r w:rsidRPr="00E26C8E">
        <w:rPr>
          <w:rFonts w:eastAsia="Times New Roman"/>
          <w:szCs w:val="17"/>
        </w:rPr>
        <w:t>10.</w:t>
      </w:r>
      <w:r w:rsidRPr="00E26C8E">
        <w:rPr>
          <w:rFonts w:eastAsia="Times New Roman"/>
          <w:szCs w:val="17"/>
        </w:rPr>
        <w:tab/>
        <w:t>inform the owner of the land of the applicant’s intention to enter the land to carry out authorised operations, should the application be granted;</w:t>
      </w:r>
    </w:p>
    <w:p w:rsidR="00E26C8E" w:rsidRPr="00E26C8E" w:rsidRDefault="00E26C8E" w:rsidP="00E26C8E">
      <w:pPr>
        <w:ind w:left="567" w:hanging="283"/>
        <w:rPr>
          <w:rFonts w:eastAsia="Times New Roman"/>
          <w:szCs w:val="17"/>
        </w:rPr>
      </w:pPr>
      <w:r w:rsidRPr="00E26C8E">
        <w:rPr>
          <w:rFonts w:eastAsia="Times New Roman"/>
          <w:szCs w:val="17"/>
        </w:rPr>
        <w:t>11.</w:t>
      </w:r>
      <w:r w:rsidRPr="00E26C8E">
        <w:rPr>
          <w:rFonts w:eastAsia="Times New Roman"/>
          <w:szCs w:val="17"/>
        </w:rPr>
        <w:tab/>
        <w:t>be accompanied by an Information Sheet relating to:</w:t>
      </w:r>
    </w:p>
    <w:p w:rsidR="00E26C8E" w:rsidRPr="00E26C8E" w:rsidRDefault="00E26C8E" w:rsidP="00E26C8E">
      <w:pPr>
        <w:ind w:left="851" w:hanging="284"/>
        <w:rPr>
          <w:rFonts w:eastAsia="Times New Roman"/>
          <w:szCs w:val="17"/>
        </w:rPr>
      </w:pPr>
      <w:r w:rsidRPr="00E26C8E">
        <w:rPr>
          <w:rFonts w:eastAsia="Times New Roman"/>
          <w:szCs w:val="17"/>
        </w:rPr>
        <w:t>a.</w:t>
      </w:r>
      <w:r w:rsidRPr="00E26C8E">
        <w:rPr>
          <w:rFonts w:eastAsia="Times New Roman"/>
          <w:szCs w:val="17"/>
        </w:rPr>
        <w:tab/>
        <w:t>the owner of land’s rights to object to a notice and rights to compensation approved by the Minister and published on the website of the Department for Energy and Mining; and</w:t>
      </w:r>
    </w:p>
    <w:p w:rsidR="00E26C8E" w:rsidRPr="00E26C8E" w:rsidRDefault="00E26C8E" w:rsidP="00E26C8E">
      <w:pPr>
        <w:ind w:left="851" w:hanging="284"/>
        <w:rPr>
          <w:rFonts w:eastAsia="Times New Roman"/>
          <w:szCs w:val="17"/>
        </w:rPr>
      </w:pPr>
      <w:r w:rsidRPr="00E26C8E">
        <w:rPr>
          <w:rFonts w:eastAsia="Times New Roman"/>
          <w:szCs w:val="17"/>
        </w:rPr>
        <w:t>b.</w:t>
      </w:r>
      <w:r w:rsidRPr="00E26C8E">
        <w:rPr>
          <w:rFonts w:eastAsia="Times New Roman"/>
          <w:szCs w:val="17"/>
        </w:rPr>
        <w:tab/>
        <w:t>the owner of land’s rights to apply to the Small Business Commissioner approved by the Minister and published on the website of the Department for Energy and Mining.</w:t>
      </w:r>
    </w:p>
    <w:p w:rsidR="00E26C8E" w:rsidRPr="00E26C8E" w:rsidRDefault="00E26C8E" w:rsidP="00E26C8E">
      <w:pPr>
        <w:rPr>
          <w:rFonts w:eastAsia="Times New Roman"/>
          <w:szCs w:val="17"/>
        </w:rPr>
      </w:pPr>
      <w:r w:rsidRPr="00E26C8E">
        <w:rPr>
          <w:rFonts w:eastAsia="Times New Roman"/>
          <w:szCs w:val="17"/>
        </w:rPr>
        <w:t>In accordance with section 58A(15) of the</w:t>
      </w:r>
      <w:r w:rsidRPr="00E26C8E">
        <w:rPr>
          <w:rFonts w:eastAsia="Times New Roman"/>
          <w:i/>
          <w:szCs w:val="17"/>
        </w:rPr>
        <w:t xml:space="preserve"> Mining Act 1971 </w:t>
      </w:r>
      <w:r w:rsidRPr="00E26C8E">
        <w:rPr>
          <w:rFonts w:eastAsia="Times New Roman"/>
          <w:szCs w:val="17"/>
        </w:rPr>
        <w:t>this notice will have effect from 1 January 2021.</w:t>
      </w:r>
    </w:p>
    <w:p w:rsidR="00E26C8E" w:rsidRPr="00E26C8E" w:rsidRDefault="00E26C8E" w:rsidP="00E26C8E">
      <w:pPr>
        <w:spacing w:after="0"/>
        <w:rPr>
          <w:rFonts w:eastAsia="Times New Roman"/>
          <w:szCs w:val="17"/>
        </w:rPr>
      </w:pPr>
      <w:r w:rsidRPr="00E26C8E">
        <w:rPr>
          <w:rFonts w:eastAsia="Times New Roman"/>
          <w:szCs w:val="17"/>
        </w:rPr>
        <w:t>Dated: 11 December 2020</w:t>
      </w:r>
    </w:p>
    <w:p w:rsidR="00E26C8E" w:rsidRPr="00E26C8E" w:rsidRDefault="00E26C8E" w:rsidP="00E26C8E">
      <w:pPr>
        <w:spacing w:after="0"/>
        <w:jc w:val="right"/>
        <w:rPr>
          <w:rFonts w:eastAsia="Times New Roman"/>
          <w:smallCaps/>
          <w:szCs w:val="20"/>
        </w:rPr>
      </w:pPr>
      <w:r w:rsidRPr="00E26C8E">
        <w:rPr>
          <w:rFonts w:eastAsia="Times New Roman"/>
          <w:smallCaps/>
          <w:szCs w:val="20"/>
        </w:rPr>
        <w:t>Hon. Daniel van Holst Pellekaan</w:t>
      </w:r>
    </w:p>
    <w:p w:rsidR="00E26C8E" w:rsidRPr="00E26C8E" w:rsidRDefault="00E26C8E" w:rsidP="00E26C8E">
      <w:pPr>
        <w:spacing w:after="0"/>
        <w:jc w:val="right"/>
        <w:rPr>
          <w:rFonts w:eastAsia="Times New Roman"/>
          <w:szCs w:val="17"/>
        </w:rPr>
      </w:pPr>
      <w:r w:rsidRPr="00E26C8E">
        <w:rPr>
          <w:rFonts w:eastAsia="Times New Roman"/>
          <w:szCs w:val="17"/>
        </w:rPr>
        <w:t>Minister for Energy and Mining</w:t>
      </w:r>
    </w:p>
    <w:p w:rsidR="00E26C8E" w:rsidRPr="00E26C8E" w:rsidRDefault="00E26C8E" w:rsidP="00E26C8E">
      <w:pPr>
        <w:pBdr>
          <w:top w:val="single" w:sz="4" w:space="1" w:color="auto"/>
        </w:pBdr>
        <w:spacing w:before="100" w:after="0" w:line="14" w:lineRule="exact"/>
        <w:jc w:val="center"/>
        <w:rPr>
          <w:rFonts w:eastAsia="Times New Roman"/>
          <w:szCs w:val="17"/>
        </w:rPr>
      </w:pPr>
    </w:p>
    <w:p w:rsidR="00E26C8E" w:rsidRPr="00E26C8E" w:rsidRDefault="00E26C8E" w:rsidP="00E26C8E">
      <w:pPr>
        <w:spacing w:after="0"/>
        <w:rPr>
          <w:rFonts w:eastAsia="Times New Roman"/>
          <w:szCs w:val="17"/>
        </w:rPr>
      </w:pPr>
    </w:p>
    <w:p w:rsidR="00E26C8E" w:rsidRPr="00E26C8E" w:rsidRDefault="00E26C8E" w:rsidP="00E26C8E">
      <w:pPr>
        <w:jc w:val="center"/>
        <w:rPr>
          <w:caps/>
          <w:szCs w:val="17"/>
        </w:rPr>
      </w:pPr>
      <w:r w:rsidRPr="00E26C8E">
        <w:rPr>
          <w:caps/>
          <w:szCs w:val="17"/>
        </w:rPr>
        <w:t>Mining Act 1971</w:t>
      </w:r>
    </w:p>
    <w:p w:rsidR="00E26C8E" w:rsidRPr="00E26C8E" w:rsidRDefault="00E26C8E" w:rsidP="00E26C8E">
      <w:pPr>
        <w:jc w:val="center"/>
        <w:rPr>
          <w:smallCaps/>
          <w:szCs w:val="17"/>
        </w:rPr>
      </w:pPr>
      <w:r w:rsidRPr="00E26C8E">
        <w:rPr>
          <w:smallCaps/>
          <w:szCs w:val="17"/>
        </w:rPr>
        <w:t>Part 10A</w:t>
      </w:r>
    </w:p>
    <w:p w:rsidR="00E26C8E" w:rsidRPr="00E26C8E" w:rsidRDefault="00E26C8E" w:rsidP="005549E6">
      <w:pPr>
        <w:pStyle w:val="GG-Title3"/>
      </w:pPr>
      <w:r w:rsidRPr="00E26C8E">
        <w:t>Terms of Reference for Extractive Mineral Quarry Transitional PEPRS</w:t>
      </w:r>
    </w:p>
    <w:p w:rsidR="00E26C8E" w:rsidRPr="00E26C8E" w:rsidRDefault="00E26C8E" w:rsidP="00E26C8E">
      <w:pPr>
        <w:rPr>
          <w:rFonts w:eastAsia="Times New Roman"/>
          <w:szCs w:val="17"/>
        </w:rPr>
      </w:pPr>
      <w:r w:rsidRPr="00E26C8E">
        <w:rPr>
          <w:rFonts w:eastAsia="Times New Roman"/>
          <w:szCs w:val="17"/>
        </w:rPr>
        <w:t>This Terms of Reference applies to mining leases (ML) and miscellaneous purpose licences (MPLs) for the recovery of extractive minerals, where as at 1 January 2021, that ML or MPL:</w:t>
      </w:r>
    </w:p>
    <w:p w:rsidR="00E26C8E" w:rsidRPr="00E26C8E" w:rsidRDefault="00E26C8E" w:rsidP="00E26C8E">
      <w:pPr>
        <w:ind w:left="426" w:hanging="284"/>
        <w:rPr>
          <w:rFonts w:eastAsia="Times New Roman"/>
          <w:szCs w:val="17"/>
        </w:rPr>
      </w:pPr>
      <w:r w:rsidRPr="00E26C8E">
        <w:rPr>
          <w:rFonts w:eastAsia="Times New Roman"/>
          <w:szCs w:val="17"/>
        </w:rPr>
        <w:t>1.</w:t>
      </w:r>
      <w:r w:rsidRPr="00E26C8E">
        <w:rPr>
          <w:rFonts w:eastAsia="Times New Roman"/>
          <w:szCs w:val="17"/>
        </w:rPr>
        <w:tab/>
        <w:t xml:space="preserve">has a PEPR that transitioned by virtue of regulation 114 of the repealed </w:t>
      </w:r>
      <w:r w:rsidRPr="00E26C8E">
        <w:rPr>
          <w:rFonts w:eastAsia="Times New Roman"/>
          <w:i/>
          <w:szCs w:val="17"/>
        </w:rPr>
        <w:t>Mining Regulations 2011</w:t>
      </w:r>
      <w:r w:rsidRPr="00E26C8E">
        <w:rPr>
          <w:rFonts w:eastAsia="Times New Roman"/>
          <w:szCs w:val="17"/>
        </w:rPr>
        <w:t>, being:</w:t>
      </w:r>
    </w:p>
    <w:p w:rsidR="00E26C8E" w:rsidRPr="00E26C8E" w:rsidRDefault="00E26C8E" w:rsidP="00E26C8E">
      <w:pPr>
        <w:ind w:left="709" w:hanging="283"/>
        <w:rPr>
          <w:rFonts w:eastAsia="Times New Roman"/>
          <w:szCs w:val="17"/>
        </w:rPr>
      </w:pPr>
      <w:r w:rsidRPr="00E26C8E">
        <w:rPr>
          <w:rFonts w:eastAsia="Times New Roman"/>
          <w:szCs w:val="17"/>
        </w:rPr>
        <w:t>a.</w:t>
      </w:r>
      <w:r w:rsidRPr="00E26C8E">
        <w:rPr>
          <w:rFonts w:eastAsia="Times New Roman"/>
          <w:szCs w:val="17"/>
        </w:rPr>
        <w:tab/>
        <w:t xml:space="preserve">an exploration work approval (EWA) under regulation 56(b) of the repealed </w:t>
      </w:r>
      <w:r w:rsidRPr="00E26C8E">
        <w:rPr>
          <w:rFonts w:eastAsia="Times New Roman"/>
          <w:i/>
          <w:szCs w:val="17"/>
        </w:rPr>
        <w:t>Mining Regulations 1998</w:t>
      </w:r>
      <w:r w:rsidRPr="00E26C8E">
        <w:rPr>
          <w:rFonts w:eastAsia="Times New Roman"/>
          <w:szCs w:val="17"/>
        </w:rPr>
        <w:t>; or</w:t>
      </w:r>
    </w:p>
    <w:p w:rsidR="00E26C8E" w:rsidRPr="00E26C8E" w:rsidRDefault="00E26C8E" w:rsidP="00E26C8E">
      <w:pPr>
        <w:ind w:left="709" w:hanging="283"/>
        <w:rPr>
          <w:rFonts w:eastAsia="Times New Roman"/>
          <w:szCs w:val="17"/>
        </w:rPr>
      </w:pPr>
      <w:r w:rsidRPr="00E26C8E">
        <w:rPr>
          <w:rFonts w:eastAsia="Times New Roman"/>
          <w:szCs w:val="17"/>
        </w:rPr>
        <w:t>b.</w:t>
      </w:r>
      <w:r w:rsidRPr="00E26C8E">
        <w:rPr>
          <w:rFonts w:eastAsia="Times New Roman"/>
          <w:szCs w:val="17"/>
        </w:rPr>
        <w:tab/>
        <w:t xml:space="preserve">a declaration of environmental factors (DEF) imposed under regulation 56(b) of the repealed </w:t>
      </w:r>
      <w:r w:rsidRPr="00E26C8E">
        <w:rPr>
          <w:rFonts w:eastAsia="Times New Roman"/>
          <w:i/>
          <w:szCs w:val="17"/>
        </w:rPr>
        <w:t>Mining Regulations 1998</w:t>
      </w:r>
      <w:r w:rsidRPr="00E26C8E">
        <w:rPr>
          <w:rFonts w:eastAsia="Times New Roman"/>
          <w:szCs w:val="17"/>
        </w:rPr>
        <w:t xml:space="preserve"> or by a condition attached to an exploration licence (or both); or</w:t>
      </w:r>
    </w:p>
    <w:p w:rsidR="00E26C8E" w:rsidRPr="00E26C8E" w:rsidRDefault="00E26C8E" w:rsidP="00E26C8E">
      <w:pPr>
        <w:ind w:left="709" w:hanging="283"/>
        <w:rPr>
          <w:rFonts w:eastAsia="Times New Roman"/>
          <w:szCs w:val="17"/>
        </w:rPr>
      </w:pPr>
      <w:r w:rsidRPr="00E26C8E">
        <w:rPr>
          <w:rFonts w:eastAsia="Times New Roman"/>
          <w:szCs w:val="17"/>
        </w:rPr>
        <w:t>c.</w:t>
      </w:r>
      <w:r w:rsidRPr="00E26C8E">
        <w:rPr>
          <w:rFonts w:eastAsia="Times New Roman"/>
          <w:szCs w:val="17"/>
        </w:rPr>
        <w:tab/>
        <w:t xml:space="preserve">a program for mining and rehabilitation of land (MARP) under regulation 42(b) of the repealed </w:t>
      </w:r>
      <w:r w:rsidRPr="00E26C8E">
        <w:rPr>
          <w:rFonts w:eastAsia="Times New Roman"/>
          <w:i/>
          <w:szCs w:val="17"/>
        </w:rPr>
        <w:t>Mining Regulations 1998</w:t>
      </w:r>
      <w:r w:rsidRPr="00E26C8E">
        <w:rPr>
          <w:rFonts w:eastAsia="Times New Roman"/>
          <w:szCs w:val="17"/>
        </w:rPr>
        <w:t>; or</w:t>
      </w:r>
    </w:p>
    <w:p w:rsidR="00E26C8E" w:rsidRPr="00E26C8E" w:rsidRDefault="00E26C8E" w:rsidP="00E26C8E">
      <w:pPr>
        <w:ind w:left="426" w:hanging="284"/>
        <w:rPr>
          <w:rFonts w:eastAsia="Times New Roman"/>
          <w:szCs w:val="17"/>
        </w:rPr>
      </w:pPr>
      <w:r w:rsidRPr="00E26C8E">
        <w:rPr>
          <w:rFonts w:eastAsia="Times New Roman"/>
          <w:szCs w:val="17"/>
        </w:rPr>
        <w:t>2.</w:t>
      </w:r>
      <w:r w:rsidRPr="00E26C8E">
        <w:rPr>
          <w:rFonts w:eastAsia="Times New Roman"/>
          <w:szCs w:val="17"/>
        </w:rPr>
        <w:tab/>
        <w:t>has a PEPR that transitioned by virtue of section 70DA of the</w:t>
      </w:r>
      <w:r w:rsidRPr="00E26C8E">
        <w:rPr>
          <w:rFonts w:eastAsia="Times New Roman"/>
          <w:i/>
          <w:szCs w:val="17"/>
        </w:rPr>
        <w:t xml:space="preserve"> Mining Act 1971</w:t>
      </w:r>
      <w:r w:rsidRPr="00E26C8E">
        <w:rPr>
          <w:rFonts w:eastAsia="Times New Roman"/>
          <w:szCs w:val="17"/>
        </w:rPr>
        <w:t>, being:</w:t>
      </w:r>
    </w:p>
    <w:p w:rsidR="00E26C8E" w:rsidRPr="00E26C8E" w:rsidRDefault="00E26C8E" w:rsidP="00E26C8E">
      <w:pPr>
        <w:ind w:left="709" w:hanging="283"/>
        <w:rPr>
          <w:rFonts w:eastAsia="Times New Roman"/>
          <w:szCs w:val="17"/>
        </w:rPr>
      </w:pPr>
      <w:r w:rsidRPr="00E26C8E">
        <w:rPr>
          <w:rFonts w:eastAsia="Times New Roman"/>
          <w:szCs w:val="17"/>
        </w:rPr>
        <w:t>a.</w:t>
      </w:r>
      <w:r w:rsidRPr="00E26C8E">
        <w:rPr>
          <w:rFonts w:eastAsia="Times New Roman"/>
          <w:szCs w:val="17"/>
        </w:rPr>
        <w:tab/>
        <w:t xml:space="preserve">a development program (ADP) approved under regulation 9 of the </w:t>
      </w:r>
      <w:r w:rsidRPr="00E26C8E">
        <w:rPr>
          <w:rFonts w:eastAsia="Times New Roman"/>
          <w:i/>
          <w:szCs w:val="17"/>
        </w:rPr>
        <w:t>Mines and Works Inspection Regulations 2013</w:t>
      </w:r>
      <w:r w:rsidRPr="00E26C8E">
        <w:rPr>
          <w:rFonts w:eastAsia="Times New Roman"/>
          <w:szCs w:val="17"/>
        </w:rPr>
        <w:t>; or</w:t>
      </w:r>
    </w:p>
    <w:p w:rsidR="00E26C8E" w:rsidRPr="00E26C8E" w:rsidRDefault="00E26C8E" w:rsidP="00E26C8E">
      <w:pPr>
        <w:ind w:left="426" w:hanging="284"/>
        <w:rPr>
          <w:rFonts w:eastAsia="Times New Roman"/>
          <w:szCs w:val="17"/>
        </w:rPr>
      </w:pPr>
      <w:r w:rsidRPr="00E26C8E">
        <w:rPr>
          <w:rFonts w:eastAsia="Times New Roman"/>
          <w:szCs w:val="17"/>
        </w:rPr>
        <w:t>3.</w:t>
      </w:r>
      <w:r w:rsidRPr="00E26C8E">
        <w:rPr>
          <w:rFonts w:eastAsia="Times New Roman"/>
          <w:szCs w:val="17"/>
        </w:rPr>
        <w:tab/>
        <w:t>was granted prior to 2011 and does not have a program under part 10A of the</w:t>
      </w:r>
      <w:r w:rsidRPr="00E26C8E">
        <w:rPr>
          <w:rFonts w:eastAsia="Times New Roman"/>
          <w:i/>
          <w:szCs w:val="17"/>
        </w:rPr>
        <w:t xml:space="preserve"> Mining Act 1971</w:t>
      </w:r>
      <w:r w:rsidRPr="00E26C8E">
        <w:rPr>
          <w:rFonts w:eastAsia="Times New Roman"/>
          <w:szCs w:val="17"/>
        </w:rPr>
        <w:t xml:space="preserve"> and must comply with the transitional provision in schedule 5, clause 7 of the</w:t>
      </w:r>
      <w:r w:rsidRPr="00E26C8E">
        <w:rPr>
          <w:rFonts w:eastAsia="Times New Roman"/>
          <w:i/>
          <w:szCs w:val="17"/>
        </w:rPr>
        <w:t xml:space="preserve"> Mining Regulations 2020</w:t>
      </w:r>
      <w:r w:rsidRPr="00E26C8E">
        <w:rPr>
          <w:rFonts w:eastAsia="Times New Roman"/>
          <w:szCs w:val="17"/>
        </w:rPr>
        <w:t>.</w:t>
      </w:r>
    </w:p>
    <w:p w:rsidR="00E26C8E" w:rsidRPr="00E26C8E" w:rsidRDefault="00E26C8E" w:rsidP="00E26C8E">
      <w:pPr>
        <w:rPr>
          <w:rFonts w:eastAsia="Times New Roman"/>
          <w:szCs w:val="17"/>
        </w:rPr>
      </w:pPr>
      <w:r w:rsidRPr="00E26C8E">
        <w:rPr>
          <w:rFonts w:eastAsia="Times New Roman"/>
          <w:szCs w:val="17"/>
        </w:rPr>
        <w:t>A Program for Environment Protection and Rehabilitation (transitional PEPR) under Part 10A of the</w:t>
      </w:r>
      <w:r w:rsidRPr="00E26C8E">
        <w:rPr>
          <w:rFonts w:eastAsia="Times New Roman"/>
          <w:i/>
          <w:szCs w:val="17"/>
        </w:rPr>
        <w:t xml:space="preserve"> Mining Act 1971</w:t>
      </w:r>
      <w:r w:rsidRPr="00E26C8E">
        <w:rPr>
          <w:rFonts w:eastAsia="Times New Roman"/>
          <w:szCs w:val="17"/>
        </w:rPr>
        <w:t xml:space="preserve"> for the recovery of extractive minerals must:</w:t>
      </w:r>
    </w:p>
    <w:p w:rsidR="00E26C8E" w:rsidRPr="00E26C8E" w:rsidRDefault="00E26C8E" w:rsidP="00E26C8E">
      <w:pPr>
        <w:ind w:left="426" w:hanging="284"/>
        <w:rPr>
          <w:rFonts w:eastAsia="Times New Roman"/>
          <w:szCs w:val="17"/>
        </w:rPr>
      </w:pPr>
      <w:r w:rsidRPr="00E26C8E">
        <w:rPr>
          <w:rFonts w:eastAsia="Times New Roman"/>
          <w:szCs w:val="17"/>
        </w:rPr>
        <w:t>•</w:t>
      </w:r>
      <w:r w:rsidRPr="00E26C8E">
        <w:rPr>
          <w:rFonts w:eastAsia="Times New Roman"/>
          <w:szCs w:val="17"/>
        </w:rPr>
        <w:tab/>
        <w:t>comply with sections 70B and 70C of the</w:t>
      </w:r>
      <w:r w:rsidRPr="00E26C8E">
        <w:rPr>
          <w:rFonts w:eastAsia="Times New Roman"/>
          <w:i/>
          <w:szCs w:val="17"/>
        </w:rPr>
        <w:t xml:space="preserve"> Mining Act 1971</w:t>
      </w:r>
      <w:r w:rsidRPr="00E26C8E">
        <w:rPr>
          <w:rFonts w:eastAsia="Times New Roman"/>
          <w:szCs w:val="17"/>
        </w:rPr>
        <w:t>, regulations 63, 64 and 66 of the</w:t>
      </w:r>
      <w:r w:rsidRPr="00E26C8E">
        <w:rPr>
          <w:rFonts w:eastAsia="Times New Roman"/>
          <w:i/>
          <w:szCs w:val="17"/>
        </w:rPr>
        <w:t xml:space="preserve"> Mining Regulations 2020</w:t>
      </w:r>
      <w:r w:rsidRPr="00E26C8E">
        <w:rPr>
          <w:rFonts w:eastAsia="Times New Roman"/>
          <w:szCs w:val="17"/>
        </w:rPr>
        <w:t xml:space="preserve"> and any determinations set out in this Terms of Reference</w:t>
      </w:r>
    </w:p>
    <w:p w:rsidR="00E26C8E" w:rsidRPr="00E26C8E" w:rsidRDefault="00E26C8E" w:rsidP="00E26C8E">
      <w:pPr>
        <w:ind w:left="426" w:hanging="284"/>
        <w:rPr>
          <w:rFonts w:eastAsia="Times New Roman"/>
          <w:szCs w:val="17"/>
        </w:rPr>
      </w:pPr>
      <w:r w:rsidRPr="00E26C8E">
        <w:rPr>
          <w:rFonts w:eastAsia="Times New Roman"/>
          <w:szCs w:val="17"/>
        </w:rPr>
        <w:t>•</w:t>
      </w:r>
      <w:r w:rsidRPr="00E26C8E">
        <w:rPr>
          <w:rFonts w:eastAsia="Times New Roman"/>
          <w:szCs w:val="17"/>
        </w:rPr>
        <w:tab/>
        <w:t>be accompanied by a declaration of accuracy that complies with regulation 84 of the</w:t>
      </w:r>
      <w:r w:rsidRPr="00E26C8E">
        <w:rPr>
          <w:rFonts w:eastAsia="Times New Roman"/>
          <w:i/>
          <w:szCs w:val="17"/>
        </w:rPr>
        <w:t xml:space="preserve"> Mining Regulations 2020</w:t>
      </w:r>
      <w:r w:rsidRPr="00E26C8E">
        <w:rPr>
          <w:rFonts w:eastAsia="Times New Roman"/>
          <w:szCs w:val="17"/>
        </w:rPr>
        <w:t>; and</w:t>
      </w:r>
    </w:p>
    <w:p w:rsidR="00E26C8E" w:rsidRPr="00E26C8E" w:rsidRDefault="00E26C8E" w:rsidP="00E26C8E">
      <w:pPr>
        <w:ind w:left="426" w:hanging="284"/>
        <w:rPr>
          <w:rFonts w:eastAsia="Times New Roman"/>
          <w:szCs w:val="17"/>
        </w:rPr>
      </w:pPr>
      <w:r w:rsidRPr="00E26C8E">
        <w:rPr>
          <w:rFonts w:eastAsia="Times New Roman"/>
          <w:szCs w:val="17"/>
        </w:rPr>
        <w:t>•</w:t>
      </w:r>
      <w:r w:rsidRPr="00E26C8E">
        <w:rPr>
          <w:rFonts w:eastAsia="Times New Roman"/>
          <w:szCs w:val="17"/>
        </w:rPr>
        <w:tab/>
        <w:t>be accompanied by the relevant application fee.</w:t>
      </w:r>
    </w:p>
    <w:p w:rsidR="00E26C8E" w:rsidRPr="00E26C8E" w:rsidRDefault="00E26C8E" w:rsidP="00E26C8E">
      <w:pPr>
        <w:spacing w:after="0" w:line="240" w:lineRule="auto"/>
        <w:jc w:val="left"/>
        <w:rPr>
          <w:rFonts w:eastAsia="Times New Roman"/>
          <w:b/>
          <w:szCs w:val="17"/>
        </w:rPr>
      </w:pPr>
      <w:r w:rsidRPr="00E26C8E">
        <w:rPr>
          <w:rFonts w:eastAsia="Times New Roman"/>
          <w:b/>
          <w:szCs w:val="20"/>
        </w:rPr>
        <w:br w:type="page"/>
      </w:r>
    </w:p>
    <w:p w:rsidR="00E26C8E" w:rsidRPr="00E26C8E" w:rsidRDefault="00E26C8E" w:rsidP="00E26C8E">
      <w:pPr>
        <w:rPr>
          <w:rFonts w:eastAsia="Times New Roman"/>
          <w:b/>
          <w:szCs w:val="17"/>
        </w:rPr>
      </w:pPr>
      <w:r w:rsidRPr="00E26C8E">
        <w:rPr>
          <w:rFonts w:eastAsia="Times New Roman"/>
          <w:b/>
          <w:szCs w:val="17"/>
        </w:rPr>
        <w:t>FORM OF THE PEPR</w:t>
      </w:r>
    </w:p>
    <w:p w:rsidR="00E26C8E" w:rsidRPr="00E26C8E" w:rsidRDefault="00E26C8E" w:rsidP="00E26C8E">
      <w:pPr>
        <w:ind w:left="142"/>
        <w:rPr>
          <w:rFonts w:eastAsia="Times New Roman"/>
          <w:szCs w:val="17"/>
        </w:rPr>
      </w:pPr>
      <w:r w:rsidRPr="00E26C8E">
        <w:rPr>
          <w:rFonts w:eastAsia="Times New Roman"/>
          <w:szCs w:val="17"/>
        </w:rPr>
        <w:t>A transitional PEPR for a ML and/or MPL for extractive minerals must in accordance with section 70B(4a) of the</w:t>
      </w:r>
      <w:r w:rsidRPr="00E26C8E">
        <w:rPr>
          <w:rFonts w:eastAsia="Times New Roman"/>
          <w:i/>
          <w:szCs w:val="17"/>
        </w:rPr>
        <w:t xml:space="preserve"> Mining Act 1971</w:t>
      </w:r>
      <w:r w:rsidRPr="00E26C8E">
        <w:rPr>
          <w:rFonts w:eastAsia="Times New Roman"/>
          <w:szCs w:val="17"/>
        </w:rPr>
        <w:t xml:space="preserve"> be submitted to the Minister for approval in the following form, unless otherwise specified by the Director of Mines or an authorised officer:</w:t>
      </w:r>
    </w:p>
    <w:p w:rsidR="00E26C8E" w:rsidRPr="00E26C8E" w:rsidRDefault="00E26C8E" w:rsidP="00E26C8E">
      <w:pPr>
        <w:ind w:left="426" w:hanging="284"/>
        <w:rPr>
          <w:rFonts w:eastAsia="Times New Roman"/>
          <w:szCs w:val="17"/>
        </w:rPr>
      </w:pPr>
      <w:r w:rsidRPr="00E26C8E">
        <w:rPr>
          <w:rFonts w:eastAsia="Times New Roman"/>
          <w:szCs w:val="17"/>
        </w:rPr>
        <w:t>•</w:t>
      </w:r>
      <w:r w:rsidRPr="00E26C8E">
        <w:rPr>
          <w:rFonts w:eastAsia="Times New Roman"/>
          <w:szCs w:val="17"/>
        </w:rPr>
        <w:tab/>
        <w:t>An electronic version of the transitional PEPR must be submitted online through the relevant government website, or if approved by the Director Mines or an authorised officer, submitted via email, post or courier and should be marked ‘Attention: Mining Assessments’.</w:t>
      </w:r>
    </w:p>
    <w:p w:rsidR="00E26C8E" w:rsidRPr="00E26C8E" w:rsidRDefault="00E26C8E" w:rsidP="00E26C8E">
      <w:pPr>
        <w:ind w:left="426" w:hanging="284"/>
        <w:rPr>
          <w:rFonts w:eastAsia="Times New Roman"/>
          <w:szCs w:val="17"/>
        </w:rPr>
      </w:pPr>
      <w:r w:rsidRPr="00E26C8E">
        <w:rPr>
          <w:rFonts w:eastAsia="Times New Roman"/>
          <w:szCs w:val="17"/>
        </w:rPr>
        <w:t>•</w:t>
      </w:r>
      <w:r w:rsidRPr="00E26C8E">
        <w:rPr>
          <w:rFonts w:eastAsia="Times New Roman"/>
          <w:szCs w:val="17"/>
        </w:rPr>
        <w:tab/>
        <w:t>Each page, plan or other separate sheet must include the tenement number(s), date of the transitional PEPR preparation and sequential page numbering.</w:t>
      </w:r>
    </w:p>
    <w:p w:rsidR="00E26C8E" w:rsidRPr="00E26C8E" w:rsidRDefault="00E26C8E" w:rsidP="00E26C8E">
      <w:pPr>
        <w:ind w:left="426" w:hanging="284"/>
        <w:rPr>
          <w:rFonts w:eastAsia="Times New Roman"/>
          <w:szCs w:val="17"/>
        </w:rPr>
      </w:pPr>
      <w:r w:rsidRPr="00E26C8E">
        <w:rPr>
          <w:rFonts w:eastAsia="Times New Roman"/>
          <w:szCs w:val="17"/>
        </w:rPr>
        <w:t>•</w:t>
      </w:r>
      <w:r w:rsidRPr="00E26C8E">
        <w:rPr>
          <w:rFonts w:eastAsia="Times New Roman"/>
          <w:szCs w:val="17"/>
        </w:rPr>
        <w:tab/>
        <w:t>The electronic version must be submitted in one single Acrobat PDF file or, if requested by the Director of Mines or an authorised officer, Microsoft Word-compatible files must be submitted.</w:t>
      </w:r>
    </w:p>
    <w:p w:rsidR="00E26C8E" w:rsidRPr="00E26C8E" w:rsidRDefault="00E26C8E" w:rsidP="00E26C8E">
      <w:pPr>
        <w:rPr>
          <w:rFonts w:eastAsia="Times New Roman"/>
          <w:b/>
          <w:szCs w:val="17"/>
        </w:rPr>
      </w:pPr>
      <w:r w:rsidRPr="00E26C8E">
        <w:rPr>
          <w:rFonts w:eastAsia="Times New Roman"/>
          <w:b/>
          <w:szCs w:val="17"/>
        </w:rPr>
        <w:t>PEPR</w:t>
      </w:r>
    </w:p>
    <w:p w:rsidR="00E26C8E" w:rsidRPr="00E26C8E" w:rsidRDefault="00E26C8E" w:rsidP="00E26C8E">
      <w:pPr>
        <w:ind w:left="142"/>
        <w:rPr>
          <w:rFonts w:eastAsia="Times New Roman"/>
          <w:szCs w:val="17"/>
        </w:rPr>
      </w:pPr>
      <w:r w:rsidRPr="00E26C8E">
        <w:rPr>
          <w:rFonts w:eastAsia="Times New Roman"/>
          <w:szCs w:val="17"/>
        </w:rPr>
        <w:t>A transitional PEPR for an EML and/or MPL must comply with sections 70B and 70C of the</w:t>
      </w:r>
      <w:r w:rsidRPr="00E26C8E">
        <w:rPr>
          <w:rFonts w:eastAsia="Times New Roman"/>
          <w:i/>
          <w:szCs w:val="17"/>
        </w:rPr>
        <w:t xml:space="preserve"> Mining Act 1971</w:t>
      </w:r>
      <w:r w:rsidRPr="00E26C8E">
        <w:rPr>
          <w:rFonts w:eastAsia="Times New Roman"/>
          <w:szCs w:val="17"/>
        </w:rPr>
        <w:t xml:space="preserve"> and regulations 63, 64 and 66 of the</w:t>
      </w:r>
      <w:r w:rsidRPr="00E26C8E">
        <w:rPr>
          <w:rFonts w:eastAsia="Times New Roman"/>
          <w:i/>
          <w:szCs w:val="17"/>
        </w:rPr>
        <w:t xml:space="preserve"> Mining Regulations 2020</w:t>
      </w:r>
      <w:r w:rsidRPr="00E26C8E">
        <w:rPr>
          <w:rFonts w:eastAsia="Times New Roman"/>
          <w:szCs w:val="17"/>
        </w:rPr>
        <w:t>, and must comply with the following determinations of this Terms of Reference as set out below:</w:t>
      </w:r>
    </w:p>
    <w:p w:rsidR="00E26C8E" w:rsidRPr="00E26C8E" w:rsidRDefault="00E26C8E" w:rsidP="00E26C8E">
      <w:pPr>
        <w:ind w:left="426" w:hanging="284"/>
        <w:rPr>
          <w:rFonts w:eastAsia="Times New Roman"/>
          <w:b/>
          <w:szCs w:val="17"/>
        </w:rPr>
      </w:pPr>
      <w:r w:rsidRPr="00E26C8E">
        <w:rPr>
          <w:rFonts w:eastAsia="Times New Roman"/>
          <w:b/>
          <w:szCs w:val="17"/>
        </w:rPr>
        <w:t>1.</w:t>
      </w:r>
      <w:r w:rsidRPr="00E26C8E">
        <w:rPr>
          <w:rFonts w:eastAsia="Times New Roman"/>
          <w:b/>
          <w:szCs w:val="17"/>
        </w:rPr>
        <w:tab/>
        <w:t>DESCRIPTION OF THE EXISTING ENVIRONMENT</w:t>
      </w:r>
    </w:p>
    <w:p w:rsidR="00E26C8E" w:rsidRPr="00E26C8E" w:rsidRDefault="00E26C8E" w:rsidP="00E26C8E">
      <w:pPr>
        <w:ind w:left="426"/>
        <w:rPr>
          <w:rFonts w:eastAsia="Times New Roman"/>
          <w:szCs w:val="17"/>
        </w:rPr>
      </w:pPr>
      <w:r w:rsidRPr="00E26C8E">
        <w:rPr>
          <w:rFonts w:eastAsia="Times New Roman"/>
          <w:szCs w:val="17"/>
        </w:rPr>
        <w:t>In accordance with regulation 63(1)(a), the Minister determines that a mineral tenement to which this Terms of Reference applies must include a description of the features of the environment that are expected to be affected by the proposed operations in accordance with regulation 63(1)(a)(i) of the</w:t>
      </w:r>
      <w:r w:rsidRPr="00E26C8E">
        <w:rPr>
          <w:rFonts w:eastAsia="Times New Roman"/>
          <w:i/>
          <w:szCs w:val="17"/>
        </w:rPr>
        <w:t xml:space="preserve"> Mining Regulations 2020</w:t>
      </w:r>
      <w:r w:rsidRPr="00E26C8E">
        <w:rPr>
          <w:rFonts w:eastAsia="Times New Roman"/>
          <w:szCs w:val="17"/>
        </w:rPr>
        <w:t xml:space="preserve"> and as set out in this Terms of Reference.</w:t>
      </w:r>
    </w:p>
    <w:p w:rsidR="00E26C8E" w:rsidRPr="00E26C8E" w:rsidRDefault="00E26C8E" w:rsidP="00E26C8E">
      <w:pPr>
        <w:ind w:left="426"/>
        <w:rPr>
          <w:rFonts w:eastAsia="Times New Roman"/>
          <w:szCs w:val="17"/>
        </w:rPr>
      </w:pPr>
      <w:r w:rsidRPr="00E26C8E">
        <w:rPr>
          <w:rFonts w:eastAsia="Times New Roman"/>
          <w:szCs w:val="17"/>
        </w:rPr>
        <w:t>Each of the elements of the existing environment (as defined in section 6(4) of the</w:t>
      </w:r>
      <w:r w:rsidRPr="00E26C8E">
        <w:rPr>
          <w:rFonts w:eastAsia="Times New Roman"/>
          <w:i/>
          <w:szCs w:val="17"/>
        </w:rPr>
        <w:t xml:space="preserve"> Mining Act 1971</w:t>
      </w:r>
      <w:r w:rsidRPr="00E26C8E">
        <w:rPr>
          <w:rFonts w:eastAsia="Times New Roman"/>
          <w:szCs w:val="17"/>
        </w:rPr>
        <w:t>) listed in clause 1.1 to 1.19 must be described only to the extent that they may need to be considered in assessing the potential impacts of the quarry operations. If the element is not likely to be impacted by the operation, a statement to that effect must be included.</w:t>
      </w:r>
    </w:p>
    <w:p w:rsidR="00E26C8E" w:rsidRPr="00E26C8E" w:rsidRDefault="00E26C8E" w:rsidP="00E26C8E">
      <w:pPr>
        <w:ind w:left="851" w:hanging="425"/>
        <w:rPr>
          <w:rFonts w:eastAsia="Times New Roman"/>
          <w:b/>
          <w:szCs w:val="17"/>
        </w:rPr>
      </w:pPr>
      <w:r w:rsidRPr="00E26C8E">
        <w:rPr>
          <w:rFonts w:eastAsia="Times New Roman"/>
          <w:b/>
          <w:szCs w:val="17"/>
        </w:rPr>
        <w:t>1.1</w:t>
      </w:r>
      <w:r w:rsidRPr="00E26C8E">
        <w:rPr>
          <w:rFonts w:eastAsia="Times New Roman"/>
          <w:b/>
          <w:szCs w:val="17"/>
        </w:rPr>
        <w:tab/>
        <w:t>Topography and landscape</w:t>
      </w:r>
    </w:p>
    <w:p w:rsidR="00E26C8E" w:rsidRPr="00E26C8E" w:rsidRDefault="00E26C8E" w:rsidP="00E26C8E">
      <w:pPr>
        <w:ind w:left="851"/>
        <w:rPr>
          <w:rFonts w:eastAsia="Times New Roman"/>
          <w:szCs w:val="17"/>
        </w:rPr>
      </w:pPr>
      <w:r w:rsidRPr="00E26C8E">
        <w:rPr>
          <w:rFonts w:eastAsia="Times New Roman"/>
          <w:szCs w:val="17"/>
        </w:rPr>
        <w:t>Provide a description and map (as per 7.1.1.1) of the topography and landscape, detailing the:</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application area; and</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general surroundings.</w:t>
      </w:r>
    </w:p>
    <w:p w:rsidR="00E26C8E" w:rsidRPr="00E26C8E" w:rsidRDefault="00E26C8E" w:rsidP="00E26C8E">
      <w:pPr>
        <w:ind w:left="851" w:hanging="425"/>
        <w:rPr>
          <w:rFonts w:eastAsia="Times New Roman"/>
          <w:b/>
          <w:szCs w:val="17"/>
        </w:rPr>
      </w:pPr>
      <w:r w:rsidRPr="00E26C8E">
        <w:rPr>
          <w:rFonts w:eastAsia="Times New Roman"/>
          <w:b/>
          <w:szCs w:val="17"/>
        </w:rPr>
        <w:t>1.2</w:t>
      </w:r>
      <w:r w:rsidRPr="00E26C8E">
        <w:rPr>
          <w:rFonts w:eastAsia="Times New Roman"/>
          <w:b/>
          <w:szCs w:val="17"/>
        </w:rPr>
        <w:tab/>
        <w:t>Climate</w:t>
      </w:r>
    </w:p>
    <w:p w:rsidR="00E26C8E" w:rsidRPr="00E26C8E" w:rsidRDefault="00E26C8E" w:rsidP="00E26C8E">
      <w:pPr>
        <w:ind w:left="851"/>
        <w:rPr>
          <w:rFonts w:eastAsia="Times New Roman"/>
          <w:szCs w:val="17"/>
        </w:rPr>
      </w:pPr>
      <w:r w:rsidRPr="00E26C8E">
        <w:rPr>
          <w:rFonts w:eastAsia="Times New Roman"/>
          <w:szCs w:val="17"/>
        </w:rPr>
        <w:t>Provide a summary from the nearest relevant weather station of:</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annual rainfall and temperature patterns; and</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prevailing wind directions and speed (including maximum wind gusts).</w:t>
      </w:r>
    </w:p>
    <w:p w:rsidR="00E26C8E" w:rsidRPr="00E26C8E" w:rsidRDefault="00E26C8E" w:rsidP="00E26C8E">
      <w:pPr>
        <w:ind w:left="851" w:hanging="425"/>
        <w:rPr>
          <w:rFonts w:eastAsia="Times New Roman"/>
          <w:b/>
          <w:szCs w:val="17"/>
        </w:rPr>
      </w:pPr>
      <w:r w:rsidRPr="00E26C8E">
        <w:rPr>
          <w:rFonts w:eastAsia="Times New Roman"/>
          <w:b/>
          <w:szCs w:val="17"/>
        </w:rPr>
        <w:t>1.3</w:t>
      </w:r>
      <w:r w:rsidRPr="00E26C8E">
        <w:rPr>
          <w:rFonts w:eastAsia="Times New Roman"/>
          <w:b/>
          <w:szCs w:val="17"/>
        </w:rPr>
        <w:tab/>
        <w:t>Topsoil and subsoil</w:t>
      </w:r>
    </w:p>
    <w:p w:rsidR="00E26C8E" w:rsidRPr="00E26C8E" w:rsidRDefault="00E26C8E" w:rsidP="00E26C8E">
      <w:pPr>
        <w:ind w:left="851"/>
        <w:rPr>
          <w:rFonts w:eastAsia="Times New Roman"/>
          <w:szCs w:val="17"/>
        </w:rPr>
      </w:pPr>
      <w:r w:rsidRPr="00E26C8E">
        <w:rPr>
          <w:rFonts w:eastAsia="Times New Roman"/>
          <w:szCs w:val="17"/>
        </w:rPr>
        <w:t>Provide:</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a description of the soil profile (type and depth), and the characteristics and/or productivity of all soils on the application area (show this information on a map as per 7.1.1.2 if there is a variation in soils over the application area); and</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identify any soil characteristics that may be an issue for disturbance or rehabilitation.</w:t>
      </w:r>
    </w:p>
    <w:p w:rsidR="00E26C8E" w:rsidRPr="00E26C8E" w:rsidRDefault="00E26C8E" w:rsidP="00E26C8E">
      <w:pPr>
        <w:ind w:left="851" w:hanging="425"/>
        <w:rPr>
          <w:rFonts w:eastAsia="Times New Roman"/>
          <w:b/>
          <w:szCs w:val="17"/>
        </w:rPr>
      </w:pPr>
      <w:r w:rsidRPr="00E26C8E">
        <w:rPr>
          <w:rFonts w:eastAsia="Times New Roman"/>
          <w:b/>
          <w:szCs w:val="17"/>
        </w:rPr>
        <w:t>1.4</w:t>
      </w:r>
      <w:r w:rsidRPr="00E26C8E">
        <w:rPr>
          <w:rFonts w:eastAsia="Times New Roman"/>
          <w:b/>
          <w:szCs w:val="17"/>
        </w:rPr>
        <w:tab/>
        <w:t>Geological environment</w:t>
      </w:r>
    </w:p>
    <w:p w:rsidR="00E26C8E" w:rsidRPr="00E26C8E" w:rsidRDefault="00E26C8E" w:rsidP="00E26C8E">
      <w:pPr>
        <w:ind w:left="851"/>
        <w:rPr>
          <w:rFonts w:eastAsia="Times New Roman"/>
          <w:szCs w:val="17"/>
        </w:rPr>
      </w:pPr>
      <w:r w:rsidRPr="00E26C8E">
        <w:rPr>
          <w:rFonts w:eastAsia="Times New Roman"/>
          <w:szCs w:val="17"/>
        </w:rPr>
        <w:t>Provide:</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local geological or site map (as per 7.1.1.2), showing location and dimensions of the deposit and structure (dip and strike where appropriate);</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representative cross sections (as per 7.2.1.1) of the proposed quarry area that identify the extent of the resource and estimate any overlying overburden; and</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a description and results of any geological evaluation work carried out.</w:t>
      </w:r>
    </w:p>
    <w:p w:rsidR="00E26C8E" w:rsidRPr="00E26C8E" w:rsidRDefault="00E26C8E" w:rsidP="00E26C8E">
      <w:pPr>
        <w:ind w:left="851" w:hanging="425"/>
        <w:rPr>
          <w:rFonts w:eastAsia="Times New Roman"/>
          <w:b/>
          <w:szCs w:val="17"/>
        </w:rPr>
      </w:pPr>
      <w:r w:rsidRPr="00E26C8E">
        <w:rPr>
          <w:rFonts w:eastAsia="Times New Roman"/>
          <w:b/>
          <w:szCs w:val="17"/>
        </w:rPr>
        <w:t>1.5</w:t>
      </w:r>
      <w:r w:rsidRPr="00E26C8E">
        <w:rPr>
          <w:rFonts w:eastAsia="Times New Roman"/>
          <w:b/>
          <w:szCs w:val="17"/>
        </w:rPr>
        <w:tab/>
        <w:t>Geohazards</w:t>
      </w:r>
    </w:p>
    <w:p w:rsidR="00E26C8E" w:rsidRPr="00E26C8E" w:rsidRDefault="00E26C8E" w:rsidP="00E26C8E">
      <w:pPr>
        <w:ind w:left="851"/>
        <w:rPr>
          <w:rFonts w:eastAsia="Times New Roman"/>
          <w:szCs w:val="17"/>
        </w:rPr>
      </w:pPr>
      <w:r w:rsidRPr="00E26C8E">
        <w:rPr>
          <w:rFonts w:eastAsia="Times New Roman"/>
          <w:szCs w:val="17"/>
        </w:rPr>
        <w:t>Provide an assessment of the potential for any of the following natural geohazards to be present in the application area:</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Structural instability including slips, faults, karst features or geological unit boundaries.</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Minerals that may occur in the material to be quarried (including overburden) and are hazardous to human health specifically radioactive minerals, asbestiform minerals or minerals which have the potential to produce respirable silica.</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Minerals that may occur in the material to be quarried (including overburden) that may have the potential to pollute the environment—including but not limited to sulphide minerals that may generate acid.</w:t>
      </w:r>
    </w:p>
    <w:p w:rsidR="00E26C8E" w:rsidRPr="00E26C8E" w:rsidRDefault="00E26C8E" w:rsidP="00E26C8E">
      <w:pPr>
        <w:ind w:left="851" w:hanging="425"/>
        <w:rPr>
          <w:rFonts w:eastAsia="Times New Roman"/>
          <w:b/>
          <w:szCs w:val="17"/>
        </w:rPr>
      </w:pPr>
      <w:r w:rsidRPr="00E26C8E">
        <w:rPr>
          <w:rFonts w:eastAsia="Times New Roman"/>
          <w:b/>
          <w:szCs w:val="17"/>
        </w:rPr>
        <w:t>1.6</w:t>
      </w:r>
      <w:r w:rsidRPr="00E26C8E">
        <w:rPr>
          <w:rFonts w:eastAsia="Times New Roman"/>
          <w:b/>
          <w:szCs w:val="17"/>
        </w:rPr>
        <w:tab/>
        <w:t>Groundwater</w:t>
      </w:r>
    </w:p>
    <w:p w:rsidR="00E26C8E" w:rsidRPr="00E26C8E" w:rsidRDefault="00E26C8E" w:rsidP="00E26C8E">
      <w:pPr>
        <w:ind w:left="851"/>
        <w:rPr>
          <w:rFonts w:eastAsia="Times New Roman"/>
          <w:szCs w:val="17"/>
        </w:rPr>
      </w:pPr>
      <w:r w:rsidRPr="00E26C8E">
        <w:rPr>
          <w:rFonts w:eastAsia="Times New Roman"/>
          <w:szCs w:val="17"/>
        </w:rPr>
        <w:t>Provide:</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 xml:space="preserve">a statement describing if the application area is within an area where the water resources are prescribed under the </w:t>
      </w:r>
      <w:r w:rsidRPr="00E26C8E">
        <w:rPr>
          <w:rFonts w:eastAsia="Times New Roman"/>
          <w:i/>
          <w:szCs w:val="17"/>
        </w:rPr>
        <w:t>Landscape South Australia Act 2019</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a map (as per 7.1.1.3) showing groundwater wells in the surrounding area, highlighting those used to determine the seasonally high water table elevation</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a cross-section (as per 7.2.1.2) showing the proposed quarrying and seasonally high water table elevation in metres Australian Height Datum (AHD); and</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evidence to validate the estimated seasonally high water table.</w:t>
      </w:r>
    </w:p>
    <w:p w:rsidR="00E26C8E" w:rsidRPr="00E26C8E" w:rsidRDefault="00E26C8E" w:rsidP="00E26C8E">
      <w:pPr>
        <w:ind w:left="1134" w:hanging="283"/>
        <w:rPr>
          <w:rFonts w:eastAsia="Times New Roman"/>
          <w:szCs w:val="17"/>
        </w:rPr>
      </w:pPr>
      <w:r w:rsidRPr="00E26C8E">
        <w:rPr>
          <w:rFonts w:eastAsia="Times New Roman"/>
          <w:szCs w:val="17"/>
        </w:rPr>
        <w:t>If the proposed quarry has the potential to intersect the seasonally high water table, the following must be provided:</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details of local groundwater systems, including information on water quality and static water level (including seasonal fluctuations), recharge and discharge mechanisms, aquifer hydraulic properties, location of any aquifer and static water level of any other known drill holes; and</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an assessment of any current use of this water by the landowner, adjacent landowners and groundwater dependent ecosystems.</w:t>
      </w:r>
      <w:r w:rsidRPr="00E26C8E">
        <w:rPr>
          <w:rFonts w:eastAsia="Times New Roman"/>
          <w:b/>
          <w:szCs w:val="17"/>
        </w:rPr>
        <w:br w:type="page"/>
      </w:r>
    </w:p>
    <w:p w:rsidR="00E26C8E" w:rsidRPr="00E26C8E" w:rsidRDefault="00E26C8E" w:rsidP="00E26C8E">
      <w:pPr>
        <w:ind w:left="851" w:hanging="425"/>
        <w:rPr>
          <w:rFonts w:eastAsia="Times New Roman"/>
          <w:b/>
          <w:szCs w:val="17"/>
        </w:rPr>
      </w:pPr>
      <w:r w:rsidRPr="00E26C8E">
        <w:rPr>
          <w:rFonts w:eastAsia="Times New Roman"/>
          <w:b/>
          <w:szCs w:val="17"/>
        </w:rPr>
        <w:t>1.7</w:t>
      </w:r>
      <w:r w:rsidRPr="00E26C8E">
        <w:rPr>
          <w:rFonts w:eastAsia="Times New Roman"/>
          <w:b/>
          <w:szCs w:val="17"/>
        </w:rPr>
        <w:tab/>
        <w:t>Surface water</w:t>
      </w:r>
    </w:p>
    <w:p w:rsidR="00E26C8E" w:rsidRPr="00E26C8E" w:rsidRDefault="00E26C8E" w:rsidP="00E26C8E">
      <w:pPr>
        <w:ind w:left="851"/>
        <w:rPr>
          <w:rFonts w:eastAsia="Times New Roman"/>
          <w:szCs w:val="17"/>
        </w:rPr>
      </w:pPr>
      <w:r w:rsidRPr="00E26C8E">
        <w:rPr>
          <w:rFonts w:eastAsia="Times New Roman"/>
          <w:szCs w:val="17"/>
        </w:rPr>
        <w:t>Provide a topographic map (as per 7.1.1.1) and description of the current drainage patterns for the application area and water catchment including:</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location of watercourses, drains, dams and wetlands</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surface water catchment boundaries</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direction of drainage and discharge from the application area</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 xml:space="preserve">a statement describing if the application area is within an area where the water resources are prescribed under the </w:t>
      </w:r>
      <w:r w:rsidRPr="00E26C8E">
        <w:rPr>
          <w:rFonts w:eastAsia="Times New Roman"/>
          <w:i/>
          <w:szCs w:val="17"/>
        </w:rPr>
        <w:t>Landscape South Australia Act 2019</w:t>
      </w:r>
      <w:r w:rsidRPr="00E26C8E">
        <w:rPr>
          <w:rFonts w:eastAsia="Times New Roman"/>
          <w:szCs w:val="17"/>
        </w:rPr>
        <w:t>, and provide details on the current availability of water resources within the prescribed area</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 xml:space="preserve">a statement describing if the application area is within a water protection area including areas under the </w:t>
      </w:r>
      <w:r w:rsidRPr="00E26C8E">
        <w:rPr>
          <w:rFonts w:eastAsia="Times New Roman"/>
          <w:i/>
          <w:szCs w:val="17"/>
        </w:rPr>
        <w:t>River Murray Act 2003</w:t>
      </w:r>
      <w:r w:rsidRPr="00E26C8E">
        <w:rPr>
          <w:rFonts w:eastAsia="Times New Roman"/>
          <w:szCs w:val="17"/>
        </w:rPr>
        <w:t>; and</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a statement as to whether the application area falls within the Murray Darling Basin.</w:t>
      </w:r>
    </w:p>
    <w:p w:rsidR="00E26C8E" w:rsidRPr="00E26C8E" w:rsidRDefault="00E26C8E" w:rsidP="00E26C8E">
      <w:pPr>
        <w:ind w:left="851"/>
        <w:rPr>
          <w:rFonts w:eastAsia="Times New Roman"/>
          <w:szCs w:val="17"/>
        </w:rPr>
      </w:pPr>
      <w:r w:rsidRPr="00E26C8E">
        <w:rPr>
          <w:rFonts w:eastAsia="Times New Roman"/>
          <w:szCs w:val="17"/>
        </w:rPr>
        <w:t>If there is potential for changing a flow regime (including change in flow volume) or discharge into these watercourses from the proposed quarry operations, an assessment of the use of this water by the landowner, downstream users and water dependent ecosystems must be included.</w:t>
      </w:r>
    </w:p>
    <w:p w:rsidR="00E26C8E" w:rsidRPr="00E26C8E" w:rsidRDefault="00E26C8E" w:rsidP="00E26C8E">
      <w:pPr>
        <w:ind w:left="851" w:hanging="425"/>
        <w:rPr>
          <w:rFonts w:eastAsia="Times New Roman"/>
          <w:b/>
          <w:szCs w:val="17"/>
        </w:rPr>
      </w:pPr>
      <w:r w:rsidRPr="00E26C8E">
        <w:rPr>
          <w:rFonts w:eastAsia="Times New Roman"/>
          <w:b/>
          <w:szCs w:val="17"/>
        </w:rPr>
        <w:t>1.8</w:t>
      </w:r>
      <w:r w:rsidRPr="00E26C8E">
        <w:rPr>
          <w:rFonts w:eastAsia="Times New Roman"/>
          <w:b/>
          <w:szCs w:val="17"/>
        </w:rPr>
        <w:tab/>
        <w:t>Vegetation, weeds and plant pathogens</w:t>
      </w:r>
    </w:p>
    <w:p w:rsidR="00E26C8E" w:rsidRPr="00E26C8E" w:rsidRDefault="00E26C8E" w:rsidP="00E26C8E">
      <w:pPr>
        <w:ind w:left="851"/>
        <w:rPr>
          <w:rFonts w:eastAsia="Times New Roman"/>
          <w:szCs w:val="17"/>
        </w:rPr>
      </w:pPr>
      <w:r w:rsidRPr="00E26C8E">
        <w:rPr>
          <w:rFonts w:eastAsia="Times New Roman"/>
          <w:szCs w:val="17"/>
        </w:rPr>
        <w:t>Provide:</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a description and map (as per 7.1.1.1) of existing flora (native and introduced) in the application area and surroundings</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the state conservation status and habitat value of native vegetation present in the application area</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 xml:space="preserve">a description of the presence of </w:t>
      </w:r>
      <w:r w:rsidRPr="00E26C8E">
        <w:rPr>
          <w:rFonts w:eastAsia="Times New Roman"/>
          <w:i/>
          <w:szCs w:val="17"/>
        </w:rPr>
        <w:t>Commonwealth Environment Protection and Biodiversity Conservation Act 1999</w:t>
      </w:r>
      <w:r w:rsidRPr="00E26C8E">
        <w:rPr>
          <w:rFonts w:eastAsia="Times New Roman"/>
          <w:szCs w:val="17"/>
        </w:rPr>
        <w:t xml:space="preserve"> listed species and ecological communities</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a description of the extent the application area and adjoining land is affected or potentially affected by pathogens and prescribed weeds, including but not limited to phytophthora and broomrape; and</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if known, a description of the history of land use to identify if the existing vegetation is the result of deliberate cultivation or natural regrowth arising from previous clearance.</w:t>
      </w:r>
    </w:p>
    <w:p w:rsidR="00E26C8E" w:rsidRPr="00E26C8E" w:rsidRDefault="00E26C8E" w:rsidP="00E26C8E">
      <w:pPr>
        <w:ind w:left="851" w:hanging="425"/>
        <w:rPr>
          <w:rFonts w:eastAsia="Times New Roman"/>
          <w:b/>
          <w:szCs w:val="17"/>
        </w:rPr>
      </w:pPr>
      <w:r w:rsidRPr="00E26C8E">
        <w:rPr>
          <w:rFonts w:eastAsia="Times New Roman"/>
          <w:b/>
          <w:szCs w:val="17"/>
        </w:rPr>
        <w:t>1.9</w:t>
      </w:r>
      <w:r w:rsidRPr="00E26C8E">
        <w:rPr>
          <w:rFonts w:eastAsia="Times New Roman"/>
          <w:b/>
          <w:szCs w:val="17"/>
        </w:rPr>
        <w:tab/>
        <w:t>Fauna</w:t>
      </w:r>
    </w:p>
    <w:p w:rsidR="00E26C8E" w:rsidRPr="00E26C8E" w:rsidRDefault="00E26C8E" w:rsidP="00E26C8E">
      <w:pPr>
        <w:ind w:left="851"/>
        <w:rPr>
          <w:rFonts w:eastAsia="Times New Roman"/>
          <w:szCs w:val="17"/>
        </w:rPr>
      </w:pPr>
      <w:r w:rsidRPr="00E26C8E">
        <w:rPr>
          <w:rFonts w:eastAsia="Times New Roman"/>
          <w:szCs w:val="17"/>
        </w:rPr>
        <w:t>Describe the native and feral fauna that may be present in the application area noting state or Commonwealth conservation status of all species.</w:t>
      </w:r>
    </w:p>
    <w:p w:rsidR="00E26C8E" w:rsidRPr="00E26C8E" w:rsidRDefault="00E26C8E" w:rsidP="00E26C8E">
      <w:pPr>
        <w:ind w:left="851" w:hanging="425"/>
        <w:rPr>
          <w:rFonts w:eastAsia="Times New Roman"/>
          <w:b/>
          <w:szCs w:val="17"/>
        </w:rPr>
      </w:pPr>
      <w:r w:rsidRPr="00E26C8E">
        <w:rPr>
          <w:rFonts w:eastAsia="Times New Roman"/>
          <w:b/>
          <w:szCs w:val="17"/>
        </w:rPr>
        <w:t>1.10</w:t>
      </w:r>
      <w:r w:rsidRPr="00E26C8E">
        <w:rPr>
          <w:rFonts w:eastAsia="Times New Roman"/>
          <w:b/>
          <w:szCs w:val="17"/>
        </w:rPr>
        <w:tab/>
        <w:t>Caves</w:t>
      </w:r>
    </w:p>
    <w:p w:rsidR="00E26C8E" w:rsidRPr="00E26C8E" w:rsidRDefault="00E26C8E" w:rsidP="00E26C8E">
      <w:pPr>
        <w:ind w:left="851"/>
        <w:rPr>
          <w:rFonts w:eastAsia="Times New Roman"/>
          <w:szCs w:val="17"/>
        </w:rPr>
      </w:pPr>
      <w:r w:rsidRPr="00E26C8E">
        <w:rPr>
          <w:rFonts w:eastAsia="Times New Roman"/>
          <w:szCs w:val="17"/>
        </w:rPr>
        <w:t>If the application area is within, or near to, known caves or significant limestone formations a survey for the presence of caves must be performed.</w:t>
      </w:r>
    </w:p>
    <w:p w:rsidR="00E26C8E" w:rsidRPr="00E26C8E" w:rsidRDefault="00E26C8E" w:rsidP="00E26C8E">
      <w:pPr>
        <w:ind w:left="851"/>
        <w:rPr>
          <w:rFonts w:eastAsia="Times New Roman"/>
          <w:szCs w:val="17"/>
        </w:rPr>
      </w:pPr>
      <w:r w:rsidRPr="00E26C8E">
        <w:rPr>
          <w:rFonts w:eastAsia="Times New Roman"/>
          <w:szCs w:val="17"/>
        </w:rPr>
        <w:t>Provide a summary of the results of the survey and describe the presence of any caves in karst (limestone) areas within, or near to, the application area and show on a map (as per 7.1.1.5).</w:t>
      </w:r>
    </w:p>
    <w:p w:rsidR="00E26C8E" w:rsidRPr="00E26C8E" w:rsidRDefault="00E26C8E" w:rsidP="00E26C8E">
      <w:pPr>
        <w:ind w:left="851" w:hanging="425"/>
        <w:rPr>
          <w:rFonts w:eastAsia="Times New Roman"/>
          <w:b/>
          <w:szCs w:val="17"/>
        </w:rPr>
      </w:pPr>
      <w:r w:rsidRPr="00E26C8E">
        <w:rPr>
          <w:rFonts w:eastAsia="Times New Roman"/>
          <w:b/>
          <w:szCs w:val="17"/>
        </w:rPr>
        <w:t>1.11</w:t>
      </w:r>
      <w:r w:rsidRPr="00E26C8E">
        <w:rPr>
          <w:rFonts w:eastAsia="Times New Roman"/>
          <w:b/>
          <w:szCs w:val="17"/>
        </w:rPr>
        <w:tab/>
        <w:t>Land use</w:t>
      </w:r>
    </w:p>
    <w:p w:rsidR="00E26C8E" w:rsidRPr="00E26C8E" w:rsidRDefault="00E26C8E" w:rsidP="00E26C8E">
      <w:pPr>
        <w:ind w:left="851"/>
        <w:rPr>
          <w:rFonts w:eastAsia="Times New Roman"/>
          <w:szCs w:val="17"/>
        </w:rPr>
      </w:pPr>
      <w:r w:rsidRPr="00E26C8E">
        <w:rPr>
          <w:rFonts w:eastAsia="Times New Roman"/>
          <w:szCs w:val="17"/>
        </w:rPr>
        <w:t>Provide a description of:</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land use (historical and current) for the application area and the surrounding areas</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the zoning as defined by the Planning and Design Code or relevant council development plans</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policies relevant to the application area, including region or council wide, zone specific and sub areas within a zone</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known plans for potential future land use changes by other parties</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other interests or restrictions on the application area, including:</w:t>
      </w:r>
    </w:p>
    <w:p w:rsidR="00E26C8E" w:rsidRPr="00E26C8E" w:rsidRDefault="00E26C8E" w:rsidP="00E26C8E">
      <w:pPr>
        <w:ind w:left="1418" w:hanging="284"/>
        <w:rPr>
          <w:rFonts w:eastAsia="Times New Roman"/>
          <w:szCs w:val="17"/>
        </w:rPr>
      </w:pPr>
      <w:r w:rsidRPr="00E26C8E">
        <w:rPr>
          <w:rFonts w:eastAsia="Times New Roman"/>
          <w:szCs w:val="17"/>
        </w:rPr>
        <w:t>◦</w:t>
      </w:r>
      <w:r w:rsidRPr="00E26C8E">
        <w:rPr>
          <w:rFonts w:eastAsia="Times New Roman"/>
          <w:szCs w:val="17"/>
        </w:rPr>
        <w:tab/>
        <w:t>public utility easements</w:t>
      </w:r>
    </w:p>
    <w:p w:rsidR="00E26C8E" w:rsidRPr="00E26C8E" w:rsidRDefault="00E26C8E" w:rsidP="00E26C8E">
      <w:pPr>
        <w:ind w:left="1418" w:hanging="284"/>
        <w:rPr>
          <w:rFonts w:eastAsia="Times New Roman"/>
          <w:szCs w:val="17"/>
        </w:rPr>
      </w:pPr>
      <w:r w:rsidRPr="00E26C8E">
        <w:rPr>
          <w:rFonts w:eastAsia="Times New Roman"/>
          <w:szCs w:val="17"/>
        </w:rPr>
        <w:t>◦</w:t>
      </w:r>
      <w:r w:rsidRPr="00E26C8E">
        <w:rPr>
          <w:rFonts w:eastAsia="Times New Roman"/>
          <w:szCs w:val="17"/>
        </w:rPr>
        <w:tab/>
        <w:t>if the application is within land used for defence purposes, including the Woomera Prohibited Area or the Cultana Army Training Area; and</w:t>
      </w:r>
    </w:p>
    <w:p w:rsidR="00E26C8E" w:rsidRPr="00E26C8E" w:rsidRDefault="00E26C8E" w:rsidP="00E26C8E">
      <w:pPr>
        <w:ind w:left="1418" w:hanging="284"/>
        <w:rPr>
          <w:rFonts w:eastAsia="Times New Roman"/>
          <w:szCs w:val="17"/>
        </w:rPr>
      </w:pPr>
      <w:r w:rsidRPr="00E26C8E">
        <w:rPr>
          <w:rFonts w:eastAsia="Times New Roman"/>
          <w:szCs w:val="17"/>
        </w:rPr>
        <w:t>◦</w:t>
      </w:r>
      <w:r w:rsidRPr="00E26C8E">
        <w:rPr>
          <w:rFonts w:eastAsia="Times New Roman"/>
          <w:szCs w:val="17"/>
        </w:rPr>
        <w:tab/>
        <w:t>any overlapping or adjacent tenements under the</w:t>
      </w:r>
      <w:r w:rsidRPr="00E26C8E">
        <w:rPr>
          <w:rFonts w:eastAsia="Times New Roman"/>
          <w:i/>
          <w:szCs w:val="17"/>
        </w:rPr>
        <w:t xml:space="preserve"> Mining Act 1971</w:t>
      </w:r>
      <w:r w:rsidRPr="00E26C8E">
        <w:rPr>
          <w:rFonts w:eastAsia="Times New Roman"/>
          <w:szCs w:val="17"/>
        </w:rPr>
        <w:t xml:space="preserve"> or </w:t>
      </w:r>
      <w:r w:rsidRPr="00E26C8E">
        <w:rPr>
          <w:rFonts w:eastAsia="Times New Roman"/>
          <w:i/>
          <w:szCs w:val="17"/>
        </w:rPr>
        <w:t>Petroleum and Geothermal Energy Act 2000</w:t>
      </w:r>
      <w:r w:rsidRPr="00E26C8E">
        <w:rPr>
          <w:rFonts w:eastAsia="Times New Roman"/>
          <w:szCs w:val="17"/>
        </w:rPr>
        <w:t>.</w:t>
      </w:r>
    </w:p>
    <w:p w:rsidR="00E26C8E" w:rsidRPr="00E26C8E" w:rsidRDefault="00E26C8E" w:rsidP="00E26C8E">
      <w:pPr>
        <w:ind w:left="851" w:hanging="425"/>
        <w:rPr>
          <w:rFonts w:eastAsia="Times New Roman"/>
          <w:b/>
          <w:szCs w:val="17"/>
        </w:rPr>
      </w:pPr>
      <w:r w:rsidRPr="00E26C8E">
        <w:rPr>
          <w:rFonts w:eastAsia="Times New Roman"/>
          <w:b/>
          <w:szCs w:val="17"/>
        </w:rPr>
        <w:t>1.12</w:t>
      </w:r>
      <w:r w:rsidRPr="00E26C8E">
        <w:rPr>
          <w:rFonts w:eastAsia="Times New Roman"/>
          <w:b/>
          <w:szCs w:val="17"/>
        </w:rPr>
        <w:tab/>
        <w:t>Proximity to infrastructure and housing</w:t>
      </w:r>
    </w:p>
    <w:p w:rsidR="00E26C8E" w:rsidRPr="00E26C8E" w:rsidRDefault="00E26C8E" w:rsidP="00E26C8E">
      <w:pPr>
        <w:ind w:left="851"/>
        <w:rPr>
          <w:rFonts w:eastAsia="Times New Roman"/>
          <w:szCs w:val="17"/>
        </w:rPr>
      </w:pPr>
      <w:r w:rsidRPr="00E26C8E">
        <w:rPr>
          <w:rFonts w:eastAsia="Times New Roman"/>
          <w:szCs w:val="17"/>
        </w:rPr>
        <w:t>Provide information and a map (as per 7.1.1.4):</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identifying residences within and near the application area</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identifying other human infrastructure including but not limited to schools, hospitals, commercial or industrial sites, roads, sheds, bores, dams, ruins, pumps, cemeteries, scenic lookouts, roads, railway lines, fences, transmission lines, gas and water pipelines, telephone and communication lines (both underground and above ground); and</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identifying public roads to be utilised or affected as part of proposed quarrying operations, including an estimate of the existing traffic movements.</w:t>
      </w:r>
    </w:p>
    <w:p w:rsidR="00E26C8E" w:rsidRPr="00E26C8E" w:rsidRDefault="00E26C8E" w:rsidP="00E26C8E">
      <w:pPr>
        <w:ind w:left="851" w:hanging="425"/>
        <w:rPr>
          <w:rFonts w:eastAsia="Times New Roman"/>
          <w:b/>
          <w:szCs w:val="17"/>
        </w:rPr>
      </w:pPr>
      <w:r w:rsidRPr="00E26C8E">
        <w:rPr>
          <w:rFonts w:eastAsia="Times New Roman"/>
          <w:b/>
          <w:szCs w:val="17"/>
        </w:rPr>
        <w:t>1.13</w:t>
      </w:r>
      <w:r w:rsidRPr="00E26C8E">
        <w:rPr>
          <w:rFonts w:eastAsia="Times New Roman"/>
          <w:b/>
          <w:szCs w:val="17"/>
        </w:rPr>
        <w:tab/>
        <w:t>Exempt land</w:t>
      </w:r>
    </w:p>
    <w:p w:rsidR="00E26C8E" w:rsidRPr="00E26C8E" w:rsidRDefault="00E26C8E" w:rsidP="00E26C8E">
      <w:pPr>
        <w:ind w:left="851"/>
        <w:rPr>
          <w:rFonts w:eastAsia="Times New Roman"/>
          <w:szCs w:val="17"/>
        </w:rPr>
      </w:pPr>
      <w:r w:rsidRPr="00E26C8E">
        <w:rPr>
          <w:rFonts w:eastAsia="Times New Roman"/>
          <w:szCs w:val="17"/>
        </w:rPr>
        <w:t>Provide a description and map (as per 7.1.1.4) of any applicable exempt land under Section 9 of the</w:t>
      </w:r>
      <w:r w:rsidRPr="00E26C8E">
        <w:rPr>
          <w:rFonts w:eastAsia="Times New Roman"/>
          <w:i/>
          <w:szCs w:val="17"/>
        </w:rPr>
        <w:t xml:space="preserve"> Mining Act 1971</w:t>
      </w:r>
      <w:r w:rsidRPr="00E26C8E">
        <w:rPr>
          <w:rFonts w:eastAsia="Times New Roman"/>
          <w:szCs w:val="17"/>
        </w:rPr>
        <w:t>.</w:t>
      </w:r>
    </w:p>
    <w:p w:rsidR="00E26C8E" w:rsidRPr="00E26C8E" w:rsidRDefault="00E26C8E" w:rsidP="00E26C8E">
      <w:pPr>
        <w:ind w:left="851" w:hanging="425"/>
        <w:rPr>
          <w:rFonts w:eastAsia="Times New Roman"/>
          <w:b/>
          <w:szCs w:val="17"/>
        </w:rPr>
      </w:pPr>
      <w:r w:rsidRPr="00E26C8E">
        <w:rPr>
          <w:rFonts w:eastAsia="Times New Roman"/>
          <w:b/>
          <w:szCs w:val="17"/>
        </w:rPr>
        <w:t>1.14</w:t>
      </w:r>
      <w:r w:rsidRPr="00E26C8E">
        <w:rPr>
          <w:rFonts w:eastAsia="Times New Roman"/>
          <w:b/>
          <w:szCs w:val="17"/>
        </w:rPr>
        <w:tab/>
        <w:t>Amenity</w:t>
      </w:r>
    </w:p>
    <w:p w:rsidR="00E26C8E" w:rsidRPr="00E26C8E" w:rsidRDefault="00E26C8E" w:rsidP="00E26C8E">
      <w:pPr>
        <w:ind w:left="851"/>
        <w:rPr>
          <w:rFonts w:eastAsia="Times New Roman"/>
          <w:szCs w:val="17"/>
        </w:rPr>
      </w:pPr>
      <w:r w:rsidRPr="00E26C8E">
        <w:rPr>
          <w:rFonts w:eastAsia="Times New Roman"/>
          <w:szCs w:val="17"/>
        </w:rPr>
        <w:t>Provide a summary description of scenic or aesthetic values for the application area and immediate surrounds.</w:t>
      </w:r>
    </w:p>
    <w:p w:rsidR="00E26C8E" w:rsidRPr="00E26C8E" w:rsidRDefault="00E26C8E" w:rsidP="00E26C8E">
      <w:pPr>
        <w:ind w:left="851" w:hanging="425"/>
        <w:rPr>
          <w:rFonts w:eastAsia="Times New Roman"/>
          <w:b/>
          <w:szCs w:val="17"/>
        </w:rPr>
      </w:pPr>
      <w:r w:rsidRPr="00E26C8E">
        <w:rPr>
          <w:rFonts w:eastAsia="Times New Roman"/>
          <w:b/>
          <w:szCs w:val="17"/>
        </w:rPr>
        <w:t>1.15</w:t>
      </w:r>
      <w:r w:rsidRPr="00E26C8E">
        <w:rPr>
          <w:rFonts w:eastAsia="Times New Roman"/>
          <w:b/>
          <w:szCs w:val="17"/>
        </w:rPr>
        <w:tab/>
        <w:t>Air quality</w:t>
      </w:r>
    </w:p>
    <w:p w:rsidR="00E26C8E" w:rsidRPr="00E26C8E" w:rsidRDefault="00E26C8E" w:rsidP="00E26C8E">
      <w:pPr>
        <w:ind w:left="851"/>
        <w:rPr>
          <w:rFonts w:eastAsia="Times New Roman"/>
          <w:szCs w:val="17"/>
        </w:rPr>
      </w:pPr>
      <w:r w:rsidRPr="00E26C8E">
        <w:rPr>
          <w:rFonts w:eastAsia="Times New Roman"/>
          <w:szCs w:val="17"/>
        </w:rPr>
        <w:t>Provide a description of the existing levels of dust and contributors to air quality (both natural and anthropogenic).</w:t>
      </w:r>
    </w:p>
    <w:p w:rsidR="00E26C8E" w:rsidRPr="00E26C8E" w:rsidRDefault="00E26C8E" w:rsidP="00E26C8E">
      <w:pPr>
        <w:ind w:left="851" w:hanging="425"/>
        <w:rPr>
          <w:rFonts w:eastAsia="Times New Roman"/>
          <w:b/>
          <w:szCs w:val="17"/>
        </w:rPr>
      </w:pPr>
      <w:r w:rsidRPr="00E26C8E">
        <w:rPr>
          <w:rFonts w:eastAsia="Times New Roman"/>
          <w:b/>
          <w:szCs w:val="17"/>
        </w:rPr>
        <w:t>1.16</w:t>
      </w:r>
      <w:r w:rsidRPr="00E26C8E">
        <w:rPr>
          <w:rFonts w:eastAsia="Times New Roman"/>
          <w:b/>
          <w:szCs w:val="17"/>
        </w:rPr>
        <w:tab/>
        <w:t>Noise</w:t>
      </w:r>
    </w:p>
    <w:p w:rsidR="00E26C8E" w:rsidRPr="00E26C8E" w:rsidRDefault="00E26C8E" w:rsidP="00E26C8E">
      <w:pPr>
        <w:ind w:left="851"/>
        <w:rPr>
          <w:rFonts w:eastAsia="Times New Roman"/>
          <w:szCs w:val="17"/>
        </w:rPr>
      </w:pPr>
      <w:r w:rsidRPr="00E26C8E">
        <w:rPr>
          <w:rFonts w:eastAsia="Times New Roman"/>
          <w:szCs w:val="17"/>
        </w:rPr>
        <w:t>Provide a description of existing noise levels and contributors to noise (both natural and anthropogenic).</w:t>
      </w:r>
    </w:p>
    <w:p w:rsidR="00E26C8E" w:rsidRPr="00E26C8E" w:rsidRDefault="00E26C8E" w:rsidP="00E26C8E">
      <w:pPr>
        <w:spacing w:after="0" w:line="240" w:lineRule="auto"/>
        <w:jc w:val="left"/>
        <w:rPr>
          <w:rFonts w:eastAsia="Times New Roman"/>
          <w:b/>
          <w:szCs w:val="17"/>
        </w:rPr>
      </w:pPr>
      <w:r w:rsidRPr="00E26C8E">
        <w:rPr>
          <w:rFonts w:eastAsia="Times New Roman"/>
          <w:b/>
          <w:szCs w:val="20"/>
        </w:rPr>
        <w:br w:type="page"/>
      </w:r>
    </w:p>
    <w:p w:rsidR="00E26C8E" w:rsidRPr="00E26C8E" w:rsidRDefault="00E26C8E" w:rsidP="00E26C8E">
      <w:pPr>
        <w:ind w:left="851" w:hanging="425"/>
        <w:rPr>
          <w:rFonts w:eastAsia="Times New Roman"/>
          <w:b/>
          <w:szCs w:val="17"/>
        </w:rPr>
      </w:pPr>
      <w:r w:rsidRPr="00E26C8E">
        <w:rPr>
          <w:rFonts w:eastAsia="Times New Roman"/>
          <w:b/>
          <w:szCs w:val="17"/>
        </w:rPr>
        <w:t>1.17</w:t>
      </w:r>
      <w:r w:rsidRPr="00E26C8E">
        <w:rPr>
          <w:rFonts w:eastAsia="Times New Roman"/>
          <w:b/>
          <w:szCs w:val="17"/>
        </w:rPr>
        <w:tab/>
        <w:t>Heritage (Aboriginal, European, geological)</w:t>
      </w:r>
    </w:p>
    <w:p w:rsidR="00E26C8E" w:rsidRPr="00E26C8E" w:rsidRDefault="00E26C8E" w:rsidP="00E26C8E">
      <w:pPr>
        <w:ind w:left="851"/>
        <w:rPr>
          <w:rFonts w:eastAsia="Times New Roman"/>
          <w:szCs w:val="17"/>
        </w:rPr>
      </w:pPr>
      <w:r w:rsidRPr="00E26C8E">
        <w:rPr>
          <w:rFonts w:eastAsia="Times New Roman"/>
          <w:szCs w:val="17"/>
        </w:rPr>
        <w:t>Detail and show on a map (as per 7.1.1.1):</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any registered heritage sites in or adjacent to the application areas that are protected under legislation (in so far as may be permitted under the relevant legislation).</w:t>
      </w:r>
    </w:p>
    <w:p w:rsidR="00E26C8E" w:rsidRPr="00E26C8E" w:rsidRDefault="00E26C8E" w:rsidP="00E26C8E">
      <w:pPr>
        <w:ind w:left="851"/>
        <w:rPr>
          <w:rFonts w:eastAsia="Times New Roman"/>
          <w:szCs w:val="17"/>
        </w:rPr>
      </w:pPr>
      <w:r w:rsidRPr="00E26C8E">
        <w:rPr>
          <w:rFonts w:eastAsia="Times New Roman"/>
          <w:szCs w:val="17"/>
        </w:rPr>
        <w:t>Include a statement concerning whether or not an Aboriginal cultural heritage survey has been conducted by the proponent and, if so, the results of the survey.</w:t>
      </w:r>
    </w:p>
    <w:p w:rsidR="00E26C8E" w:rsidRPr="00E26C8E" w:rsidRDefault="00E26C8E" w:rsidP="00E26C8E">
      <w:pPr>
        <w:ind w:left="851" w:hanging="425"/>
        <w:rPr>
          <w:rFonts w:eastAsia="Times New Roman"/>
          <w:b/>
          <w:szCs w:val="17"/>
        </w:rPr>
      </w:pPr>
      <w:r w:rsidRPr="00E26C8E">
        <w:rPr>
          <w:rFonts w:eastAsia="Times New Roman"/>
          <w:b/>
          <w:szCs w:val="17"/>
        </w:rPr>
        <w:t>1.18</w:t>
      </w:r>
      <w:r w:rsidRPr="00E26C8E">
        <w:rPr>
          <w:rFonts w:eastAsia="Times New Roman"/>
          <w:b/>
          <w:szCs w:val="17"/>
        </w:rPr>
        <w:tab/>
        <w:t>Proximity to conservation areas</w:t>
      </w:r>
    </w:p>
    <w:p w:rsidR="00E26C8E" w:rsidRPr="00E26C8E" w:rsidRDefault="00E26C8E" w:rsidP="00E26C8E">
      <w:pPr>
        <w:ind w:left="851"/>
        <w:rPr>
          <w:rFonts w:eastAsia="Times New Roman"/>
          <w:szCs w:val="17"/>
        </w:rPr>
      </w:pPr>
      <w:r w:rsidRPr="00E26C8E">
        <w:rPr>
          <w:rFonts w:eastAsia="Times New Roman"/>
          <w:szCs w:val="17"/>
        </w:rPr>
        <w:t>Provide information and a map (as per 7.1.1.1) showing:</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proximity to national parks and reserves, private conservation areas, Commonwealth-recognised conservation areas, heritage agreement areas and geological heritage sites.</w:t>
      </w:r>
    </w:p>
    <w:p w:rsidR="00E26C8E" w:rsidRPr="00E26C8E" w:rsidRDefault="00E26C8E" w:rsidP="00E26C8E">
      <w:pPr>
        <w:ind w:left="851" w:hanging="425"/>
        <w:rPr>
          <w:rFonts w:eastAsia="Times New Roman"/>
          <w:b/>
          <w:szCs w:val="17"/>
        </w:rPr>
      </w:pPr>
      <w:r w:rsidRPr="00E26C8E">
        <w:rPr>
          <w:rFonts w:eastAsia="Times New Roman"/>
          <w:b/>
          <w:szCs w:val="17"/>
        </w:rPr>
        <w:t>1.19</w:t>
      </w:r>
      <w:r w:rsidRPr="00E26C8E">
        <w:rPr>
          <w:rFonts w:eastAsia="Times New Roman"/>
          <w:b/>
          <w:szCs w:val="17"/>
        </w:rPr>
        <w:tab/>
        <w:t>Pre-existing site contamination and previous disturbance</w:t>
      </w:r>
    </w:p>
    <w:p w:rsidR="00E26C8E" w:rsidRPr="00E26C8E" w:rsidRDefault="00E26C8E" w:rsidP="00E26C8E">
      <w:pPr>
        <w:ind w:left="851"/>
        <w:rPr>
          <w:rFonts w:eastAsia="Times New Roman"/>
          <w:szCs w:val="17"/>
        </w:rPr>
      </w:pPr>
      <w:r w:rsidRPr="00E26C8E">
        <w:rPr>
          <w:rFonts w:eastAsia="Times New Roman"/>
          <w:szCs w:val="17"/>
        </w:rPr>
        <w:t>Provide information and a map (as per 7.1.1.1) showing:</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any known existing contamination of the site and/or any disturbance by previous mining operations or other activities.</w:t>
      </w:r>
    </w:p>
    <w:p w:rsidR="00E26C8E" w:rsidRPr="00E26C8E" w:rsidRDefault="00E26C8E" w:rsidP="00E26C8E">
      <w:pPr>
        <w:ind w:left="426" w:hanging="284"/>
        <w:rPr>
          <w:rFonts w:eastAsia="Times New Roman"/>
          <w:b/>
          <w:szCs w:val="17"/>
        </w:rPr>
      </w:pPr>
      <w:r w:rsidRPr="00E26C8E">
        <w:rPr>
          <w:rFonts w:eastAsia="Times New Roman"/>
          <w:b/>
          <w:szCs w:val="17"/>
        </w:rPr>
        <w:t>2.</w:t>
      </w:r>
      <w:r w:rsidRPr="00E26C8E">
        <w:rPr>
          <w:rFonts w:eastAsia="Times New Roman"/>
          <w:b/>
          <w:szCs w:val="17"/>
        </w:rPr>
        <w:tab/>
        <w:t>DESCRIPTION OF MINING OPERATIONS</w:t>
      </w:r>
    </w:p>
    <w:p w:rsidR="00E26C8E" w:rsidRPr="00E26C8E" w:rsidRDefault="00E26C8E" w:rsidP="00E26C8E">
      <w:pPr>
        <w:ind w:left="426"/>
        <w:rPr>
          <w:rFonts w:eastAsia="Times New Roman"/>
          <w:szCs w:val="17"/>
        </w:rPr>
      </w:pPr>
      <w:r w:rsidRPr="00E26C8E">
        <w:rPr>
          <w:rFonts w:eastAsia="Times New Roman"/>
          <w:szCs w:val="17"/>
        </w:rPr>
        <w:t>In specifying the authorised operations that are proposed in accordance with section 70B(2)(a) of the</w:t>
      </w:r>
      <w:r w:rsidRPr="00E26C8E">
        <w:rPr>
          <w:rFonts w:eastAsia="Times New Roman"/>
          <w:i/>
          <w:szCs w:val="17"/>
        </w:rPr>
        <w:t xml:space="preserve"> Mining Act 1971</w:t>
      </w:r>
      <w:r w:rsidRPr="00E26C8E">
        <w:rPr>
          <w:rFonts w:eastAsia="Times New Roman"/>
          <w:szCs w:val="17"/>
        </w:rPr>
        <w:t>, the Minister determines in accordance with regulation 63(3)(e) of the</w:t>
      </w:r>
      <w:r w:rsidRPr="00E26C8E">
        <w:rPr>
          <w:rFonts w:eastAsia="Times New Roman"/>
          <w:i/>
          <w:szCs w:val="17"/>
        </w:rPr>
        <w:t xml:space="preserve"> Mining Regulations 2020</w:t>
      </w:r>
      <w:r w:rsidRPr="00E26C8E">
        <w:rPr>
          <w:rFonts w:eastAsia="Times New Roman"/>
          <w:szCs w:val="17"/>
        </w:rPr>
        <w:t xml:space="preserve"> that a transitional PEPR must include a description of the proposed operations as set out in this Terms of Reference. Each of the elements listed in clauses 2.1-2.8 must be described only to the extent that they apply to the quarry operation.</w:t>
      </w:r>
    </w:p>
    <w:p w:rsidR="00E26C8E" w:rsidRPr="00E26C8E" w:rsidRDefault="00E26C8E" w:rsidP="00E26C8E">
      <w:pPr>
        <w:ind w:left="851" w:hanging="425"/>
        <w:rPr>
          <w:rFonts w:eastAsia="Times New Roman"/>
          <w:b/>
          <w:szCs w:val="17"/>
        </w:rPr>
      </w:pPr>
      <w:r w:rsidRPr="00E26C8E">
        <w:rPr>
          <w:rFonts w:eastAsia="Times New Roman"/>
          <w:b/>
          <w:szCs w:val="17"/>
        </w:rPr>
        <w:t>2.1</w:t>
      </w:r>
      <w:r w:rsidRPr="00E26C8E">
        <w:rPr>
          <w:rFonts w:eastAsia="Times New Roman"/>
          <w:b/>
          <w:szCs w:val="17"/>
        </w:rPr>
        <w:tab/>
        <w:t>General description and maps/plans of operations</w:t>
      </w:r>
    </w:p>
    <w:p w:rsidR="00E26C8E" w:rsidRPr="00E26C8E" w:rsidRDefault="00E26C8E" w:rsidP="00E26C8E">
      <w:pPr>
        <w:ind w:left="851"/>
        <w:rPr>
          <w:rFonts w:eastAsia="Times New Roman"/>
          <w:szCs w:val="17"/>
        </w:rPr>
      </w:pPr>
      <w:r w:rsidRPr="00E26C8E">
        <w:rPr>
          <w:rFonts w:eastAsia="Times New Roman"/>
          <w:szCs w:val="17"/>
        </w:rPr>
        <w:t>A summary description and maps of all elements of the quarrying operation must be included.</w:t>
      </w:r>
    </w:p>
    <w:p w:rsidR="00E26C8E" w:rsidRPr="00E26C8E" w:rsidRDefault="00E26C8E" w:rsidP="00E26C8E">
      <w:pPr>
        <w:ind w:left="851" w:hanging="425"/>
        <w:rPr>
          <w:rFonts w:eastAsia="Times New Roman"/>
          <w:b/>
          <w:szCs w:val="17"/>
        </w:rPr>
      </w:pPr>
      <w:r w:rsidRPr="00E26C8E">
        <w:rPr>
          <w:rFonts w:eastAsia="Times New Roman"/>
          <w:b/>
          <w:szCs w:val="17"/>
        </w:rPr>
        <w:t>2.2</w:t>
      </w:r>
      <w:r w:rsidRPr="00E26C8E">
        <w:rPr>
          <w:rFonts w:eastAsia="Times New Roman"/>
          <w:b/>
          <w:szCs w:val="17"/>
        </w:rPr>
        <w:tab/>
        <w:t>Resource and products</w:t>
      </w:r>
    </w:p>
    <w:p w:rsidR="00E26C8E" w:rsidRPr="00E26C8E" w:rsidRDefault="00E26C8E" w:rsidP="00E26C8E">
      <w:pPr>
        <w:ind w:left="1418" w:hanging="567"/>
        <w:rPr>
          <w:rFonts w:eastAsia="Times New Roman"/>
          <w:b/>
          <w:szCs w:val="17"/>
        </w:rPr>
      </w:pPr>
      <w:r w:rsidRPr="00E26C8E">
        <w:rPr>
          <w:rFonts w:eastAsia="Times New Roman"/>
          <w:b/>
          <w:szCs w:val="17"/>
        </w:rPr>
        <w:t>2.2.1</w:t>
      </w:r>
      <w:r w:rsidRPr="00E26C8E">
        <w:rPr>
          <w:rFonts w:eastAsia="Times New Roman"/>
          <w:b/>
          <w:szCs w:val="17"/>
        </w:rPr>
        <w:tab/>
        <w:t>Resource</w:t>
      </w:r>
    </w:p>
    <w:p w:rsidR="00E26C8E" w:rsidRPr="00E26C8E" w:rsidRDefault="00E26C8E" w:rsidP="00E26C8E">
      <w:pPr>
        <w:ind w:left="1418"/>
        <w:rPr>
          <w:rFonts w:eastAsia="Times New Roman"/>
          <w:szCs w:val="17"/>
        </w:rPr>
      </w:pPr>
      <w:r w:rsidRPr="00E26C8E">
        <w:rPr>
          <w:rFonts w:eastAsia="Times New Roman"/>
          <w:szCs w:val="17"/>
        </w:rPr>
        <w:t>Provide a statement of the extractive minerals proposed to be extracted, recovered and sold.</w:t>
      </w:r>
    </w:p>
    <w:p w:rsidR="00E26C8E" w:rsidRPr="00E26C8E" w:rsidRDefault="00E26C8E" w:rsidP="00E26C8E">
      <w:pPr>
        <w:ind w:left="1418"/>
        <w:rPr>
          <w:rFonts w:eastAsia="Times New Roman"/>
          <w:szCs w:val="17"/>
        </w:rPr>
      </w:pPr>
      <w:r w:rsidRPr="00E26C8E">
        <w:rPr>
          <w:rFonts w:eastAsia="Times New Roman"/>
          <w:szCs w:val="17"/>
        </w:rPr>
        <w:t>Provide a statement of the current estimated resource or reserve (or both), including:</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details of the basis of this estimate;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 declaration that the resource or reserve (or both) has been appropriately identified and estimated.</w:t>
      </w:r>
    </w:p>
    <w:p w:rsidR="00E26C8E" w:rsidRPr="00E26C8E" w:rsidRDefault="00E26C8E" w:rsidP="00E26C8E">
      <w:pPr>
        <w:ind w:left="1418" w:hanging="567"/>
        <w:rPr>
          <w:rFonts w:eastAsia="Times New Roman"/>
          <w:b/>
          <w:szCs w:val="17"/>
        </w:rPr>
      </w:pPr>
      <w:r w:rsidRPr="00E26C8E">
        <w:rPr>
          <w:rFonts w:eastAsia="Times New Roman"/>
          <w:b/>
          <w:szCs w:val="17"/>
        </w:rPr>
        <w:t>2.2.2</w:t>
      </w:r>
      <w:r w:rsidRPr="00E26C8E">
        <w:rPr>
          <w:rFonts w:eastAsia="Times New Roman"/>
          <w:b/>
          <w:szCs w:val="17"/>
        </w:rPr>
        <w:tab/>
        <w:t>Production rate and products</w:t>
      </w:r>
    </w:p>
    <w:p w:rsidR="00E26C8E" w:rsidRPr="00E26C8E" w:rsidRDefault="00E26C8E" w:rsidP="00E26C8E">
      <w:pPr>
        <w:ind w:left="1418"/>
        <w:rPr>
          <w:rFonts w:eastAsia="Times New Roman"/>
          <w:szCs w:val="17"/>
        </w:rPr>
      </w:pPr>
      <w:r w:rsidRPr="00E26C8E">
        <w:rPr>
          <w:rFonts w:eastAsia="Times New Roman"/>
          <w:szCs w:val="17"/>
        </w:rPr>
        <w:t>State: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the end use and products for all extractive minerals proposed to be sold.</w:t>
      </w:r>
    </w:p>
    <w:p w:rsidR="00E26C8E" w:rsidRPr="00E26C8E" w:rsidRDefault="00E26C8E" w:rsidP="00E26C8E">
      <w:pPr>
        <w:ind w:left="1418"/>
        <w:rPr>
          <w:rFonts w:eastAsia="Times New Roman"/>
          <w:szCs w:val="17"/>
        </w:rPr>
      </w:pPr>
      <w:r w:rsidRPr="00E26C8E">
        <w:rPr>
          <w:rFonts w:eastAsia="Times New Roman"/>
          <w:szCs w:val="17"/>
        </w:rPr>
        <w:t>Provide estimates of the: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annual production rate (product and overburden)</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life of the quarry;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material movement over life of quarry (product and overburden).</w:t>
      </w:r>
    </w:p>
    <w:p w:rsidR="00E26C8E" w:rsidRPr="00E26C8E" w:rsidRDefault="00E26C8E" w:rsidP="00E26C8E">
      <w:pPr>
        <w:ind w:left="851" w:hanging="425"/>
        <w:rPr>
          <w:rFonts w:eastAsia="Times New Roman"/>
          <w:b/>
          <w:szCs w:val="17"/>
        </w:rPr>
      </w:pPr>
      <w:r w:rsidRPr="00E26C8E">
        <w:rPr>
          <w:rFonts w:eastAsia="Times New Roman"/>
          <w:b/>
          <w:szCs w:val="17"/>
        </w:rPr>
        <w:t>2.3</w:t>
      </w:r>
      <w:r w:rsidRPr="00E26C8E">
        <w:rPr>
          <w:rFonts w:eastAsia="Times New Roman"/>
          <w:b/>
          <w:szCs w:val="17"/>
        </w:rPr>
        <w:tab/>
        <w:t>Quarrying activities</w:t>
      </w:r>
    </w:p>
    <w:p w:rsidR="00E26C8E" w:rsidRPr="00E26C8E" w:rsidRDefault="00E26C8E" w:rsidP="00E26C8E">
      <w:pPr>
        <w:ind w:left="1418" w:hanging="567"/>
        <w:rPr>
          <w:rFonts w:eastAsia="Times New Roman"/>
          <w:b/>
          <w:szCs w:val="17"/>
        </w:rPr>
      </w:pPr>
      <w:r w:rsidRPr="00E26C8E">
        <w:rPr>
          <w:rFonts w:eastAsia="Times New Roman"/>
          <w:b/>
          <w:szCs w:val="17"/>
        </w:rPr>
        <w:t>2.3.1</w:t>
      </w:r>
      <w:r w:rsidRPr="00E26C8E">
        <w:rPr>
          <w:rFonts w:eastAsia="Times New Roman"/>
          <w:b/>
          <w:szCs w:val="17"/>
        </w:rPr>
        <w:tab/>
        <w:t>Type or types of quarry operation to be carried out</w:t>
      </w:r>
    </w:p>
    <w:p w:rsidR="00E26C8E" w:rsidRPr="00E26C8E" w:rsidRDefault="00E26C8E" w:rsidP="00E26C8E">
      <w:pPr>
        <w:ind w:left="1418"/>
        <w:rPr>
          <w:rFonts w:eastAsia="Times New Roman"/>
          <w:szCs w:val="17"/>
        </w:rPr>
      </w:pPr>
      <w:r w:rsidRPr="00E26C8E">
        <w:rPr>
          <w:rFonts w:eastAsia="Times New Roman"/>
          <w:szCs w:val="17"/>
        </w:rPr>
        <w:t>Provide: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 summary and map (as per 7.1.2.1) of the site layout</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 description of the proposed quarrying method;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dimensions and depth of proposed pit(s).</w:t>
      </w:r>
    </w:p>
    <w:p w:rsidR="00E26C8E" w:rsidRPr="00E26C8E" w:rsidRDefault="00E26C8E" w:rsidP="00E26C8E">
      <w:pPr>
        <w:ind w:left="1418" w:hanging="567"/>
        <w:rPr>
          <w:rFonts w:eastAsia="Times New Roman"/>
          <w:b/>
          <w:szCs w:val="17"/>
        </w:rPr>
      </w:pPr>
      <w:r w:rsidRPr="00E26C8E">
        <w:rPr>
          <w:rFonts w:eastAsia="Times New Roman"/>
          <w:b/>
          <w:szCs w:val="17"/>
        </w:rPr>
        <w:t>2.3.2</w:t>
      </w:r>
      <w:r w:rsidRPr="00E26C8E">
        <w:rPr>
          <w:rFonts w:eastAsia="Times New Roman"/>
          <w:b/>
          <w:szCs w:val="17"/>
        </w:rPr>
        <w:tab/>
        <w:t>Sequence of quarrying and progressive rehabilitation</w:t>
      </w:r>
    </w:p>
    <w:p w:rsidR="00E26C8E" w:rsidRPr="00E26C8E" w:rsidRDefault="00E26C8E" w:rsidP="00E26C8E">
      <w:pPr>
        <w:ind w:left="1418"/>
        <w:rPr>
          <w:rFonts w:eastAsia="Times New Roman"/>
          <w:szCs w:val="17"/>
        </w:rPr>
      </w:pPr>
      <w:r w:rsidRPr="00E26C8E">
        <w:rPr>
          <w:rFonts w:eastAsia="Times New Roman"/>
          <w:szCs w:val="17"/>
        </w:rPr>
        <w:t>Describe and show on a map (as per 7.1.2.2):</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staging and description of each progressive quarrying stage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milestones that will instigate progressive rehabilitation;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staging and description of each progressive rehabilitation stage including:</w:t>
      </w:r>
    </w:p>
    <w:p w:rsidR="00E26C8E" w:rsidRPr="00E26C8E" w:rsidRDefault="00E26C8E" w:rsidP="00E26C8E">
      <w:pPr>
        <w:ind w:left="1701"/>
        <w:rPr>
          <w:rFonts w:eastAsia="Times New Roman"/>
          <w:szCs w:val="17"/>
        </w:rPr>
      </w:pPr>
      <w:r w:rsidRPr="00E26C8E">
        <w:rPr>
          <w:rFonts w:eastAsia="Times New Roman"/>
          <w:szCs w:val="17"/>
        </w:rPr>
        <w:t>◦</w:t>
      </w:r>
      <w:r w:rsidRPr="00E26C8E">
        <w:rPr>
          <w:rFonts w:eastAsia="Times New Roman"/>
          <w:szCs w:val="17"/>
        </w:rPr>
        <w:tab/>
        <w:t>use of overburden</w:t>
      </w:r>
    </w:p>
    <w:p w:rsidR="00E26C8E" w:rsidRPr="00E26C8E" w:rsidRDefault="00E26C8E" w:rsidP="00E26C8E">
      <w:pPr>
        <w:ind w:left="1701"/>
        <w:rPr>
          <w:rFonts w:eastAsia="Times New Roman"/>
          <w:szCs w:val="17"/>
        </w:rPr>
      </w:pPr>
      <w:r w:rsidRPr="00E26C8E">
        <w:rPr>
          <w:rFonts w:eastAsia="Times New Roman"/>
          <w:szCs w:val="17"/>
        </w:rPr>
        <w:t>◦</w:t>
      </w:r>
      <w:r w:rsidRPr="00E26C8E">
        <w:rPr>
          <w:rFonts w:eastAsia="Times New Roman"/>
          <w:szCs w:val="17"/>
        </w:rPr>
        <w:tab/>
        <w:t>battering of mining faces and other earthworks</w:t>
      </w:r>
    </w:p>
    <w:p w:rsidR="00E26C8E" w:rsidRPr="00E26C8E" w:rsidRDefault="00E26C8E" w:rsidP="00E26C8E">
      <w:pPr>
        <w:ind w:left="1701"/>
        <w:rPr>
          <w:rFonts w:eastAsia="Times New Roman"/>
          <w:szCs w:val="17"/>
        </w:rPr>
      </w:pPr>
      <w:r w:rsidRPr="00E26C8E">
        <w:rPr>
          <w:rFonts w:eastAsia="Times New Roman"/>
          <w:szCs w:val="17"/>
        </w:rPr>
        <w:t>◦</w:t>
      </w:r>
      <w:r w:rsidRPr="00E26C8E">
        <w:rPr>
          <w:rFonts w:eastAsia="Times New Roman"/>
          <w:szCs w:val="17"/>
        </w:rPr>
        <w:tab/>
        <w:t>topsoil management; and</w:t>
      </w:r>
    </w:p>
    <w:p w:rsidR="00E26C8E" w:rsidRPr="00E26C8E" w:rsidRDefault="00E26C8E" w:rsidP="00E26C8E">
      <w:pPr>
        <w:ind w:left="1701"/>
        <w:rPr>
          <w:rFonts w:eastAsia="Times New Roman"/>
          <w:szCs w:val="17"/>
        </w:rPr>
      </w:pPr>
      <w:r w:rsidRPr="00E26C8E">
        <w:rPr>
          <w:rFonts w:eastAsia="Times New Roman"/>
          <w:szCs w:val="17"/>
        </w:rPr>
        <w:t>◦</w:t>
      </w:r>
      <w:r w:rsidRPr="00E26C8E">
        <w:rPr>
          <w:rFonts w:eastAsia="Times New Roman"/>
          <w:szCs w:val="17"/>
        </w:rPr>
        <w:tab/>
        <w:t>revegetation.</w:t>
      </w:r>
    </w:p>
    <w:p w:rsidR="00E26C8E" w:rsidRPr="00E26C8E" w:rsidRDefault="00E26C8E" w:rsidP="00E26C8E">
      <w:pPr>
        <w:ind w:left="1418" w:hanging="567"/>
        <w:rPr>
          <w:rFonts w:eastAsia="Times New Roman"/>
          <w:b/>
          <w:szCs w:val="17"/>
        </w:rPr>
      </w:pPr>
      <w:r w:rsidRPr="00E26C8E">
        <w:rPr>
          <w:rFonts w:eastAsia="Times New Roman"/>
          <w:b/>
          <w:szCs w:val="17"/>
        </w:rPr>
        <w:t>2.3.3</w:t>
      </w:r>
      <w:r w:rsidRPr="00E26C8E">
        <w:rPr>
          <w:rFonts w:eastAsia="Times New Roman"/>
          <w:b/>
          <w:szCs w:val="17"/>
        </w:rPr>
        <w:tab/>
        <w:t>Stockpiles</w:t>
      </w:r>
    </w:p>
    <w:p w:rsidR="00E26C8E" w:rsidRPr="00E26C8E" w:rsidRDefault="00E26C8E" w:rsidP="00E26C8E">
      <w:pPr>
        <w:ind w:left="2127" w:hanging="709"/>
        <w:rPr>
          <w:rFonts w:eastAsia="Times New Roman"/>
          <w:i/>
          <w:szCs w:val="17"/>
        </w:rPr>
      </w:pPr>
      <w:r w:rsidRPr="00E26C8E">
        <w:rPr>
          <w:rFonts w:eastAsia="Times New Roman"/>
          <w:i/>
          <w:szCs w:val="17"/>
        </w:rPr>
        <w:t>2.3.3.1</w:t>
      </w:r>
      <w:r w:rsidRPr="00E26C8E">
        <w:rPr>
          <w:rFonts w:eastAsia="Times New Roman"/>
          <w:i/>
          <w:szCs w:val="17"/>
        </w:rPr>
        <w:tab/>
        <w:t>Topsoil and subsoil stockpiles</w:t>
      </w:r>
    </w:p>
    <w:p w:rsidR="00E26C8E" w:rsidRPr="00E26C8E" w:rsidRDefault="00E26C8E" w:rsidP="00E26C8E">
      <w:pPr>
        <w:ind w:left="2127"/>
        <w:rPr>
          <w:rFonts w:eastAsia="Times New Roman"/>
          <w:szCs w:val="17"/>
        </w:rPr>
      </w:pPr>
      <w:r w:rsidRPr="00E26C8E">
        <w:rPr>
          <w:rFonts w:eastAsia="Times New Roman"/>
          <w:szCs w:val="17"/>
        </w:rPr>
        <w:t>Describe and show on a map (as per 7.1.2.1):</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location, size, shape and height of product of topsoil/subsoil stockpiles.</w:t>
      </w:r>
    </w:p>
    <w:p w:rsidR="00E26C8E" w:rsidRPr="00E26C8E" w:rsidRDefault="00E26C8E" w:rsidP="00E26C8E">
      <w:pPr>
        <w:ind w:left="2127" w:hanging="709"/>
        <w:rPr>
          <w:rFonts w:eastAsia="Times New Roman"/>
          <w:i/>
          <w:szCs w:val="17"/>
        </w:rPr>
      </w:pPr>
      <w:r w:rsidRPr="00E26C8E">
        <w:rPr>
          <w:rFonts w:eastAsia="Times New Roman"/>
          <w:i/>
          <w:szCs w:val="17"/>
        </w:rPr>
        <w:t>2.3.3.2</w:t>
      </w:r>
      <w:r w:rsidRPr="00E26C8E">
        <w:rPr>
          <w:rFonts w:eastAsia="Times New Roman"/>
          <w:i/>
          <w:szCs w:val="17"/>
        </w:rPr>
        <w:tab/>
        <w:t>Product stockpile</w:t>
      </w:r>
    </w:p>
    <w:p w:rsidR="00E26C8E" w:rsidRPr="00E26C8E" w:rsidRDefault="00E26C8E" w:rsidP="00E26C8E">
      <w:pPr>
        <w:ind w:left="2127"/>
        <w:rPr>
          <w:rFonts w:eastAsia="Times New Roman"/>
          <w:szCs w:val="17"/>
        </w:rPr>
      </w:pPr>
      <w:r w:rsidRPr="00E26C8E">
        <w:rPr>
          <w:rFonts w:eastAsia="Times New Roman"/>
          <w:szCs w:val="17"/>
        </w:rPr>
        <w:t>Describe and show on a map (as per 7.1.2.1):</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location and height of product of product stockpiles.</w:t>
      </w:r>
    </w:p>
    <w:p w:rsidR="00E26C8E" w:rsidRPr="00E26C8E" w:rsidRDefault="00E26C8E" w:rsidP="00E26C8E">
      <w:pPr>
        <w:spacing w:after="0" w:line="240" w:lineRule="auto"/>
        <w:jc w:val="left"/>
        <w:rPr>
          <w:rFonts w:eastAsia="Times New Roman"/>
          <w:b/>
          <w:szCs w:val="17"/>
        </w:rPr>
      </w:pPr>
      <w:r w:rsidRPr="00E26C8E">
        <w:rPr>
          <w:rFonts w:eastAsia="Times New Roman"/>
          <w:b/>
          <w:szCs w:val="20"/>
        </w:rPr>
        <w:br w:type="page"/>
      </w:r>
    </w:p>
    <w:p w:rsidR="00E26C8E" w:rsidRPr="00E26C8E" w:rsidRDefault="00E26C8E" w:rsidP="00E26C8E">
      <w:pPr>
        <w:ind w:left="1418" w:hanging="567"/>
        <w:rPr>
          <w:rFonts w:eastAsia="Times New Roman"/>
          <w:b/>
          <w:szCs w:val="17"/>
        </w:rPr>
      </w:pPr>
      <w:r w:rsidRPr="00E26C8E">
        <w:rPr>
          <w:rFonts w:eastAsia="Times New Roman"/>
          <w:b/>
          <w:szCs w:val="17"/>
        </w:rPr>
        <w:t>2.3.4</w:t>
      </w:r>
      <w:r w:rsidRPr="00E26C8E">
        <w:rPr>
          <w:rFonts w:eastAsia="Times New Roman"/>
          <w:b/>
          <w:szCs w:val="17"/>
        </w:rPr>
        <w:tab/>
        <w:t>Use of explosives</w:t>
      </w:r>
    </w:p>
    <w:p w:rsidR="00E26C8E" w:rsidRPr="00E26C8E" w:rsidRDefault="00E26C8E" w:rsidP="00E26C8E">
      <w:pPr>
        <w:ind w:left="1418"/>
        <w:rPr>
          <w:rFonts w:eastAsia="Times New Roman"/>
          <w:szCs w:val="17"/>
        </w:rPr>
      </w:pPr>
      <w:r w:rsidRPr="00E26C8E">
        <w:rPr>
          <w:rFonts w:eastAsia="Times New Roman"/>
          <w:szCs w:val="17"/>
        </w:rPr>
        <w:t>If explosives are used, describe: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estimated frequency of blasting;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whether explosives will be stored onsite.</w:t>
      </w:r>
    </w:p>
    <w:p w:rsidR="00E26C8E" w:rsidRPr="00E26C8E" w:rsidRDefault="00E26C8E" w:rsidP="00E26C8E">
      <w:pPr>
        <w:ind w:left="1418" w:hanging="567"/>
        <w:rPr>
          <w:rFonts w:eastAsia="Times New Roman"/>
          <w:szCs w:val="17"/>
        </w:rPr>
      </w:pPr>
      <w:r w:rsidRPr="00E26C8E">
        <w:rPr>
          <w:rFonts w:eastAsia="Times New Roman"/>
          <w:b/>
          <w:szCs w:val="17"/>
        </w:rPr>
        <w:t>2.3.5</w:t>
      </w:r>
      <w:r w:rsidRPr="00E26C8E">
        <w:rPr>
          <w:rFonts w:eastAsia="Times New Roman"/>
          <w:b/>
          <w:szCs w:val="17"/>
        </w:rPr>
        <w:tab/>
        <w:t>Modes and hours of operation</w:t>
      </w:r>
    </w:p>
    <w:p w:rsidR="00E26C8E" w:rsidRPr="00E26C8E" w:rsidRDefault="00E26C8E" w:rsidP="00E26C8E">
      <w:pPr>
        <w:ind w:left="1418"/>
        <w:rPr>
          <w:rFonts w:eastAsia="Times New Roman"/>
          <w:szCs w:val="17"/>
        </w:rPr>
      </w:pPr>
      <w:r w:rsidRPr="00E26C8E">
        <w:rPr>
          <w:rFonts w:eastAsia="Times New Roman"/>
          <w:szCs w:val="17"/>
        </w:rPr>
        <w:t>State if the quarry operation will be operated on a continuous (24 hour, 7 days a week), regular periodical or campaign basis.</w:t>
      </w:r>
    </w:p>
    <w:p w:rsidR="00E26C8E" w:rsidRPr="00E26C8E" w:rsidRDefault="00E26C8E" w:rsidP="00E26C8E">
      <w:pPr>
        <w:ind w:left="1418"/>
        <w:rPr>
          <w:rFonts w:eastAsia="Times New Roman"/>
          <w:szCs w:val="17"/>
        </w:rPr>
      </w:pPr>
      <w:r w:rsidRPr="00E26C8E">
        <w:rPr>
          <w:rFonts w:eastAsia="Times New Roman"/>
          <w:szCs w:val="17"/>
        </w:rPr>
        <w:t>If the quarry operation is to be operated on a regular periodical basis or campaign basis, specify:</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period(s) (daily, weekly and public holidays) to be worked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start and finish hours the site is to be worked per period.</w:t>
      </w:r>
    </w:p>
    <w:p w:rsidR="00E26C8E" w:rsidRPr="00E26C8E" w:rsidRDefault="00E26C8E" w:rsidP="00E26C8E">
      <w:pPr>
        <w:ind w:left="851" w:hanging="425"/>
        <w:rPr>
          <w:rFonts w:eastAsia="Times New Roman"/>
          <w:b/>
          <w:szCs w:val="17"/>
        </w:rPr>
      </w:pPr>
      <w:r w:rsidRPr="00E26C8E">
        <w:rPr>
          <w:rFonts w:eastAsia="Times New Roman"/>
          <w:b/>
          <w:szCs w:val="17"/>
        </w:rPr>
        <w:t>2.4</w:t>
      </w:r>
      <w:r w:rsidRPr="00E26C8E">
        <w:rPr>
          <w:rFonts w:eastAsia="Times New Roman"/>
          <w:b/>
          <w:szCs w:val="17"/>
        </w:rPr>
        <w:tab/>
        <w:t>Crushing, processing and product transport</w:t>
      </w:r>
    </w:p>
    <w:p w:rsidR="00E26C8E" w:rsidRPr="00E26C8E" w:rsidRDefault="00E26C8E" w:rsidP="00E26C8E">
      <w:pPr>
        <w:ind w:left="1418" w:hanging="567"/>
        <w:rPr>
          <w:rFonts w:eastAsia="Times New Roman"/>
          <w:b/>
          <w:szCs w:val="17"/>
        </w:rPr>
      </w:pPr>
      <w:r w:rsidRPr="00E26C8E">
        <w:rPr>
          <w:rFonts w:eastAsia="Times New Roman"/>
          <w:b/>
          <w:szCs w:val="17"/>
        </w:rPr>
        <w:t>2.4.1</w:t>
      </w:r>
      <w:r w:rsidRPr="00E26C8E">
        <w:rPr>
          <w:rFonts w:eastAsia="Times New Roman"/>
          <w:b/>
          <w:szCs w:val="17"/>
        </w:rPr>
        <w:tab/>
        <w:t>Fixed plant</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Describe the specifications of fixed plant including but not limited to: area, size, and location of fixed plant and associated structures including as applicable concrete batching plant, wheel wash facilities, silos, fuel tanks, water tanks, chemical storage proposed to be used for processing the extractive minerals on site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 description of rock or sand processing; in particular crushing, washing, drying, screening and separation;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the type(s) of processing/value adding used on the raw material and conducted onsite including but not limited to concrete, bitumen, separation and drying.</w:t>
      </w:r>
    </w:p>
    <w:p w:rsidR="00E26C8E" w:rsidRPr="00E26C8E" w:rsidRDefault="00E26C8E" w:rsidP="00E26C8E">
      <w:pPr>
        <w:ind w:left="1418" w:hanging="567"/>
        <w:rPr>
          <w:rFonts w:eastAsia="Times New Roman"/>
          <w:b/>
          <w:szCs w:val="17"/>
        </w:rPr>
      </w:pPr>
      <w:r w:rsidRPr="00E26C8E">
        <w:rPr>
          <w:rFonts w:eastAsia="Times New Roman"/>
          <w:b/>
          <w:szCs w:val="17"/>
        </w:rPr>
        <w:t>2.4.2</w:t>
      </w:r>
      <w:r w:rsidRPr="00E26C8E">
        <w:rPr>
          <w:rFonts w:eastAsia="Times New Roman"/>
          <w:b/>
          <w:szCs w:val="17"/>
        </w:rPr>
        <w:tab/>
        <w:t>Hours of operation</w:t>
      </w:r>
    </w:p>
    <w:p w:rsidR="00E26C8E" w:rsidRPr="00E26C8E" w:rsidRDefault="00E26C8E" w:rsidP="00E26C8E">
      <w:pPr>
        <w:ind w:left="1418"/>
        <w:rPr>
          <w:rFonts w:eastAsia="Times New Roman"/>
          <w:szCs w:val="17"/>
        </w:rPr>
      </w:pPr>
      <w:r w:rsidRPr="00E26C8E">
        <w:rPr>
          <w:rFonts w:eastAsia="Times New Roman"/>
          <w:szCs w:val="17"/>
        </w:rPr>
        <w:t>Describe the hours of crushing, processing and product transport activities.</w:t>
      </w:r>
    </w:p>
    <w:p w:rsidR="00E26C8E" w:rsidRPr="00E26C8E" w:rsidRDefault="00E26C8E" w:rsidP="00E26C8E">
      <w:pPr>
        <w:ind w:left="1418" w:hanging="567"/>
        <w:rPr>
          <w:rFonts w:eastAsia="Times New Roman"/>
          <w:b/>
          <w:szCs w:val="17"/>
        </w:rPr>
      </w:pPr>
      <w:r w:rsidRPr="00E26C8E">
        <w:rPr>
          <w:rFonts w:eastAsia="Times New Roman"/>
          <w:b/>
          <w:szCs w:val="17"/>
        </w:rPr>
        <w:t>2.4.3</w:t>
      </w:r>
      <w:r w:rsidRPr="00E26C8E">
        <w:rPr>
          <w:rFonts w:eastAsia="Times New Roman"/>
          <w:b/>
          <w:szCs w:val="17"/>
        </w:rPr>
        <w:tab/>
        <w:t>Processing wastes</w:t>
      </w:r>
    </w:p>
    <w:p w:rsidR="00E26C8E" w:rsidRPr="00E26C8E" w:rsidRDefault="00E26C8E" w:rsidP="00E26C8E">
      <w:pPr>
        <w:ind w:left="1418"/>
        <w:rPr>
          <w:rFonts w:eastAsia="Times New Roman"/>
          <w:szCs w:val="17"/>
        </w:rPr>
      </w:pPr>
      <w:r w:rsidRPr="00E26C8E">
        <w:rPr>
          <w:rFonts w:eastAsia="Times New Roman"/>
          <w:szCs w:val="17"/>
        </w:rPr>
        <w:t>If processing wastes are to be generated provide a description of:</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management of any proposed chemical additives contained within waste to prevent environmental harm</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management and disposal of processing wastes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construction and geotechnical design of proposed storage facilities;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construction details/design of evaporation ponds and proposed use of waste material.</w:t>
      </w:r>
    </w:p>
    <w:p w:rsidR="00E26C8E" w:rsidRPr="00E26C8E" w:rsidRDefault="00E26C8E" w:rsidP="00E26C8E">
      <w:pPr>
        <w:ind w:left="1418" w:hanging="567"/>
        <w:rPr>
          <w:rFonts w:eastAsia="Times New Roman"/>
          <w:b/>
          <w:szCs w:val="17"/>
        </w:rPr>
      </w:pPr>
      <w:r w:rsidRPr="00E26C8E">
        <w:rPr>
          <w:rFonts w:eastAsia="Times New Roman"/>
          <w:b/>
          <w:szCs w:val="17"/>
        </w:rPr>
        <w:t>2.4.4</w:t>
      </w:r>
      <w:r w:rsidRPr="00E26C8E">
        <w:rPr>
          <w:rFonts w:eastAsia="Times New Roman"/>
          <w:b/>
          <w:szCs w:val="17"/>
        </w:rPr>
        <w:tab/>
        <w:t>Industrial and domestic wastes</w:t>
      </w:r>
    </w:p>
    <w:p w:rsidR="00E26C8E" w:rsidRPr="00E26C8E" w:rsidRDefault="00E26C8E" w:rsidP="00E26C8E">
      <w:pPr>
        <w:ind w:left="1418"/>
        <w:rPr>
          <w:rFonts w:eastAsia="Times New Roman"/>
          <w:szCs w:val="17"/>
        </w:rPr>
      </w:pPr>
      <w:r w:rsidRPr="00E26C8E">
        <w:rPr>
          <w:rFonts w:eastAsia="Times New Roman"/>
          <w:szCs w:val="17"/>
        </w:rPr>
        <w:t>A description of management of any of the following industrial and domestic wastes must be provided: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putrescible waste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oil</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other onsite waste disposal or recycling - eg workshop waste, tyres, drums, oil filters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offsite disposal;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 description of the type, area and layout of sewage systems installed at the site.</w:t>
      </w:r>
    </w:p>
    <w:p w:rsidR="00E26C8E" w:rsidRPr="00E26C8E" w:rsidRDefault="00E26C8E" w:rsidP="00E26C8E">
      <w:pPr>
        <w:ind w:left="851" w:hanging="425"/>
        <w:rPr>
          <w:rFonts w:eastAsia="Times New Roman"/>
          <w:b/>
          <w:szCs w:val="17"/>
        </w:rPr>
      </w:pPr>
      <w:r w:rsidRPr="00E26C8E">
        <w:rPr>
          <w:rFonts w:eastAsia="Times New Roman"/>
          <w:b/>
          <w:szCs w:val="17"/>
        </w:rPr>
        <w:t>2.5</w:t>
      </w:r>
      <w:r w:rsidRPr="00E26C8E">
        <w:rPr>
          <w:rFonts w:eastAsia="Times New Roman"/>
          <w:b/>
          <w:szCs w:val="17"/>
        </w:rPr>
        <w:tab/>
        <w:t>Supporting surface infrastructure</w:t>
      </w:r>
    </w:p>
    <w:p w:rsidR="00E26C8E" w:rsidRPr="00E26C8E" w:rsidRDefault="00E26C8E" w:rsidP="00E26C8E">
      <w:pPr>
        <w:ind w:left="1418" w:hanging="567"/>
        <w:rPr>
          <w:rFonts w:eastAsia="Times New Roman"/>
          <w:b/>
          <w:szCs w:val="17"/>
        </w:rPr>
      </w:pPr>
      <w:r w:rsidRPr="00E26C8E">
        <w:rPr>
          <w:rFonts w:eastAsia="Times New Roman"/>
          <w:b/>
          <w:szCs w:val="17"/>
        </w:rPr>
        <w:t>2.5.1</w:t>
      </w:r>
      <w:r w:rsidRPr="00E26C8E">
        <w:rPr>
          <w:rFonts w:eastAsia="Times New Roman"/>
          <w:b/>
          <w:szCs w:val="17"/>
        </w:rPr>
        <w:tab/>
        <w:t>Access and roads</w:t>
      </w:r>
    </w:p>
    <w:p w:rsidR="00E26C8E" w:rsidRPr="00E26C8E" w:rsidRDefault="00E26C8E" w:rsidP="00E26C8E">
      <w:pPr>
        <w:ind w:left="1418"/>
        <w:rPr>
          <w:rFonts w:eastAsia="Times New Roman"/>
          <w:szCs w:val="17"/>
        </w:rPr>
      </w:pPr>
      <w:r w:rsidRPr="00E26C8E">
        <w:rPr>
          <w:rFonts w:eastAsia="Times New Roman"/>
          <w:szCs w:val="17"/>
        </w:rPr>
        <w:t>Describe: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access route to the site and show on a map (as per 7.1.2.3)</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indicate if any new roads are to be constructed, or if existing roads or intersections (public and private) are to be upgraded;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transport system(s) used to and from the site and the estimated number of vehicle movements per day.</w:t>
      </w:r>
    </w:p>
    <w:p w:rsidR="00E26C8E" w:rsidRPr="00E26C8E" w:rsidRDefault="00E26C8E" w:rsidP="00E26C8E">
      <w:pPr>
        <w:ind w:left="1418" w:hanging="567"/>
        <w:rPr>
          <w:rFonts w:eastAsia="Times New Roman"/>
          <w:b/>
          <w:szCs w:val="17"/>
        </w:rPr>
      </w:pPr>
      <w:r w:rsidRPr="00E26C8E">
        <w:rPr>
          <w:rFonts w:eastAsia="Times New Roman"/>
          <w:b/>
          <w:szCs w:val="17"/>
        </w:rPr>
        <w:t>2.5.2</w:t>
      </w:r>
      <w:r w:rsidRPr="00E26C8E">
        <w:rPr>
          <w:rFonts w:eastAsia="Times New Roman"/>
          <w:b/>
          <w:szCs w:val="17"/>
        </w:rPr>
        <w:tab/>
        <w:t>Accommodation and offices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Describe onsite personnel accommodation and offices, including but not limited to: number, area, size, type of construction and location of accommodation, office, meals or laboratory buildings, caravans or camp, and associated structures (eg car parks, water tanks, etc) to be used on site;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if temporary or permanent.</w:t>
      </w:r>
    </w:p>
    <w:p w:rsidR="00E26C8E" w:rsidRPr="00E26C8E" w:rsidRDefault="00E26C8E" w:rsidP="00E26C8E">
      <w:pPr>
        <w:ind w:left="1418" w:hanging="567"/>
        <w:rPr>
          <w:rFonts w:eastAsia="Times New Roman"/>
          <w:b/>
          <w:szCs w:val="17"/>
        </w:rPr>
      </w:pPr>
      <w:r w:rsidRPr="00E26C8E">
        <w:rPr>
          <w:rFonts w:eastAsia="Times New Roman"/>
          <w:b/>
          <w:szCs w:val="17"/>
        </w:rPr>
        <w:t>2.5.3</w:t>
      </w:r>
      <w:r w:rsidRPr="00E26C8E">
        <w:rPr>
          <w:rFonts w:eastAsia="Times New Roman"/>
          <w:b/>
          <w:szCs w:val="17"/>
        </w:rPr>
        <w:tab/>
        <w:t>Public services and utilities used by the operation</w:t>
      </w:r>
    </w:p>
    <w:p w:rsidR="00E26C8E" w:rsidRPr="00E26C8E" w:rsidRDefault="00E26C8E" w:rsidP="00E26C8E">
      <w:pPr>
        <w:ind w:left="1418"/>
        <w:rPr>
          <w:rFonts w:eastAsia="Times New Roman"/>
          <w:szCs w:val="17"/>
        </w:rPr>
      </w:pPr>
      <w:r w:rsidRPr="00E26C8E">
        <w:rPr>
          <w:rFonts w:eastAsia="Times New Roman"/>
          <w:szCs w:val="17"/>
        </w:rPr>
        <w:t>Describe: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sources of services or utilities that are, or are to be supplied to the proposed site, such as power, water, telecommunications etc</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if new connections to services and utilities are required, the proposed routes for connection;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the effects to any existing services or utilities that have been or may be affected by the mining operations.</w:t>
      </w:r>
    </w:p>
    <w:p w:rsidR="00E26C8E" w:rsidRPr="00E26C8E" w:rsidRDefault="00E26C8E" w:rsidP="00E26C8E">
      <w:pPr>
        <w:ind w:left="1418" w:hanging="567"/>
        <w:rPr>
          <w:rFonts w:eastAsia="Times New Roman"/>
          <w:b/>
          <w:szCs w:val="17"/>
        </w:rPr>
      </w:pPr>
      <w:r w:rsidRPr="00E26C8E">
        <w:rPr>
          <w:rFonts w:eastAsia="Times New Roman"/>
          <w:b/>
          <w:szCs w:val="17"/>
        </w:rPr>
        <w:t>2.5.4</w:t>
      </w:r>
      <w:r w:rsidRPr="00E26C8E">
        <w:rPr>
          <w:rFonts w:eastAsia="Times New Roman"/>
          <w:b/>
          <w:szCs w:val="17"/>
        </w:rPr>
        <w:tab/>
        <w:t>Visual screening</w:t>
      </w:r>
    </w:p>
    <w:p w:rsidR="00E26C8E" w:rsidRPr="00E26C8E" w:rsidRDefault="00E26C8E" w:rsidP="00E26C8E">
      <w:pPr>
        <w:ind w:left="1418"/>
        <w:rPr>
          <w:rFonts w:eastAsia="Times New Roman"/>
          <w:szCs w:val="17"/>
        </w:rPr>
      </w:pPr>
      <w:r w:rsidRPr="00E26C8E">
        <w:rPr>
          <w:rFonts w:eastAsia="Times New Roman"/>
          <w:szCs w:val="17"/>
        </w:rPr>
        <w:t>Describe the type of screening, including existing or proposed vegetation (ie species and density of plantings) and show on a map (as per 7.1.2.1 or 7.1.2.2)</w:t>
      </w:r>
    </w:p>
    <w:p w:rsidR="00E26C8E" w:rsidRPr="00E26C8E" w:rsidRDefault="00E26C8E" w:rsidP="00E26C8E">
      <w:pPr>
        <w:ind w:left="1418" w:hanging="567"/>
        <w:rPr>
          <w:rFonts w:eastAsia="Times New Roman"/>
          <w:b/>
          <w:szCs w:val="17"/>
        </w:rPr>
      </w:pPr>
      <w:r w:rsidRPr="00E26C8E">
        <w:rPr>
          <w:rFonts w:eastAsia="Times New Roman"/>
          <w:b/>
          <w:szCs w:val="17"/>
        </w:rPr>
        <w:t>2.5.5</w:t>
      </w:r>
      <w:r w:rsidRPr="00E26C8E">
        <w:rPr>
          <w:rFonts w:eastAsia="Times New Roman"/>
          <w:b/>
          <w:szCs w:val="17"/>
        </w:rPr>
        <w:tab/>
        <w:t>Fuel and chemical storage</w:t>
      </w:r>
    </w:p>
    <w:p w:rsidR="00E26C8E" w:rsidRPr="00E26C8E" w:rsidRDefault="00E26C8E" w:rsidP="00E26C8E">
      <w:pPr>
        <w:ind w:left="1418"/>
        <w:rPr>
          <w:rFonts w:eastAsia="Times New Roman"/>
          <w:szCs w:val="17"/>
        </w:rPr>
      </w:pPr>
      <w:r w:rsidRPr="00E26C8E">
        <w:rPr>
          <w:rFonts w:eastAsia="Times New Roman"/>
          <w:szCs w:val="17"/>
        </w:rPr>
        <w:t>For all fuels and chemicals stored on site show the proposed location of storage on a map (as per 7.1.2.1) and provide detail on:</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types of bulk chemicals and the volumes of each;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proposed bunding and containment for all chemical and fuel storage vessels.</w:t>
      </w:r>
      <w:r w:rsidRPr="00E26C8E">
        <w:rPr>
          <w:rFonts w:eastAsia="Times New Roman"/>
          <w:b/>
          <w:szCs w:val="17"/>
        </w:rPr>
        <w:br w:type="page"/>
      </w:r>
    </w:p>
    <w:p w:rsidR="00E26C8E" w:rsidRPr="00E26C8E" w:rsidRDefault="00E26C8E" w:rsidP="00E26C8E">
      <w:pPr>
        <w:ind w:left="1418" w:hanging="567"/>
        <w:rPr>
          <w:rFonts w:eastAsia="Times New Roman"/>
          <w:b/>
          <w:szCs w:val="17"/>
        </w:rPr>
      </w:pPr>
      <w:r w:rsidRPr="00E26C8E">
        <w:rPr>
          <w:rFonts w:eastAsia="Times New Roman"/>
          <w:b/>
          <w:szCs w:val="17"/>
        </w:rPr>
        <w:t>2.5.6</w:t>
      </w:r>
      <w:r w:rsidRPr="00E26C8E">
        <w:rPr>
          <w:rFonts w:eastAsia="Times New Roman"/>
          <w:b/>
          <w:szCs w:val="17"/>
        </w:rPr>
        <w:tab/>
        <w:t>Site security</w:t>
      </w:r>
    </w:p>
    <w:p w:rsidR="00E26C8E" w:rsidRPr="00E26C8E" w:rsidRDefault="00E26C8E" w:rsidP="00E26C8E">
      <w:pPr>
        <w:ind w:left="1418"/>
        <w:rPr>
          <w:rFonts w:eastAsia="Times New Roman"/>
          <w:szCs w:val="17"/>
        </w:rPr>
      </w:pPr>
      <w:r w:rsidRPr="00E26C8E">
        <w:rPr>
          <w:rFonts w:eastAsia="Times New Roman"/>
          <w:szCs w:val="17"/>
        </w:rPr>
        <w:t>Describe infrastructure and measures that will be adopted to prevent unauthorised access by the public, including, but not limited to:</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fencing;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signage.</w:t>
      </w:r>
    </w:p>
    <w:p w:rsidR="00E26C8E" w:rsidRPr="00E26C8E" w:rsidRDefault="00E26C8E" w:rsidP="00E26C8E">
      <w:pPr>
        <w:ind w:left="1418" w:hanging="567"/>
        <w:rPr>
          <w:rFonts w:eastAsia="Times New Roman"/>
          <w:b/>
          <w:szCs w:val="17"/>
        </w:rPr>
      </w:pPr>
      <w:r w:rsidRPr="00E26C8E">
        <w:rPr>
          <w:rFonts w:eastAsia="Times New Roman"/>
          <w:b/>
          <w:szCs w:val="17"/>
        </w:rPr>
        <w:t>2.5.7</w:t>
      </w:r>
      <w:r w:rsidRPr="00E26C8E">
        <w:rPr>
          <w:rFonts w:eastAsia="Times New Roman"/>
          <w:b/>
          <w:szCs w:val="17"/>
        </w:rPr>
        <w:tab/>
        <w:t>Erosion, sediment and silt control</w:t>
      </w:r>
    </w:p>
    <w:p w:rsidR="00E26C8E" w:rsidRPr="00E26C8E" w:rsidRDefault="00E26C8E" w:rsidP="00E26C8E">
      <w:pPr>
        <w:ind w:left="1418"/>
        <w:rPr>
          <w:rFonts w:eastAsia="Times New Roman"/>
          <w:szCs w:val="17"/>
        </w:rPr>
      </w:pPr>
      <w:r w:rsidRPr="00E26C8E">
        <w:rPr>
          <w:rFonts w:eastAsia="Times New Roman"/>
          <w:szCs w:val="17"/>
        </w:rPr>
        <w:t>Describe and show on a map (as per 7.1.2.1):</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location and design of sediment management structures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management and disposal of silt</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strategies to control runoff on disturbed areas and rehabilitated areas;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storage, diversion and release of clean water.</w:t>
      </w:r>
    </w:p>
    <w:p w:rsidR="00E26C8E" w:rsidRPr="00E26C8E" w:rsidRDefault="00E26C8E" w:rsidP="00E26C8E">
      <w:pPr>
        <w:ind w:left="851" w:hanging="425"/>
        <w:rPr>
          <w:rFonts w:eastAsia="Times New Roman"/>
          <w:b/>
          <w:szCs w:val="17"/>
        </w:rPr>
      </w:pPr>
      <w:r w:rsidRPr="00E26C8E">
        <w:rPr>
          <w:rFonts w:eastAsia="Times New Roman"/>
          <w:b/>
          <w:szCs w:val="17"/>
        </w:rPr>
        <w:t>2.6</w:t>
      </w:r>
      <w:r w:rsidRPr="00E26C8E">
        <w:rPr>
          <w:rFonts w:eastAsia="Times New Roman"/>
          <w:b/>
          <w:szCs w:val="17"/>
        </w:rPr>
        <w:tab/>
        <w:t>Vegetation clearance</w:t>
      </w:r>
    </w:p>
    <w:p w:rsidR="00E26C8E" w:rsidRPr="00E26C8E" w:rsidRDefault="00E26C8E" w:rsidP="00E26C8E">
      <w:pPr>
        <w:ind w:left="851"/>
        <w:rPr>
          <w:rFonts w:eastAsia="Times New Roman"/>
          <w:szCs w:val="17"/>
        </w:rPr>
      </w:pPr>
      <w:r w:rsidRPr="00E26C8E">
        <w:rPr>
          <w:rFonts w:eastAsia="Times New Roman"/>
          <w:szCs w:val="17"/>
        </w:rPr>
        <w:t>If clearance of native vegetation is to occur, a Native Vegetation Management Plan (NVMP) prepared by an accredited consultant must be included with the transitional PEPR.</w:t>
      </w:r>
    </w:p>
    <w:p w:rsidR="00E26C8E" w:rsidRPr="00E26C8E" w:rsidRDefault="00E26C8E" w:rsidP="00E26C8E">
      <w:pPr>
        <w:ind w:left="851"/>
        <w:rPr>
          <w:rFonts w:eastAsia="Times New Roman"/>
          <w:szCs w:val="17"/>
        </w:rPr>
      </w:pPr>
      <w:r w:rsidRPr="00E26C8E">
        <w:rPr>
          <w:rFonts w:eastAsia="Times New Roman"/>
          <w:szCs w:val="17"/>
        </w:rPr>
        <w:t>The NVMP must:</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describe the vegetation type to be cleared and include a map (as per 7.1.2.2) showing the proposed clearance area;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state the quantum of significant environmental benefit (SEB) to be gained in exchange for the clearance and describe how the SEB will be provided.</w:t>
      </w:r>
    </w:p>
    <w:p w:rsidR="00E26C8E" w:rsidRPr="00E26C8E" w:rsidRDefault="00E26C8E" w:rsidP="00E26C8E">
      <w:pPr>
        <w:ind w:left="1985" w:hanging="284"/>
        <w:rPr>
          <w:rFonts w:eastAsia="Times New Roman"/>
          <w:szCs w:val="17"/>
        </w:rPr>
      </w:pPr>
      <w:r w:rsidRPr="00E26C8E">
        <w:rPr>
          <w:rFonts w:eastAsia="Times New Roman"/>
          <w:szCs w:val="17"/>
        </w:rPr>
        <w:t>◦</w:t>
      </w:r>
      <w:r w:rsidRPr="00E26C8E">
        <w:rPr>
          <w:rFonts w:eastAsia="Times New Roman"/>
          <w:szCs w:val="17"/>
        </w:rPr>
        <w:tab/>
        <w:t>Site Water Management</w:t>
      </w:r>
    </w:p>
    <w:p w:rsidR="00E26C8E" w:rsidRPr="00E26C8E" w:rsidRDefault="00E26C8E" w:rsidP="00E26C8E">
      <w:pPr>
        <w:ind w:left="1985"/>
        <w:rPr>
          <w:rFonts w:eastAsia="Times New Roman"/>
          <w:szCs w:val="17"/>
        </w:rPr>
      </w:pPr>
      <w:r w:rsidRPr="00E26C8E">
        <w:rPr>
          <w:rFonts w:eastAsia="Times New Roman"/>
          <w:szCs w:val="17"/>
        </w:rPr>
        <w:t>Provide an estimate of the quantity of water to be used and the source of that water. If processing water is to be used, provide a water balance including:</w:t>
      </w:r>
    </w:p>
    <w:p w:rsidR="00E26C8E" w:rsidRPr="00E26C8E" w:rsidRDefault="00E26C8E" w:rsidP="00E26C8E">
      <w:pPr>
        <w:ind w:left="2268" w:hanging="283"/>
        <w:rPr>
          <w:rFonts w:eastAsia="Times New Roman"/>
          <w:szCs w:val="17"/>
        </w:rPr>
      </w:pPr>
      <w:r w:rsidRPr="00E26C8E">
        <w:rPr>
          <w:rFonts w:eastAsia="Times New Roman"/>
          <w:szCs w:val="17"/>
        </w:rPr>
        <w:t>•</w:t>
      </w:r>
      <w:r w:rsidRPr="00E26C8E">
        <w:rPr>
          <w:rFonts w:eastAsia="Times New Roman"/>
          <w:szCs w:val="17"/>
        </w:rPr>
        <w:tab/>
        <w:t>approximate water volumes required for processing; and</w:t>
      </w:r>
    </w:p>
    <w:p w:rsidR="00E26C8E" w:rsidRPr="00E26C8E" w:rsidRDefault="00E26C8E" w:rsidP="00E26C8E">
      <w:pPr>
        <w:ind w:left="2268" w:hanging="283"/>
        <w:rPr>
          <w:rFonts w:eastAsia="Times New Roman"/>
          <w:szCs w:val="17"/>
        </w:rPr>
      </w:pPr>
      <w:r w:rsidRPr="00E26C8E">
        <w:rPr>
          <w:rFonts w:eastAsia="Times New Roman"/>
          <w:szCs w:val="17"/>
        </w:rPr>
        <w:t>•</w:t>
      </w:r>
      <w:r w:rsidRPr="00E26C8E">
        <w:rPr>
          <w:rFonts w:eastAsia="Times New Roman"/>
          <w:szCs w:val="17"/>
        </w:rPr>
        <w:tab/>
        <w:t>a summary of all water inputs and outputs.</w:t>
      </w:r>
    </w:p>
    <w:p w:rsidR="00E26C8E" w:rsidRPr="00E26C8E" w:rsidRDefault="00E26C8E" w:rsidP="00E26C8E">
      <w:pPr>
        <w:ind w:left="1985"/>
        <w:rPr>
          <w:rFonts w:eastAsia="Times New Roman"/>
          <w:szCs w:val="17"/>
        </w:rPr>
      </w:pPr>
      <w:r w:rsidRPr="00E26C8E">
        <w:rPr>
          <w:rFonts w:eastAsia="Times New Roman"/>
          <w:szCs w:val="17"/>
        </w:rPr>
        <w:t>Provide a description of all process water ponds, including:</w:t>
      </w:r>
    </w:p>
    <w:p w:rsidR="00E26C8E" w:rsidRPr="00E26C8E" w:rsidRDefault="00E26C8E" w:rsidP="00E26C8E">
      <w:pPr>
        <w:ind w:left="2268" w:hanging="283"/>
        <w:rPr>
          <w:rFonts w:eastAsia="Times New Roman"/>
          <w:szCs w:val="17"/>
        </w:rPr>
      </w:pPr>
      <w:r w:rsidRPr="00E26C8E">
        <w:rPr>
          <w:rFonts w:eastAsia="Times New Roman"/>
          <w:szCs w:val="17"/>
        </w:rPr>
        <w:t>•</w:t>
      </w:r>
      <w:r w:rsidRPr="00E26C8E">
        <w:rPr>
          <w:rFonts w:eastAsia="Times New Roman"/>
          <w:szCs w:val="17"/>
        </w:rPr>
        <w:tab/>
        <w:t>size, capacity, layout and location of ponds</w:t>
      </w:r>
    </w:p>
    <w:p w:rsidR="00E26C8E" w:rsidRPr="00E26C8E" w:rsidRDefault="00E26C8E" w:rsidP="00E26C8E">
      <w:pPr>
        <w:ind w:left="2268" w:hanging="283"/>
        <w:rPr>
          <w:rFonts w:eastAsia="Times New Roman"/>
          <w:szCs w:val="17"/>
        </w:rPr>
      </w:pPr>
      <w:r w:rsidRPr="00E26C8E">
        <w:rPr>
          <w:rFonts w:eastAsia="Times New Roman"/>
          <w:szCs w:val="17"/>
        </w:rPr>
        <w:t>•</w:t>
      </w:r>
      <w:r w:rsidRPr="00E26C8E">
        <w:rPr>
          <w:rFonts w:eastAsia="Times New Roman"/>
          <w:szCs w:val="17"/>
        </w:rPr>
        <w:tab/>
        <w:t>design and construction methods; and</w:t>
      </w:r>
    </w:p>
    <w:p w:rsidR="00E26C8E" w:rsidRPr="00E26C8E" w:rsidRDefault="00E26C8E" w:rsidP="00E26C8E">
      <w:pPr>
        <w:ind w:left="2268" w:hanging="283"/>
        <w:rPr>
          <w:rFonts w:eastAsia="Times New Roman"/>
          <w:szCs w:val="17"/>
        </w:rPr>
      </w:pPr>
      <w:r w:rsidRPr="00E26C8E">
        <w:rPr>
          <w:rFonts w:eastAsia="Times New Roman"/>
          <w:szCs w:val="17"/>
        </w:rPr>
        <w:t>•</w:t>
      </w:r>
      <w:r w:rsidRPr="00E26C8E">
        <w:rPr>
          <w:rFonts w:eastAsia="Times New Roman"/>
          <w:szCs w:val="17"/>
        </w:rPr>
        <w:tab/>
        <w:t>minimum freeboard to be maintained.</w:t>
      </w:r>
    </w:p>
    <w:p w:rsidR="00E26C8E" w:rsidRPr="00E26C8E" w:rsidRDefault="00E26C8E" w:rsidP="00E26C8E">
      <w:pPr>
        <w:ind w:left="851" w:hanging="425"/>
        <w:rPr>
          <w:rFonts w:eastAsia="Times New Roman"/>
          <w:b/>
          <w:szCs w:val="17"/>
        </w:rPr>
      </w:pPr>
      <w:r w:rsidRPr="00E26C8E">
        <w:rPr>
          <w:rFonts w:eastAsia="Times New Roman"/>
          <w:b/>
          <w:szCs w:val="17"/>
        </w:rPr>
        <w:t>2.7</w:t>
      </w:r>
      <w:r w:rsidRPr="00E26C8E">
        <w:rPr>
          <w:rFonts w:eastAsia="Times New Roman"/>
          <w:b/>
          <w:szCs w:val="17"/>
        </w:rPr>
        <w:tab/>
        <w:t>Description of quarry site at completion</w:t>
      </w:r>
    </w:p>
    <w:p w:rsidR="00E26C8E" w:rsidRPr="00E26C8E" w:rsidRDefault="00E26C8E" w:rsidP="00E26C8E">
      <w:pPr>
        <w:ind w:left="851"/>
        <w:rPr>
          <w:rFonts w:eastAsia="Times New Roman"/>
          <w:szCs w:val="17"/>
        </w:rPr>
      </w:pPr>
      <w:r w:rsidRPr="00E26C8E">
        <w:rPr>
          <w:rFonts w:eastAsia="Times New Roman"/>
          <w:szCs w:val="17"/>
        </w:rPr>
        <w:t>Provide a map (as per 7.1.2.4), cross-section (as per 7.2.2.2) and a description of the quarry site as it will be at completion after all rehabilitation and closure activities have been completed, including:</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potential land use options</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landforms</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proposed vegetation covers (including native vegetation that will not be disturbed due to proposed quarrying operations)</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any quarrying infrastructure that may remain on site and become the responsibility of the landowner</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location, description and management of waste disposal areas</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location of reshaped and rehabilitated areas, proposed surface contours and revegetation; and</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location of surface water infrastructure including ponds and diversions.</w:t>
      </w:r>
    </w:p>
    <w:p w:rsidR="00E26C8E" w:rsidRPr="00E26C8E" w:rsidRDefault="00E26C8E" w:rsidP="00E26C8E">
      <w:pPr>
        <w:ind w:left="851"/>
        <w:rPr>
          <w:rFonts w:eastAsia="Times New Roman"/>
          <w:szCs w:val="17"/>
        </w:rPr>
      </w:pPr>
      <w:r w:rsidRPr="00E26C8E">
        <w:rPr>
          <w:rFonts w:eastAsia="Times New Roman"/>
          <w:szCs w:val="17"/>
        </w:rPr>
        <w:t>Provide a description of the proposed mechanism for transferring responsibility for any potential residual liability (ie ongoing maintenance or monitoring) subsequent to surrender of the tenement.</w:t>
      </w:r>
    </w:p>
    <w:p w:rsidR="00E26C8E" w:rsidRPr="00E26C8E" w:rsidRDefault="00E26C8E" w:rsidP="00E26C8E">
      <w:pPr>
        <w:ind w:left="426" w:hanging="284"/>
        <w:rPr>
          <w:rFonts w:eastAsia="Times New Roman"/>
          <w:b/>
          <w:szCs w:val="17"/>
        </w:rPr>
      </w:pPr>
      <w:r w:rsidRPr="00E26C8E">
        <w:rPr>
          <w:rFonts w:eastAsia="Times New Roman"/>
          <w:b/>
          <w:szCs w:val="17"/>
        </w:rPr>
        <w:t>3.</w:t>
      </w:r>
      <w:r w:rsidRPr="00E26C8E">
        <w:rPr>
          <w:rFonts w:eastAsia="Times New Roman"/>
          <w:b/>
          <w:szCs w:val="17"/>
        </w:rPr>
        <w:tab/>
        <w:t>CONSULTATION</w:t>
      </w:r>
    </w:p>
    <w:p w:rsidR="00E26C8E" w:rsidRPr="00E26C8E" w:rsidRDefault="00E26C8E" w:rsidP="00E26C8E">
      <w:pPr>
        <w:ind w:left="426"/>
        <w:rPr>
          <w:rFonts w:eastAsia="Times New Roman"/>
          <w:szCs w:val="17"/>
        </w:rPr>
      </w:pPr>
      <w:r w:rsidRPr="00E26C8E">
        <w:rPr>
          <w:rFonts w:eastAsia="Times New Roman"/>
          <w:szCs w:val="17"/>
        </w:rPr>
        <w:t>In setting out the result of the consultation undertaken in connection with the proposed operations in accordance with regulation 64 of the</w:t>
      </w:r>
      <w:r w:rsidRPr="00E26C8E">
        <w:rPr>
          <w:rFonts w:eastAsia="Times New Roman"/>
          <w:i/>
          <w:szCs w:val="17"/>
        </w:rPr>
        <w:t xml:space="preserve"> Mining Regulations 2020</w:t>
      </w:r>
      <w:r w:rsidRPr="00E26C8E">
        <w:rPr>
          <w:rFonts w:eastAsia="Times New Roman"/>
          <w:szCs w:val="17"/>
        </w:rPr>
        <w:t>, the Minister determines in accordance with regulation 63(1)(e) of the</w:t>
      </w:r>
      <w:r w:rsidRPr="00E26C8E">
        <w:rPr>
          <w:rFonts w:eastAsia="Times New Roman"/>
          <w:i/>
          <w:szCs w:val="17"/>
        </w:rPr>
        <w:t xml:space="preserve"> Mining Regulations 2020</w:t>
      </w:r>
      <w:r w:rsidRPr="00E26C8E">
        <w:rPr>
          <w:rFonts w:eastAsia="Times New Roman"/>
          <w:szCs w:val="17"/>
        </w:rPr>
        <w:t xml:space="preserve"> that a transitional PEPR must include:</w:t>
      </w:r>
    </w:p>
    <w:p w:rsidR="00E26C8E" w:rsidRPr="00E26C8E" w:rsidRDefault="00E26C8E" w:rsidP="00E26C8E">
      <w:pPr>
        <w:ind w:left="851" w:hanging="283"/>
        <w:rPr>
          <w:rFonts w:eastAsia="Times New Roman"/>
          <w:szCs w:val="17"/>
        </w:rPr>
      </w:pPr>
      <w:r w:rsidRPr="00E26C8E">
        <w:rPr>
          <w:rFonts w:eastAsia="Times New Roman"/>
          <w:szCs w:val="17"/>
        </w:rPr>
        <w:t>•</w:t>
      </w:r>
      <w:r w:rsidRPr="00E26C8E">
        <w:rPr>
          <w:rFonts w:eastAsia="Times New Roman"/>
          <w:szCs w:val="17"/>
        </w:rPr>
        <w:tab/>
        <w:t>a description of:</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the process undertaken for identifying stakeholders with an interest in, or stakeholders likely to be directly affected by the quarry operation</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the process undertaken for the delivery of information to, gathering of feedback from, and responding to those identified stakeholders; and</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if any individual or group of similar affected persons were not able to be consulted, the steps taken to consult with them.</w:t>
      </w:r>
    </w:p>
    <w:p w:rsidR="00E26C8E" w:rsidRPr="00E26C8E" w:rsidRDefault="00E26C8E" w:rsidP="00E26C8E">
      <w:pPr>
        <w:ind w:left="851" w:hanging="283"/>
        <w:rPr>
          <w:rFonts w:eastAsia="Times New Roman"/>
          <w:szCs w:val="17"/>
        </w:rPr>
      </w:pPr>
      <w:r w:rsidRPr="00E26C8E">
        <w:rPr>
          <w:rFonts w:eastAsia="Times New Roman"/>
          <w:szCs w:val="17"/>
        </w:rPr>
        <w:t>•</w:t>
      </w:r>
      <w:r w:rsidRPr="00E26C8E">
        <w:rPr>
          <w:rFonts w:eastAsia="Times New Roman"/>
          <w:szCs w:val="17"/>
        </w:rPr>
        <w:tab/>
        <w:t>the results of the consultation undertaken with those identified stakeholders, including:</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the persons consulted</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any concerns / issues raised; and</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the response and steps (if any) taken or proposed to address those concerns.</w:t>
      </w:r>
    </w:p>
    <w:p w:rsidR="00E26C8E" w:rsidRPr="00E26C8E" w:rsidRDefault="00E26C8E" w:rsidP="00E26C8E">
      <w:pPr>
        <w:spacing w:after="0" w:line="240" w:lineRule="auto"/>
        <w:jc w:val="left"/>
        <w:rPr>
          <w:rFonts w:eastAsia="Times New Roman"/>
          <w:b/>
          <w:szCs w:val="17"/>
        </w:rPr>
      </w:pPr>
      <w:r w:rsidRPr="00E26C8E">
        <w:rPr>
          <w:rFonts w:eastAsia="Times New Roman"/>
          <w:b/>
          <w:szCs w:val="20"/>
        </w:rPr>
        <w:br w:type="page"/>
      </w:r>
    </w:p>
    <w:p w:rsidR="00E26C8E" w:rsidRPr="00E26C8E" w:rsidRDefault="00E26C8E" w:rsidP="00E26C8E">
      <w:pPr>
        <w:ind w:left="426" w:hanging="284"/>
        <w:rPr>
          <w:rFonts w:eastAsia="Times New Roman"/>
          <w:b/>
          <w:szCs w:val="17"/>
        </w:rPr>
      </w:pPr>
      <w:r w:rsidRPr="00E26C8E">
        <w:rPr>
          <w:rFonts w:eastAsia="Times New Roman"/>
          <w:b/>
          <w:szCs w:val="17"/>
        </w:rPr>
        <w:t>4.</w:t>
      </w:r>
      <w:r w:rsidRPr="00E26C8E">
        <w:rPr>
          <w:rFonts w:eastAsia="Times New Roman"/>
          <w:b/>
          <w:szCs w:val="17"/>
        </w:rPr>
        <w:tab/>
        <w:t>ENVIRONMENTAL OUTCOMES, STRATEGIES, CRITERIA AND MONITORING</w:t>
      </w:r>
    </w:p>
    <w:p w:rsidR="00E26C8E" w:rsidRPr="00E26C8E" w:rsidRDefault="00E26C8E" w:rsidP="00E26C8E">
      <w:pPr>
        <w:ind w:left="851" w:hanging="425"/>
        <w:rPr>
          <w:rFonts w:eastAsia="Times New Roman"/>
          <w:b/>
          <w:szCs w:val="17"/>
        </w:rPr>
      </w:pPr>
      <w:r w:rsidRPr="00E26C8E">
        <w:rPr>
          <w:rFonts w:eastAsia="Times New Roman"/>
          <w:b/>
          <w:szCs w:val="17"/>
        </w:rPr>
        <w:t>4.1</w:t>
      </w:r>
      <w:r w:rsidRPr="00E26C8E">
        <w:rPr>
          <w:rFonts w:eastAsia="Times New Roman"/>
          <w:b/>
          <w:szCs w:val="17"/>
        </w:rPr>
        <w:tab/>
        <w:t>Assessment of environmental impacts</w:t>
      </w:r>
    </w:p>
    <w:p w:rsidR="00E26C8E" w:rsidRPr="00E26C8E" w:rsidRDefault="00E26C8E" w:rsidP="00E26C8E">
      <w:pPr>
        <w:ind w:left="851"/>
        <w:rPr>
          <w:rFonts w:eastAsia="Times New Roman"/>
          <w:szCs w:val="17"/>
        </w:rPr>
      </w:pPr>
      <w:r w:rsidRPr="00E26C8E">
        <w:rPr>
          <w:rFonts w:eastAsia="Times New Roman"/>
          <w:szCs w:val="17"/>
        </w:rPr>
        <w:t>In setting out an assessment of the environmental impacts of the proposed authorised operations in accordance with regulation 63(1)(a)(ii) of the</w:t>
      </w:r>
      <w:r w:rsidRPr="00E26C8E">
        <w:rPr>
          <w:rFonts w:eastAsia="Times New Roman"/>
          <w:i/>
          <w:szCs w:val="17"/>
        </w:rPr>
        <w:t xml:space="preserve"> Mining Regulations 2020</w:t>
      </w:r>
      <w:r w:rsidRPr="00E26C8E">
        <w:rPr>
          <w:rFonts w:eastAsia="Times New Roman"/>
          <w:szCs w:val="17"/>
        </w:rPr>
        <w:t>, the Minister determines in accordance with regulation 63(1)(e) of the</w:t>
      </w:r>
      <w:r w:rsidRPr="00E26C8E">
        <w:rPr>
          <w:rFonts w:eastAsia="Times New Roman"/>
          <w:i/>
          <w:szCs w:val="17"/>
        </w:rPr>
        <w:t xml:space="preserve"> Mining Regulations 2020</w:t>
      </w:r>
      <w:r w:rsidRPr="00E26C8E">
        <w:rPr>
          <w:rFonts w:eastAsia="Times New Roman"/>
          <w:szCs w:val="17"/>
        </w:rPr>
        <w:t xml:space="preserve"> that a transitional PEPR must include information as set out in this Terms of Reference.</w:t>
      </w:r>
    </w:p>
    <w:p w:rsidR="00E26C8E" w:rsidRPr="00E26C8E" w:rsidRDefault="00E26C8E" w:rsidP="00E26C8E">
      <w:pPr>
        <w:ind w:left="1418" w:hanging="567"/>
        <w:rPr>
          <w:rFonts w:eastAsia="Times New Roman"/>
          <w:b/>
          <w:szCs w:val="17"/>
        </w:rPr>
      </w:pPr>
      <w:r w:rsidRPr="00E26C8E">
        <w:rPr>
          <w:rFonts w:eastAsia="Times New Roman"/>
          <w:b/>
          <w:szCs w:val="17"/>
        </w:rPr>
        <w:t>4.1.1</w:t>
      </w:r>
      <w:r w:rsidRPr="00E26C8E">
        <w:rPr>
          <w:rFonts w:eastAsia="Times New Roman"/>
          <w:b/>
          <w:szCs w:val="17"/>
        </w:rPr>
        <w:tab/>
        <w:t>Elements of the environment</w:t>
      </w:r>
    </w:p>
    <w:p w:rsidR="00E26C8E" w:rsidRPr="00E26C8E" w:rsidRDefault="00E26C8E" w:rsidP="00E26C8E">
      <w:pPr>
        <w:ind w:left="1418"/>
        <w:rPr>
          <w:rFonts w:eastAsia="Times New Roman"/>
          <w:szCs w:val="17"/>
        </w:rPr>
      </w:pPr>
      <w:r w:rsidRPr="00E26C8E">
        <w:rPr>
          <w:rFonts w:eastAsia="Times New Roman"/>
          <w:szCs w:val="17"/>
        </w:rPr>
        <w:t>Describe the specific elements of the environment (the environment is defined in Section 6(4) of the</w:t>
      </w:r>
      <w:r w:rsidRPr="00E26C8E">
        <w:rPr>
          <w:rFonts w:eastAsia="Times New Roman"/>
          <w:i/>
          <w:szCs w:val="17"/>
        </w:rPr>
        <w:t xml:space="preserve"> Mining Act 1971</w:t>
      </w:r>
      <w:r w:rsidRPr="00E26C8E">
        <w:rPr>
          <w:rFonts w:eastAsia="Times New Roman"/>
          <w:szCs w:val="17"/>
        </w:rPr>
        <w:t>) that may reasonably be expected to be impacted on by the proposed quarry operation during construction, operation, and indefinitely post completion.</w:t>
      </w:r>
    </w:p>
    <w:p w:rsidR="00E26C8E" w:rsidRPr="00E26C8E" w:rsidRDefault="00E26C8E" w:rsidP="00E26C8E">
      <w:pPr>
        <w:ind w:left="1418"/>
        <w:rPr>
          <w:rFonts w:eastAsia="Times New Roman"/>
          <w:szCs w:val="17"/>
        </w:rPr>
      </w:pPr>
      <w:r w:rsidRPr="00E26C8E">
        <w:rPr>
          <w:rFonts w:eastAsia="Times New Roman"/>
          <w:szCs w:val="17"/>
        </w:rPr>
        <w:t>For each element of the environment identified: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provide a summary of any issues or considerations raised by stakeholders, and any relevant legislated or recognised standards in relation to the element of the environment</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describe all potential environmental receptors;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undertake an impact assessment of how the element could be potentially impacted by proposed quarry operations (during construction, operation and post completion) through the provision of the information listed in the following clause 4.1.2.</w:t>
      </w:r>
    </w:p>
    <w:p w:rsidR="00E26C8E" w:rsidRPr="00E26C8E" w:rsidRDefault="00E26C8E" w:rsidP="00E26C8E">
      <w:pPr>
        <w:ind w:left="1418" w:hanging="567"/>
        <w:rPr>
          <w:rFonts w:eastAsia="Times New Roman"/>
          <w:b/>
          <w:szCs w:val="17"/>
        </w:rPr>
      </w:pPr>
      <w:r w:rsidRPr="00E26C8E">
        <w:rPr>
          <w:rFonts w:eastAsia="Times New Roman"/>
          <w:b/>
          <w:szCs w:val="17"/>
        </w:rPr>
        <w:t>4.1.2</w:t>
      </w:r>
      <w:r w:rsidRPr="00E26C8E">
        <w:rPr>
          <w:rFonts w:eastAsia="Times New Roman"/>
          <w:b/>
          <w:szCs w:val="17"/>
        </w:rPr>
        <w:tab/>
        <w:t>Potential impact events</w:t>
      </w:r>
    </w:p>
    <w:p w:rsidR="00E26C8E" w:rsidRPr="00E26C8E" w:rsidRDefault="00E26C8E" w:rsidP="00E26C8E">
      <w:pPr>
        <w:ind w:left="1418"/>
        <w:rPr>
          <w:rFonts w:eastAsia="Times New Roman"/>
          <w:szCs w:val="17"/>
        </w:rPr>
      </w:pPr>
      <w:r w:rsidRPr="00E26C8E">
        <w:rPr>
          <w:rFonts w:eastAsia="Times New Roman"/>
          <w:szCs w:val="17"/>
        </w:rPr>
        <w:t>Describe potential impact events associated with each phase of the proposed quarry operations (construction, operation and post completion) and relevant to each element of the environment.</w:t>
      </w:r>
    </w:p>
    <w:p w:rsidR="00E26C8E" w:rsidRPr="00E26C8E" w:rsidRDefault="00E26C8E" w:rsidP="00E26C8E">
      <w:pPr>
        <w:ind w:left="1418"/>
        <w:rPr>
          <w:rFonts w:eastAsia="Times New Roman"/>
          <w:szCs w:val="17"/>
        </w:rPr>
      </w:pPr>
      <w:r w:rsidRPr="00E26C8E">
        <w:rPr>
          <w:rFonts w:eastAsia="Times New Roman"/>
          <w:szCs w:val="17"/>
        </w:rPr>
        <w:t>For the purpose of the impact assessment, a potential impact event is the combination of a source, a pathway and an environmental receptor.</w:t>
      </w:r>
    </w:p>
    <w:p w:rsidR="00E26C8E" w:rsidRPr="00E26C8E" w:rsidRDefault="00E26C8E" w:rsidP="00E26C8E">
      <w:pPr>
        <w:ind w:left="1418"/>
        <w:rPr>
          <w:rFonts w:eastAsia="Times New Roman"/>
          <w:szCs w:val="17"/>
        </w:rPr>
      </w:pPr>
      <w:r w:rsidRPr="00E26C8E">
        <w:rPr>
          <w:rFonts w:eastAsia="Times New Roman"/>
          <w:szCs w:val="17"/>
        </w:rPr>
        <w:t>The source, pathway and environmental receptor of each potential impact event must be described prior to the implementation of engineering or administrative control measures.</w:t>
      </w:r>
    </w:p>
    <w:p w:rsidR="00E26C8E" w:rsidRPr="00E26C8E" w:rsidRDefault="00E26C8E" w:rsidP="00E26C8E">
      <w:pPr>
        <w:ind w:left="1418"/>
        <w:rPr>
          <w:rFonts w:eastAsia="Times New Roman"/>
          <w:szCs w:val="17"/>
        </w:rPr>
      </w:pPr>
      <w:r w:rsidRPr="00E26C8E">
        <w:rPr>
          <w:rFonts w:eastAsia="Times New Roman"/>
          <w:szCs w:val="17"/>
        </w:rPr>
        <w:t>For each potential impact event identified in clause 4.1.2, provide:</w:t>
      </w:r>
    </w:p>
    <w:p w:rsidR="00E26C8E" w:rsidRPr="00E26C8E" w:rsidRDefault="00E26C8E" w:rsidP="00E26C8E">
      <w:pPr>
        <w:ind w:left="2127" w:hanging="709"/>
        <w:rPr>
          <w:rFonts w:eastAsia="Times New Roman"/>
          <w:i/>
          <w:szCs w:val="17"/>
        </w:rPr>
      </w:pPr>
      <w:r w:rsidRPr="00E26C8E">
        <w:rPr>
          <w:rFonts w:eastAsia="Times New Roman"/>
          <w:i/>
          <w:szCs w:val="17"/>
        </w:rPr>
        <w:t>4.1.2.1</w:t>
      </w:r>
      <w:r w:rsidRPr="00E26C8E">
        <w:rPr>
          <w:rFonts w:eastAsia="Times New Roman"/>
          <w:i/>
          <w:szCs w:val="17"/>
        </w:rPr>
        <w:tab/>
        <w:t>Source</w:t>
      </w:r>
    </w:p>
    <w:p w:rsidR="00E26C8E" w:rsidRPr="00E26C8E" w:rsidRDefault="00E26C8E" w:rsidP="00E26C8E">
      <w:pPr>
        <w:ind w:left="2127"/>
        <w:rPr>
          <w:rFonts w:eastAsia="Times New Roman"/>
          <w:szCs w:val="17"/>
        </w:rPr>
      </w:pPr>
      <w:r w:rsidRPr="00E26C8E">
        <w:rPr>
          <w:rFonts w:eastAsia="Times New Roman"/>
          <w:szCs w:val="17"/>
        </w:rPr>
        <w:t>A description of the source of the potential impact event, which alone or in combination has the potential to cause harm to an environmental receptor.</w:t>
      </w:r>
    </w:p>
    <w:p w:rsidR="00E26C8E" w:rsidRPr="00E26C8E" w:rsidRDefault="00E26C8E" w:rsidP="00E26C8E">
      <w:pPr>
        <w:ind w:left="2127" w:hanging="709"/>
        <w:rPr>
          <w:rFonts w:eastAsia="Times New Roman"/>
          <w:i/>
          <w:szCs w:val="17"/>
        </w:rPr>
      </w:pPr>
      <w:r w:rsidRPr="00E26C8E">
        <w:rPr>
          <w:rFonts w:eastAsia="Times New Roman"/>
          <w:i/>
          <w:szCs w:val="17"/>
        </w:rPr>
        <w:t>4.1.2.2</w:t>
      </w:r>
      <w:r w:rsidRPr="00E26C8E">
        <w:rPr>
          <w:rFonts w:eastAsia="Times New Roman"/>
          <w:i/>
          <w:szCs w:val="17"/>
        </w:rPr>
        <w:tab/>
        <w:t>Pathway</w:t>
      </w:r>
    </w:p>
    <w:p w:rsidR="00E26C8E" w:rsidRPr="00E26C8E" w:rsidRDefault="00E26C8E" w:rsidP="00E26C8E">
      <w:pPr>
        <w:ind w:left="2127"/>
        <w:rPr>
          <w:rFonts w:eastAsia="Times New Roman"/>
          <w:szCs w:val="17"/>
        </w:rPr>
      </w:pPr>
      <w:r w:rsidRPr="00E26C8E">
        <w:rPr>
          <w:rFonts w:eastAsia="Times New Roman"/>
          <w:szCs w:val="17"/>
        </w:rPr>
        <w:t>A description of the potential pathway (with consideration of any natural barriers) by which an identified environmental receptor can be exposed to, or may reasonably be expected to be impacted by an identified source.</w:t>
      </w:r>
    </w:p>
    <w:p w:rsidR="00E26C8E" w:rsidRPr="00E26C8E" w:rsidRDefault="00E26C8E" w:rsidP="00E26C8E">
      <w:pPr>
        <w:ind w:left="2127" w:hanging="709"/>
        <w:rPr>
          <w:rFonts w:eastAsia="Times New Roman"/>
          <w:i/>
          <w:szCs w:val="17"/>
        </w:rPr>
      </w:pPr>
      <w:r w:rsidRPr="00E26C8E">
        <w:rPr>
          <w:rFonts w:eastAsia="Times New Roman"/>
          <w:i/>
          <w:szCs w:val="17"/>
        </w:rPr>
        <w:t>4.1.2.3</w:t>
      </w:r>
      <w:r w:rsidRPr="00E26C8E">
        <w:rPr>
          <w:rFonts w:eastAsia="Times New Roman"/>
          <w:i/>
          <w:szCs w:val="17"/>
        </w:rPr>
        <w:tab/>
        <w:t>Environmental receptor</w:t>
      </w:r>
    </w:p>
    <w:p w:rsidR="00E26C8E" w:rsidRPr="00E26C8E" w:rsidRDefault="00E26C8E" w:rsidP="00E26C8E">
      <w:pPr>
        <w:ind w:left="2127"/>
        <w:rPr>
          <w:rFonts w:eastAsia="Times New Roman"/>
          <w:szCs w:val="17"/>
        </w:rPr>
      </w:pPr>
      <w:r w:rsidRPr="00E26C8E">
        <w:rPr>
          <w:rFonts w:eastAsia="Times New Roman"/>
          <w:szCs w:val="17"/>
        </w:rPr>
        <w:t>A description of the environmental receptors that may reasonably be expected to be adversely impacted by the source, taking into account the considerations for the element of the environment described under clause 4.1.1.</w:t>
      </w:r>
    </w:p>
    <w:p w:rsidR="00E26C8E" w:rsidRPr="00E26C8E" w:rsidRDefault="00E26C8E" w:rsidP="00E26C8E">
      <w:pPr>
        <w:ind w:left="2127" w:hanging="709"/>
        <w:rPr>
          <w:rFonts w:eastAsia="Times New Roman"/>
          <w:i/>
          <w:szCs w:val="17"/>
        </w:rPr>
      </w:pPr>
      <w:r w:rsidRPr="00E26C8E">
        <w:rPr>
          <w:rFonts w:eastAsia="Times New Roman"/>
          <w:i/>
          <w:szCs w:val="17"/>
        </w:rPr>
        <w:t>4.1.2.4</w:t>
      </w:r>
      <w:r w:rsidRPr="00E26C8E">
        <w:rPr>
          <w:rFonts w:eastAsia="Times New Roman"/>
          <w:i/>
          <w:szCs w:val="17"/>
        </w:rPr>
        <w:tab/>
        <w:t>Description of uncertainty</w:t>
      </w:r>
    </w:p>
    <w:p w:rsidR="00E26C8E" w:rsidRPr="00E26C8E" w:rsidRDefault="00E26C8E" w:rsidP="00E26C8E">
      <w:pPr>
        <w:ind w:left="2127"/>
        <w:rPr>
          <w:rFonts w:eastAsia="Times New Roman"/>
          <w:szCs w:val="17"/>
        </w:rPr>
      </w:pPr>
      <w:r w:rsidRPr="00E26C8E">
        <w:rPr>
          <w:rFonts w:eastAsia="Times New Roman"/>
          <w:szCs w:val="17"/>
        </w:rPr>
        <w:t>Describe any significant degree of uncertainty pertaining to the evaluation of sources, pathways and environmental receptors, including (but not limited to) lack of site-specific information, limitations on modelling and quality of data.</w:t>
      </w:r>
    </w:p>
    <w:p w:rsidR="00E26C8E" w:rsidRPr="00E26C8E" w:rsidRDefault="00E26C8E" w:rsidP="00E26C8E">
      <w:pPr>
        <w:ind w:left="2127"/>
        <w:rPr>
          <w:rFonts w:eastAsia="Times New Roman"/>
          <w:szCs w:val="17"/>
        </w:rPr>
      </w:pPr>
      <w:r w:rsidRPr="00E26C8E">
        <w:rPr>
          <w:rFonts w:eastAsia="Times New Roman"/>
          <w:szCs w:val="17"/>
        </w:rPr>
        <w:t>Describe any assumptions connected with the identified uncertainty.</w:t>
      </w:r>
    </w:p>
    <w:p w:rsidR="00E26C8E" w:rsidRPr="00E26C8E" w:rsidRDefault="00E26C8E" w:rsidP="00E26C8E">
      <w:pPr>
        <w:ind w:left="2127"/>
        <w:rPr>
          <w:rFonts w:eastAsia="Times New Roman"/>
          <w:szCs w:val="17"/>
        </w:rPr>
      </w:pPr>
      <w:r w:rsidRPr="00E26C8E">
        <w:rPr>
          <w:rFonts w:eastAsia="Times New Roman"/>
          <w:szCs w:val="17"/>
        </w:rPr>
        <w:t>So far as is relevant, identify the sensitivity to change of any assumption that has been made, including whether a change in assumption may result in a new environmental impact.</w:t>
      </w:r>
    </w:p>
    <w:p w:rsidR="00E26C8E" w:rsidRPr="00E26C8E" w:rsidRDefault="00E26C8E" w:rsidP="00E26C8E">
      <w:pPr>
        <w:ind w:left="2127" w:hanging="709"/>
        <w:rPr>
          <w:rFonts w:eastAsia="Times New Roman"/>
          <w:i/>
          <w:szCs w:val="17"/>
        </w:rPr>
      </w:pPr>
      <w:r w:rsidRPr="00E26C8E">
        <w:rPr>
          <w:rFonts w:eastAsia="Times New Roman"/>
          <w:i/>
          <w:szCs w:val="17"/>
        </w:rPr>
        <w:t>4.1.2.5</w:t>
      </w:r>
      <w:r w:rsidRPr="00E26C8E">
        <w:rPr>
          <w:rFonts w:eastAsia="Times New Roman"/>
          <w:i/>
          <w:szCs w:val="17"/>
        </w:rPr>
        <w:tab/>
        <w:t>Confirmation of potential impact events</w:t>
      </w:r>
    </w:p>
    <w:p w:rsidR="00E26C8E" w:rsidRPr="00E26C8E" w:rsidRDefault="00E26C8E" w:rsidP="00E26C8E">
      <w:pPr>
        <w:ind w:left="2127"/>
        <w:rPr>
          <w:rFonts w:eastAsia="Times New Roman"/>
          <w:szCs w:val="17"/>
        </w:rPr>
      </w:pPr>
      <w:r w:rsidRPr="00E26C8E">
        <w:rPr>
          <w:rFonts w:eastAsia="Times New Roman"/>
          <w:szCs w:val="17"/>
        </w:rPr>
        <w:t>For each potential impact event provide:</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an analysis of whether a source, pathway and receptor does exist (and if not, or if it remains uncertain, provide an explanation for the conclusion); and</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a description of the likely impact from the source on the environmental receptor.</w:t>
      </w:r>
    </w:p>
    <w:p w:rsidR="00E26C8E" w:rsidRPr="00E26C8E" w:rsidRDefault="00E26C8E" w:rsidP="00E26C8E">
      <w:pPr>
        <w:ind w:left="851" w:hanging="425"/>
        <w:rPr>
          <w:rFonts w:eastAsia="Times New Roman"/>
          <w:b/>
          <w:szCs w:val="17"/>
        </w:rPr>
      </w:pPr>
      <w:r w:rsidRPr="00E26C8E">
        <w:rPr>
          <w:rFonts w:eastAsia="Times New Roman"/>
          <w:b/>
          <w:szCs w:val="17"/>
        </w:rPr>
        <w:t>4.2</w:t>
      </w:r>
      <w:r w:rsidRPr="00E26C8E">
        <w:rPr>
          <w:rFonts w:eastAsia="Times New Roman"/>
          <w:b/>
          <w:szCs w:val="17"/>
        </w:rPr>
        <w:tab/>
        <w:t>Control measures, uncertainty assessment, statement of environmental outcomes and criteria</w:t>
      </w:r>
    </w:p>
    <w:p w:rsidR="00E26C8E" w:rsidRPr="00E26C8E" w:rsidRDefault="00E26C8E" w:rsidP="00E26C8E">
      <w:pPr>
        <w:ind w:left="851"/>
        <w:rPr>
          <w:rFonts w:eastAsia="Times New Roman"/>
          <w:szCs w:val="17"/>
        </w:rPr>
      </w:pPr>
      <w:r w:rsidRPr="00E26C8E">
        <w:rPr>
          <w:rFonts w:eastAsia="Times New Roman"/>
          <w:szCs w:val="17"/>
        </w:rPr>
        <w:t>For each impact event confirmed in clause 4.1.2.5, the information listed in clauses 4.2.1-4.2.3 must be provided:</w:t>
      </w:r>
    </w:p>
    <w:p w:rsidR="00E26C8E" w:rsidRPr="00E26C8E" w:rsidRDefault="00E26C8E" w:rsidP="00E26C8E">
      <w:pPr>
        <w:ind w:left="1418" w:hanging="567"/>
        <w:rPr>
          <w:rFonts w:eastAsia="Times New Roman"/>
          <w:b/>
          <w:szCs w:val="17"/>
        </w:rPr>
      </w:pPr>
      <w:r w:rsidRPr="00E26C8E">
        <w:rPr>
          <w:rFonts w:eastAsia="Times New Roman"/>
          <w:b/>
          <w:szCs w:val="17"/>
        </w:rPr>
        <w:t>4.2.1</w:t>
      </w:r>
      <w:r w:rsidRPr="00E26C8E">
        <w:rPr>
          <w:rFonts w:eastAsia="Times New Roman"/>
          <w:b/>
          <w:szCs w:val="17"/>
        </w:rPr>
        <w:tab/>
        <w:t>Control measures</w:t>
      </w:r>
    </w:p>
    <w:p w:rsidR="00E26C8E" w:rsidRPr="00E26C8E" w:rsidRDefault="00E26C8E" w:rsidP="00E26C8E">
      <w:pPr>
        <w:ind w:left="1418"/>
        <w:rPr>
          <w:rFonts w:eastAsia="Times New Roman"/>
          <w:szCs w:val="17"/>
        </w:rPr>
      </w:pPr>
      <w:r w:rsidRPr="00E26C8E">
        <w:rPr>
          <w:rFonts w:eastAsia="Times New Roman"/>
          <w:szCs w:val="17"/>
        </w:rPr>
        <w:t>In setting out the control and management strategies adopted to demonstrate that the environmental outcomes can be and will continue to be achieved in accordance with regulation 63(1)(b) of the</w:t>
      </w:r>
      <w:r w:rsidRPr="00E26C8E">
        <w:rPr>
          <w:rFonts w:eastAsia="Times New Roman"/>
          <w:i/>
          <w:szCs w:val="17"/>
        </w:rPr>
        <w:t xml:space="preserve"> Mining Regulations 2020</w:t>
      </w:r>
      <w:r w:rsidRPr="00E26C8E">
        <w:rPr>
          <w:rFonts w:eastAsia="Times New Roman"/>
          <w:szCs w:val="17"/>
        </w:rPr>
        <w:t>, the Minister determines in accordance with regulation 63(3)(e) of the</w:t>
      </w:r>
      <w:r w:rsidRPr="00E26C8E">
        <w:rPr>
          <w:rFonts w:eastAsia="Times New Roman"/>
          <w:i/>
          <w:szCs w:val="17"/>
        </w:rPr>
        <w:t xml:space="preserve"> Mining Regulations 2020</w:t>
      </w:r>
      <w:r w:rsidRPr="00E26C8E">
        <w:rPr>
          <w:rFonts w:eastAsia="Times New Roman"/>
          <w:szCs w:val="17"/>
        </w:rPr>
        <w:t xml:space="preserve"> that a transitional PEPR must:</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include a description of the measures proposed to manage, limit or remedy each impact event</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demonstrate that the measures proposed are commensurate with the potential impacts, achieve compliance with other applicable statutory requirements and promote progressive rehabilitation</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include a description of any significant degree of uncertainty pertaining to the likely effectiveness of proposed control measures, including but not limited to lack of site-specific information, limitations on modelling and quality of data</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include a description of any assumptions connected with the identified uncertainty</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so far as is relevant, identify the sensitivity to change of any assumption that has been made in accordance with regulation 63(3)(d) and assess the likelihood of an outcome not being achieved if an assumption is later found to be incorrect.</w:t>
      </w:r>
    </w:p>
    <w:p w:rsidR="00E26C8E" w:rsidRPr="00E26C8E" w:rsidRDefault="00E26C8E" w:rsidP="00E26C8E">
      <w:pPr>
        <w:spacing w:after="0" w:line="240" w:lineRule="auto"/>
        <w:jc w:val="left"/>
        <w:rPr>
          <w:rFonts w:eastAsia="Times New Roman"/>
          <w:b/>
          <w:szCs w:val="17"/>
        </w:rPr>
      </w:pPr>
      <w:r w:rsidRPr="00E26C8E">
        <w:rPr>
          <w:rFonts w:eastAsia="Times New Roman"/>
          <w:b/>
          <w:szCs w:val="20"/>
        </w:rPr>
        <w:br w:type="page"/>
      </w:r>
    </w:p>
    <w:p w:rsidR="00E26C8E" w:rsidRPr="00E26C8E" w:rsidRDefault="00E26C8E" w:rsidP="00E26C8E">
      <w:pPr>
        <w:ind w:left="1418" w:hanging="567"/>
        <w:rPr>
          <w:rFonts w:eastAsia="Times New Roman"/>
          <w:b/>
          <w:szCs w:val="17"/>
        </w:rPr>
      </w:pPr>
      <w:r w:rsidRPr="00E26C8E">
        <w:rPr>
          <w:rFonts w:eastAsia="Times New Roman"/>
          <w:b/>
          <w:szCs w:val="17"/>
        </w:rPr>
        <w:t>4.2.2</w:t>
      </w:r>
      <w:r w:rsidRPr="00E26C8E">
        <w:rPr>
          <w:rFonts w:eastAsia="Times New Roman"/>
          <w:b/>
          <w:szCs w:val="17"/>
        </w:rPr>
        <w:tab/>
        <w:t>Statement of proposed environmental outcomes</w:t>
      </w:r>
    </w:p>
    <w:p w:rsidR="00E26C8E" w:rsidRPr="00E26C8E" w:rsidRDefault="00E26C8E" w:rsidP="00E26C8E">
      <w:pPr>
        <w:ind w:left="1418"/>
        <w:rPr>
          <w:rFonts w:eastAsia="Times New Roman"/>
          <w:szCs w:val="17"/>
        </w:rPr>
      </w:pPr>
      <w:r w:rsidRPr="00E26C8E">
        <w:rPr>
          <w:rFonts w:eastAsia="Times New Roman"/>
          <w:szCs w:val="17"/>
        </w:rPr>
        <w:t>A transitional PEPR must set out environmental outcomes (including completion outcomes) in accordance with section 70B(2)(b)(i) of the</w:t>
      </w:r>
      <w:r w:rsidRPr="00E26C8E">
        <w:rPr>
          <w:rFonts w:eastAsia="Times New Roman"/>
          <w:i/>
          <w:szCs w:val="17"/>
        </w:rPr>
        <w:t xml:space="preserve"> Mining Act 1971</w:t>
      </w:r>
      <w:r w:rsidRPr="00E26C8E">
        <w:rPr>
          <w:rFonts w:eastAsia="Times New Roman"/>
          <w:szCs w:val="17"/>
        </w:rPr>
        <w:t>.</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Provide a statement of the proposed environmental outcome(s) (including completion outcomes assessed on a long term basis) for each impact event confirmed in clause 4.1.2.5.</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Ensure that the statement of environmental outcome(s) describe the likely consequence of the expected impact on the environment by the proposed quarry operations subsequent to the implementation of the control measures described in clause 4.2.1.</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Provide a statement that demonstrates the environmental outcomes would be able to be achieved taking into consideration the effectiveness of the control measures (clause 4.2.1) and description of uncertainty (clause 4.2.1).</w:t>
      </w:r>
    </w:p>
    <w:p w:rsidR="00E26C8E" w:rsidRPr="00E26C8E" w:rsidRDefault="00E26C8E" w:rsidP="00E26C8E">
      <w:pPr>
        <w:ind w:left="1418" w:hanging="567"/>
        <w:rPr>
          <w:rFonts w:eastAsia="Times New Roman"/>
          <w:b/>
          <w:szCs w:val="17"/>
        </w:rPr>
      </w:pPr>
      <w:r w:rsidRPr="00E26C8E">
        <w:rPr>
          <w:rFonts w:eastAsia="Times New Roman"/>
          <w:b/>
          <w:szCs w:val="17"/>
        </w:rPr>
        <w:t>4.2.3</w:t>
      </w:r>
      <w:r w:rsidRPr="00E26C8E">
        <w:rPr>
          <w:rFonts w:eastAsia="Times New Roman"/>
          <w:b/>
          <w:szCs w:val="17"/>
        </w:rPr>
        <w:tab/>
        <w:t>Measurement criteria</w:t>
      </w:r>
    </w:p>
    <w:p w:rsidR="00E26C8E" w:rsidRPr="00E26C8E" w:rsidRDefault="00E26C8E" w:rsidP="00E26C8E">
      <w:pPr>
        <w:ind w:left="1418"/>
        <w:rPr>
          <w:rFonts w:eastAsia="Times New Roman"/>
          <w:szCs w:val="17"/>
        </w:rPr>
      </w:pPr>
      <w:r w:rsidRPr="00E26C8E">
        <w:rPr>
          <w:rFonts w:eastAsia="Times New Roman"/>
          <w:szCs w:val="17"/>
        </w:rPr>
        <w:t>In preparing a statement of the criteria to be adopted to measure each of the environmental outcomes in accordance with sections section 70B(2)(c) of the</w:t>
      </w:r>
      <w:r w:rsidRPr="00E26C8E">
        <w:rPr>
          <w:rFonts w:eastAsia="Times New Roman"/>
          <w:i/>
          <w:szCs w:val="17"/>
        </w:rPr>
        <w:t xml:space="preserve"> Mining Act 1971</w:t>
      </w:r>
      <w:r w:rsidRPr="00E26C8E">
        <w:rPr>
          <w:rFonts w:eastAsia="Times New Roman"/>
          <w:szCs w:val="17"/>
        </w:rPr>
        <w:t xml:space="preserve"> and regulation 63(1)(c) of the</w:t>
      </w:r>
      <w:r w:rsidRPr="00E26C8E">
        <w:rPr>
          <w:rFonts w:eastAsia="Times New Roman"/>
          <w:i/>
          <w:szCs w:val="17"/>
        </w:rPr>
        <w:t xml:space="preserve"> Mining Regulations 2020</w:t>
      </w:r>
      <w:r w:rsidRPr="00E26C8E">
        <w:rPr>
          <w:rFonts w:eastAsia="Times New Roman"/>
          <w:szCs w:val="17"/>
        </w:rPr>
        <w:t>, the Minister determines in accordance with regulation 63(3)(e) of the</w:t>
      </w:r>
      <w:r w:rsidRPr="00E26C8E">
        <w:rPr>
          <w:rFonts w:eastAsia="Times New Roman"/>
          <w:i/>
          <w:szCs w:val="17"/>
        </w:rPr>
        <w:t xml:space="preserve"> Mining Regulations 2020</w:t>
      </w:r>
      <w:r w:rsidRPr="00E26C8E">
        <w:rPr>
          <w:rFonts w:eastAsia="Times New Roman"/>
          <w:szCs w:val="17"/>
        </w:rPr>
        <w:t xml:space="preserve"> the following:</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Set out a statement of criteria for each environmental outcome (including quarry completion outcomes).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The criteria must comply with the five elements of regulation 63(1)(c) and must include details about:</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responsibility (who will measure)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record keeping;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frequency of reporting to management and any external parties.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Where groundwater modelling is to be relied upon to demonstrate achievement of groundwater completion outcomes, the statement of criteria must include a process for validation of predictive modelling, including a description of the model and assumptions used.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Where native vegetation clearance is planned and in the case where an on ground offset by the operator is to be used to demonstrate the Significant Environmental Benefit (SEB), the statement of criteria must demonstrate the successful implementation of the on ground offset through the native vegetation management plan.</w:t>
      </w:r>
    </w:p>
    <w:p w:rsidR="00E26C8E" w:rsidRPr="00E26C8E" w:rsidRDefault="00E26C8E" w:rsidP="00E26C8E">
      <w:pPr>
        <w:ind w:left="426" w:hanging="284"/>
        <w:rPr>
          <w:rFonts w:eastAsia="Times New Roman"/>
          <w:b/>
          <w:szCs w:val="17"/>
        </w:rPr>
      </w:pPr>
      <w:r w:rsidRPr="00E26C8E">
        <w:rPr>
          <w:rFonts w:eastAsia="Times New Roman"/>
          <w:b/>
          <w:szCs w:val="17"/>
        </w:rPr>
        <w:t>5.</w:t>
      </w:r>
      <w:r w:rsidRPr="00E26C8E">
        <w:rPr>
          <w:rFonts w:eastAsia="Times New Roman"/>
          <w:b/>
          <w:szCs w:val="17"/>
        </w:rPr>
        <w:tab/>
        <w:t>OPERATOR CAPABILITY</w:t>
      </w:r>
    </w:p>
    <w:p w:rsidR="00E26C8E" w:rsidRPr="00E26C8E" w:rsidRDefault="00E26C8E" w:rsidP="00E26C8E">
      <w:pPr>
        <w:ind w:left="426"/>
        <w:rPr>
          <w:rFonts w:eastAsia="Times New Roman"/>
          <w:szCs w:val="17"/>
        </w:rPr>
      </w:pPr>
      <w:r w:rsidRPr="00E26C8E">
        <w:rPr>
          <w:rFonts w:eastAsia="Times New Roman"/>
          <w:szCs w:val="17"/>
        </w:rPr>
        <w:t>In preparing information about the ability of the tenement holder (and any other person who may be acting on behalf of the tenement holder) in accordance with section 70B(2)(d) of the</w:t>
      </w:r>
      <w:r w:rsidRPr="00E26C8E">
        <w:rPr>
          <w:rFonts w:eastAsia="Times New Roman"/>
          <w:i/>
          <w:szCs w:val="17"/>
        </w:rPr>
        <w:t xml:space="preserve"> Mining Act 1971</w:t>
      </w:r>
      <w:r w:rsidRPr="00E26C8E">
        <w:rPr>
          <w:rFonts w:eastAsia="Times New Roman"/>
          <w:szCs w:val="17"/>
        </w:rPr>
        <w:t>, the Minister determines in accordance with regulation 63(3)(e) of the</w:t>
      </w:r>
      <w:r w:rsidRPr="00E26C8E">
        <w:rPr>
          <w:rFonts w:eastAsia="Times New Roman"/>
          <w:i/>
          <w:szCs w:val="17"/>
        </w:rPr>
        <w:t xml:space="preserve"> Mining Regulations 2020</w:t>
      </w:r>
      <w:r w:rsidRPr="00E26C8E">
        <w:rPr>
          <w:rFonts w:eastAsia="Times New Roman"/>
          <w:szCs w:val="17"/>
        </w:rPr>
        <w:t xml:space="preserve"> that this information must be accompanied by relevant evidence demonstrating that the tenement holder (and any other person who may be acting on behalf of the tenement holder as an operator) has appropriate experience, processes and procedures in place to be able to achieve the environmental outcomes.</w:t>
      </w:r>
    </w:p>
    <w:p w:rsidR="00E26C8E" w:rsidRPr="00E26C8E" w:rsidRDefault="00E26C8E" w:rsidP="00E26C8E">
      <w:pPr>
        <w:ind w:left="426" w:hanging="284"/>
        <w:rPr>
          <w:rFonts w:eastAsia="Times New Roman"/>
          <w:b/>
          <w:szCs w:val="17"/>
        </w:rPr>
      </w:pPr>
      <w:r w:rsidRPr="00E26C8E">
        <w:rPr>
          <w:rFonts w:eastAsia="Times New Roman"/>
          <w:b/>
          <w:szCs w:val="17"/>
        </w:rPr>
        <w:t>6.</w:t>
      </w:r>
      <w:r w:rsidRPr="00E26C8E">
        <w:rPr>
          <w:rFonts w:eastAsia="Times New Roman"/>
          <w:b/>
          <w:szCs w:val="17"/>
        </w:rPr>
        <w:tab/>
        <w:t>LEASE/LICENCE</w:t>
      </w:r>
    </w:p>
    <w:p w:rsidR="00E26C8E" w:rsidRPr="00E26C8E" w:rsidRDefault="00E26C8E" w:rsidP="00E26C8E">
      <w:pPr>
        <w:ind w:left="426"/>
        <w:rPr>
          <w:rFonts w:eastAsia="Times New Roman"/>
          <w:szCs w:val="17"/>
        </w:rPr>
      </w:pPr>
      <w:r w:rsidRPr="00E26C8E">
        <w:rPr>
          <w:rFonts w:eastAsia="Times New Roman"/>
          <w:szCs w:val="17"/>
        </w:rPr>
        <w:t>Where the ML or MPL includes specific conditions or requirements that are not environmental outcomes, in accordance with regulation 63(1)(e) a transitional PEPR must include a section that demonstrates where the respective conditions or requirements have been addressed in the transitional PEPR (if relevant) or demonstrates how otherwise they have or will be complied with.</w:t>
      </w:r>
    </w:p>
    <w:p w:rsidR="00E26C8E" w:rsidRPr="00E26C8E" w:rsidRDefault="00E26C8E" w:rsidP="00E26C8E">
      <w:pPr>
        <w:ind w:left="426" w:hanging="284"/>
        <w:rPr>
          <w:rFonts w:eastAsia="Times New Roman"/>
          <w:b/>
          <w:szCs w:val="17"/>
        </w:rPr>
      </w:pPr>
      <w:r w:rsidRPr="00E26C8E">
        <w:rPr>
          <w:rFonts w:eastAsia="Times New Roman"/>
          <w:b/>
          <w:szCs w:val="17"/>
        </w:rPr>
        <w:t>7.</w:t>
      </w:r>
      <w:r w:rsidRPr="00E26C8E">
        <w:rPr>
          <w:rFonts w:eastAsia="Times New Roman"/>
          <w:b/>
          <w:szCs w:val="17"/>
        </w:rPr>
        <w:tab/>
        <w:t>MAPS AND CROSS-SECTIONS</w:t>
      </w:r>
    </w:p>
    <w:p w:rsidR="00E26C8E" w:rsidRPr="00E26C8E" w:rsidRDefault="00E26C8E" w:rsidP="00E26C8E">
      <w:pPr>
        <w:ind w:left="426"/>
        <w:rPr>
          <w:rFonts w:eastAsia="Times New Roman"/>
          <w:szCs w:val="17"/>
        </w:rPr>
      </w:pPr>
      <w:r w:rsidRPr="00E26C8E">
        <w:rPr>
          <w:rFonts w:eastAsia="Times New Roman"/>
          <w:szCs w:val="17"/>
        </w:rPr>
        <w:t>In preparing a PEPR in accordance with section 70B(2) of the</w:t>
      </w:r>
      <w:r w:rsidRPr="00E26C8E">
        <w:rPr>
          <w:rFonts w:eastAsia="Times New Roman"/>
          <w:i/>
          <w:szCs w:val="17"/>
        </w:rPr>
        <w:t xml:space="preserve"> Mining Act 1971</w:t>
      </w:r>
      <w:r w:rsidRPr="00E26C8E">
        <w:rPr>
          <w:rFonts w:eastAsia="Times New Roman"/>
          <w:szCs w:val="17"/>
        </w:rPr>
        <w:t xml:space="preserve"> and regulation 63 of the</w:t>
      </w:r>
      <w:r w:rsidRPr="00E26C8E">
        <w:rPr>
          <w:rFonts w:eastAsia="Times New Roman"/>
          <w:i/>
          <w:szCs w:val="17"/>
        </w:rPr>
        <w:t xml:space="preserve"> Mining Regulations 2020</w:t>
      </w:r>
      <w:r w:rsidRPr="00E26C8E">
        <w:rPr>
          <w:rFonts w:eastAsia="Times New Roman"/>
          <w:szCs w:val="17"/>
        </w:rPr>
        <w:t>, the Minister determines in accordance with regulation 63(3)(e) of the</w:t>
      </w:r>
      <w:r w:rsidRPr="00E26C8E">
        <w:rPr>
          <w:rFonts w:eastAsia="Times New Roman"/>
          <w:i/>
          <w:szCs w:val="17"/>
        </w:rPr>
        <w:t xml:space="preserve"> Mining Regulations 2020</w:t>
      </w:r>
      <w:r w:rsidRPr="00E26C8E">
        <w:rPr>
          <w:rFonts w:eastAsia="Times New Roman"/>
          <w:szCs w:val="17"/>
        </w:rPr>
        <w:t xml:space="preserve"> that all maps, plans and cross sections must comply with the following requirements relating to the amount of detail or information to be provided:</w:t>
      </w:r>
    </w:p>
    <w:p w:rsidR="00E26C8E" w:rsidRPr="00E26C8E" w:rsidRDefault="00E26C8E" w:rsidP="00E26C8E">
      <w:pPr>
        <w:ind w:left="709" w:hanging="283"/>
        <w:rPr>
          <w:rFonts w:eastAsia="Times New Roman"/>
          <w:szCs w:val="17"/>
        </w:rPr>
      </w:pPr>
      <w:r w:rsidRPr="00E26C8E">
        <w:rPr>
          <w:rFonts w:eastAsia="Times New Roman"/>
          <w:szCs w:val="17"/>
        </w:rPr>
        <w:t>•</w:t>
      </w:r>
      <w:r w:rsidRPr="00E26C8E">
        <w:rPr>
          <w:rFonts w:eastAsia="Times New Roman"/>
          <w:szCs w:val="17"/>
        </w:rPr>
        <w:tab/>
        <w:t>State and show the relevant datum (Australian Height Datum (AHD) is preferred).</w:t>
      </w:r>
    </w:p>
    <w:p w:rsidR="00E26C8E" w:rsidRPr="00E26C8E" w:rsidRDefault="00E26C8E" w:rsidP="00E26C8E">
      <w:pPr>
        <w:ind w:left="709" w:hanging="283"/>
        <w:rPr>
          <w:rFonts w:eastAsia="Times New Roman"/>
          <w:szCs w:val="17"/>
        </w:rPr>
      </w:pPr>
      <w:r w:rsidRPr="00E26C8E">
        <w:rPr>
          <w:rFonts w:eastAsia="Times New Roman"/>
          <w:szCs w:val="17"/>
        </w:rPr>
        <w:t>•</w:t>
      </w:r>
      <w:r w:rsidRPr="00E26C8E">
        <w:rPr>
          <w:rFonts w:eastAsia="Times New Roman"/>
          <w:szCs w:val="17"/>
        </w:rPr>
        <w:tab/>
        <w:t>Be in metric units.</w:t>
      </w:r>
    </w:p>
    <w:p w:rsidR="00E26C8E" w:rsidRPr="00E26C8E" w:rsidRDefault="00E26C8E" w:rsidP="00E26C8E">
      <w:pPr>
        <w:ind w:left="709" w:hanging="283"/>
        <w:rPr>
          <w:rFonts w:eastAsia="Times New Roman"/>
          <w:szCs w:val="17"/>
        </w:rPr>
      </w:pPr>
      <w:r w:rsidRPr="00E26C8E">
        <w:rPr>
          <w:rFonts w:eastAsia="Times New Roman"/>
          <w:szCs w:val="17"/>
        </w:rPr>
        <w:t>•</w:t>
      </w:r>
      <w:r w:rsidRPr="00E26C8E">
        <w:rPr>
          <w:rFonts w:eastAsia="Times New Roman"/>
          <w:szCs w:val="17"/>
        </w:rPr>
        <w:tab/>
        <w:t>Include title, north arrow, scale bar, text and legend.</w:t>
      </w:r>
    </w:p>
    <w:p w:rsidR="00E26C8E" w:rsidRPr="00E26C8E" w:rsidRDefault="00E26C8E" w:rsidP="00E26C8E">
      <w:pPr>
        <w:ind w:left="709" w:hanging="283"/>
        <w:rPr>
          <w:rFonts w:eastAsia="Times New Roman"/>
          <w:szCs w:val="17"/>
        </w:rPr>
      </w:pPr>
      <w:r w:rsidRPr="00E26C8E">
        <w:rPr>
          <w:rFonts w:eastAsia="Times New Roman"/>
          <w:szCs w:val="17"/>
        </w:rPr>
        <w:t>•</w:t>
      </w:r>
      <w:r w:rsidRPr="00E26C8E">
        <w:rPr>
          <w:rFonts w:eastAsia="Times New Roman"/>
          <w:szCs w:val="17"/>
        </w:rPr>
        <w:tab/>
        <w:t>Include date prepared and author.</w:t>
      </w:r>
    </w:p>
    <w:p w:rsidR="00E26C8E" w:rsidRPr="00E26C8E" w:rsidRDefault="00E26C8E" w:rsidP="00E26C8E">
      <w:pPr>
        <w:ind w:left="709" w:hanging="283"/>
        <w:rPr>
          <w:rFonts w:eastAsia="Times New Roman"/>
          <w:szCs w:val="17"/>
        </w:rPr>
      </w:pPr>
      <w:r w:rsidRPr="00E26C8E">
        <w:rPr>
          <w:rFonts w:eastAsia="Times New Roman"/>
          <w:szCs w:val="17"/>
        </w:rPr>
        <w:t>•</w:t>
      </w:r>
      <w:r w:rsidRPr="00E26C8E">
        <w:rPr>
          <w:rFonts w:eastAsia="Times New Roman"/>
          <w:szCs w:val="17"/>
        </w:rPr>
        <w:tab/>
        <w:t>Be of appropriate resolution and scale for represented information.</w:t>
      </w:r>
    </w:p>
    <w:p w:rsidR="00E26C8E" w:rsidRPr="00E26C8E" w:rsidRDefault="00E26C8E" w:rsidP="00E26C8E">
      <w:pPr>
        <w:ind w:left="709" w:hanging="283"/>
        <w:rPr>
          <w:rFonts w:eastAsia="Times New Roman"/>
          <w:szCs w:val="17"/>
        </w:rPr>
      </w:pPr>
      <w:r w:rsidRPr="00E26C8E">
        <w:rPr>
          <w:rFonts w:eastAsia="Times New Roman"/>
          <w:szCs w:val="17"/>
        </w:rPr>
        <w:t>•</w:t>
      </w:r>
      <w:r w:rsidRPr="00E26C8E">
        <w:rPr>
          <w:rFonts w:eastAsia="Times New Roman"/>
          <w:szCs w:val="17"/>
        </w:rPr>
        <w:tab/>
        <w:t>Be legible in both the hardcopy and electronic versions of the submission.</w:t>
      </w:r>
    </w:p>
    <w:p w:rsidR="00E26C8E" w:rsidRPr="00E26C8E" w:rsidRDefault="00E26C8E" w:rsidP="00E26C8E">
      <w:pPr>
        <w:ind w:left="426"/>
        <w:rPr>
          <w:rFonts w:eastAsia="Times New Roman"/>
          <w:szCs w:val="17"/>
        </w:rPr>
      </w:pPr>
      <w:r w:rsidRPr="00E26C8E">
        <w:rPr>
          <w:rFonts w:eastAsia="Times New Roman"/>
          <w:szCs w:val="17"/>
        </w:rPr>
        <w:t>All cross-sections must conform to the following standards:</w:t>
      </w:r>
    </w:p>
    <w:p w:rsidR="00E26C8E" w:rsidRPr="00E26C8E" w:rsidRDefault="00E26C8E" w:rsidP="00E26C8E">
      <w:pPr>
        <w:ind w:left="709" w:hanging="283"/>
        <w:rPr>
          <w:rFonts w:eastAsia="Times New Roman"/>
          <w:szCs w:val="17"/>
        </w:rPr>
      </w:pPr>
      <w:r w:rsidRPr="00E26C8E">
        <w:rPr>
          <w:rFonts w:eastAsia="Times New Roman"/>
          <w:szCs w:val="17"/>
        </w:rPr>
        <w:t>•</w:t>
      </w:r>
      <w:r w:rsidRPr="00E26C8E">
        <w:rPr>
          <w:rFonts w:eastAsia="Times New Roman"/>
          <w:szCs w:val="17"/>
        </w:rPr>
        <w:tab/>
        <w:t>State and show the relevant datum (Australian Height Datum (AHD) is preferred).</w:t>
      </w:r>
    </w:p>
    <w:p w:rsidR="00E26C8E" w:rsidRPr="00E26C8E" w:rsidRDefault="00E26C8E" w:rsidP="00E26C8E">
      <w:pPr>
        <w:ind w:left="709" w:hanging="283"/>
        <w:rPr>
          <w:rFonts w:eastAsia="Times New Roman"/>
          <w:szCs w:val="17"/>
        </w:rPr>
      </w:pPr>
      <w:r w:rsidRPr="00E26C8E">
        <w:rPr>
          <w:rFonts w:eastAsia="Times New Roman"/>
          <w:szCs w:val="17"/>
        </w:rPr>
        <w:t>•</w:t>
      </w:r>
      <w:r w:rsidRPr="00E26C8E">
        <w:rPr>
          <w:rFonts w:eastAsia="Times New Roman"/>
          <w:szCs w:val="17"/>
        </w:rPr>
        <w:tab/>
        <w:t>Be in metric units,</w:t>
      </w:r>
    </w:p>
    <w:p w:rsidR="00E26C8E" w:rsidRPr="00E26C8E" w:rsidRDefault="00E26C8E" w:rsidP="00E26C8E">
      <w:pPr>
        <w:ind w:left="709" w:hanging="283"/>
        <w:rPr>
          <w:rFonts w:eastAsia="Times New Roman"/>
          <w:szCs w:val="17"/>
        </w:rPr>
      </w:pPr>
      <w:r w:rsidRPr="00E26C8E">
        <w:rPr>
          <w:rFonts w:eastAsia="Times New Roman"/>
          <w:szCs w:val="17"/>
        </w:rPr>
        <w:t>•</w:t>
      </w:r>
      <w:r w:rsidRPr="00E26C8E">
        <w:rPr>
          <w:rFonts w:eastAsia="Times New Roman"/>
          <w:szCs w:val="17"/>
        </w:rPr>
        <w:tab/>
        <w:t>Include title, scale bar, text and legend.</w:t>
      </w:r>
    </w:p>
    <w:p w:rsidR="00E26C8E" w:rsidRPr="00E26C8E" w:rsidRDefault="00E26C8E" w:rsidP="00E26C8E">
      <w:pPr>
        <w:ind w:left="709" w:hanging="283"/>
        <w:rPr>
          <w:rFonts w:eastAsia="Times New Roman"/>
          <w:szCs w:val="17"/>
        </w:rPr>
      </w:pPr>
      <w:r w:rsidRPr="00E26C8E">
        <w:rPr>
          <w:rFonts w:eastAsia="Times New Roman"/>
          <w:szCs w:val="17"/>
        </w:rPr>
        <w:t>•</w:t>
      </w:r>
      <w:r w:rsidRPr="00E26C8E">
        <w:rPr>
          <w:rFonts w:eastAsia="Times New Roman"/>
          <w:szCs w:val="17"/>
        </w:rPr>
        <w:tab/>
        <w:t>Include date prepared and author.</w:t>
      </w:r>
    </w:p>
    <w:p w:rsidR="00E26C8E" w:rsidRPr="00E26C8E" w:rsidRDefault="00E26C8E" w:rsidP="00E26C8E">
      <w:pPr>
        <w:ind w:left="709" w:hanging="283"/>
        <w:rPr>
          <w:rFonts w:eastAsia="Times New Roman"/>
          <w:szCs w:val="17"/>
        </w:rPr>
      </w:pPr>
      <w:r w:rsidRPr="00E26C8E">
        <w:rPr>
          <w:rFonts w:eastAsia="Times New Roman"/>
          <w:szCs w:val="17"/>
        </w:rPr>
        <w:t>•</w:t>
      </w:r>
      <w:r w:rsidRPr="00E26C8E">
        <w:rPr>
          <w:rFonts w:eastAsia="Times New Roman"/>
          <w:szCs w:val="17"/>
        </w:rPr>
        <w:tab/>
        <w:t>Be of appropriate resolution and scale for represented information.</w:t>
      </w:r>
    </w:p>
    <w:p w:rsidR="00E26C8E" w:rsidRPr="00E26C8E" w:rsidRDefault="00E26C8E" w:rsidP="00E26C8E">
      <w:pPr>
        <w:ind w:left="709" w:hanging="283"/>
        <w:rPr>
          <w:rFonts w:eastAsia="Times New Roman"/>
          <w:szCs w:val="17"/>
        </w:rPr>
      </w:pPr>
      <w:r w:rsidRPr="00E26C8E">
        <w:rPr>
          <w:rFonts w:eastAsia="Times New Roman"/>
          <w:szCs w:val="17"/>
        </w:rPr>
        <w:t>•</w:t>
      </w:r>
      <w:r w:rsidRPr="00E26C8E">
        <w:rPr>
          <w:rFonts w:eastAsia="Times New Roman"/>
          <w:szCs w:val="17"/>
        </w:rPr>
        <w:tab/>
        <w:t>Be legible in both the hardcopy and electronic versions of the submission.</w:t>
      </w:r>
    </w:p>
    <w:p w:rsidR="00E26C8E" w:rsidRPr="00E26C8E" w:rsidRDefault="00E26C8E" w:rsidP="00E26C8E">
      <w:pPr>
        <w:ind w:left="851" w:hanging="425"/>
        <w:rPr>
          <w:rFonts w:eastAsia="Times New Roman"/>
          <w:b/>
          <w:szCs w:val="17"/>
        </w:rPr>
      </w:pPr>
      <w:r w:rsidRPr="00E26C8E">
        <w:rPr>
          <w:rFonts w:eastAsia="Times New Roman"/>
          <w:b/>
          <w:szCs w:val="17"/>
        </w:rPr>
        <w:t>7.1</w:t>
      </w:r>
      <w:r w:rsidRPr="00E26C8E">
        <w:rPr>
          <w:rFonts w:eastAsia="Times New Roman"/>
          <w:b/>
          <w:szCs w:val="17"/>
        </w:rPr>
        <w:tab/>
        <w:t>List of maps</w:t>
      </w:r>
    </w:p>
    <w:p w:rsidR="00E26C8E" w:rsidRPr="00E26C8E" w:rsidRDefault="00E26C8E" w:rsidP="00E26C8E">
      <w:pPr>
        <w:ind w:left="1418" w:hanging="567"/>
        <w:rPr>
          <w:rFonts w:eastAsia="Times New Roman"/>
          <w:b/>
          <w:szCs w:val="17"/>
        </w:rPr>
      </w:pPr>
      <w:r w:rsidRPr="00E26C8E">
        <w:rPr>
          <w:rFonts w:eastAsia="Times New Roman"/>
          <w:b/>
          <w:szCs w:val="17"/>
        </w:rPr>
        <w:t>7.1.1</w:t>
      </w:r>
      <w:r w:rsidRPr="00E26C8E">
        <w:rPr>
          <w:rFonts w:eastAsia="Times New Roman"/>
          <w:b/>
          <w:szCs w:val="17"/>
        </w:rPr>
        <w:tab/>
        <w:t>Maps required for description of the existing environment (as per clause 1)</w:t>
      </w:r>
    </w:p>
    <w:p w:rsidR="00E26C8E" w:rsidRPr="00E26C8E" w:rsidRDefault="00E26C8E" w:rsidP="00E26C8E">
      <w:pPr>
        <w:ind w:left="2127" w:hanging="709"/>
        <w:rPr>
          <w:rFonts w:eastAsia="Times New Roman"/>
          <w:i/>
          <w:szCs w:val="17"/>
        </w:rPr>
      </w:pPr>
      <w:r w:rsidRPr="00E26C8E">
        <w:rPr>
          <w:rFonts w:eastAsia="Times New Roman"/>
          <w:i/>
          <w:szCs w:val="17"/>
        </w:rPr>
        <w:t>7.1.1.1</w:t>
      </w:r>
      <w:r w:rsidRPr="00E26C8E">
        <w:rPr>
          <w:rFonts w:eastAsia="Times New Roman"/>
          <w:i/>
          <w:szCs w:val="17"/>
        </w:rPr>
        <w:tab/>
        <w:t>Topographic map showing:</w:t>
      </w:r>
    </w:p>
    <w:p w:rsidR="00E26C8E" w:rsidRPr="00E26C8E" w:rsidRDefault="00E26C8E" w:rsidP="00E26C8E">
      <w:pPr>
        <w:spacing w:after="60"/>
        <w:ind w:left="2410" w:hanging="284"/>
        <w:rPr>
          <w:rFonts w:eastAsia="Times New Roman"/>
          <w:szCs w:val="17"/>
        </w:rPr>
      </w:pPr>
      <w:r w:rsidRPr="00E26C8E">
        <w:rPr>
          <w:rFonts w:eastAsia="Times New Roman"/>
          <w:szCs w:val="17"/>
        </w:rPr>
        <w:t>•</w:t>
      </w:r>
      <w:r w:rsidRPr="00E26C8E">
        <w:rPr>
          <w:rFonts w:eastAsia="Times New Roman"/>
          <w:szCs w:val="17"/>
        </w:rPr>
        <w:tab/>
        <w:t>mineral claim boundaries</w:t>
      </w:r>
    </w:p>
    <w:p w:rsidR="00E26C8E" w:rsidRPr="00E26C8E" w:rsidRDefault="00E26C8E" w:rsidP="00E26C8E">
      <w:pPr>
        <w:spacing w:after="60"/>
        <w:ind w:left="2410" w:hanging="284"/>
        <w:rPr>
          <w:rFonts w:eastAsia="Times New Roman"/>
          <w:szCs w:val="17"/>
        </w:rPr>
      </w:pPr>
      <w:r w:rsidRPr="00E26C8E">
        <w:rPr>
          <w:rFonts w:eastAsia="Times New Roman"/>
          <w:szCs w:val="17"/>
        </w:rPr>
        <w:t>•</w:t>
      </w:r>
      <w:r w:rsidRPr="00E26C8E">
        <w:rPr>
          <w:rFonts w:eastAsia="Times New Roman"/>
          <w:szCs w:val="17"/>
        </w:rPr>
        <w:tab/>
        <w:t>existing surface contours; existing vegetation</w:t>
      </w:r>
    </w:p>
    <w:p w:rsidR="00E26C8E" w:rsidRPr="00E26C8E" w:rsidRDefault="00E26C8E" w:rsidP="00E26C8E">
      <w:pPr>
        <w:spacing w:after="60"/>
        <w:ind w:left="2410" w:hanging="284"/>
        <w:rPr>
          <w:rFonts w:eastAsia="Times New Roman"/>
          <w:szCs w:val="17"/>
        </w:rPr>
      </w:pPr>
      <w:r w:rsidRPr="00E26C8E">
        <w:rPr>
          <w:rFonts w:eastAsia="Times New Roman"/>
          <w:szCs w:val="17"/>
        </w:rPr>
        <w:t>•</w:t>
      </w:r>
      <w:r w:rsidRPr="00E26C8E">
        <w:rPr>
          <w:rFonts w:eastAsia="Times New Roman"/>
          <w:szCs w:val="17"/>
        </w:rPr>
        <w:tab/>
        <w:t>location of watercourses, including ephemeral and permanent rivers, creeks, swamps, streams, wetlands and any man-made water management structures</w:t>
      </w:r>
    </w:p>
    <w:p w:rsidR="00E26C8E" w:rsidRPr="00E26C8E" w:rsidRDefault="00E26C8E" w:rsidP="00E26C8E">
      <w:pPr>
        <w:spacing w:after="60"/>
        <w:ind w:left="2410" w:hanging="284"/>
        <w:rPr>
          <w:rFonts w:eastAsia="Times New Roman"/>
          <w:szCs w:val="17"/>
        </w:rPr>
      </w:pPr>
      <w:r w:rsidRPr="00E26C8E">
        <w:rPr>
          <w:rFonts w:eastAsia="Times New Roman"/>
          <w:szCs w:val="17"/>
        </w:rPr>
        <w:t>•</w:t>
      </w:r>
      <w:r w:rsidRPr="00E26C8E">
        <w:rPr>
          <w:rFonts w:eastAsia="Times New Roman"/>
          <w:szCs w:val="17"/>
        </w:rPr>
        <w:tab/>
        <w:t>surface water catchment boundaries</w:t>
      </w:r>
    </w:p>
    <w:p w:rsidR="00E26C8E" w:rsidRPr="00E26C8E" w:rsidRDefault="00E26C8E" w:rsidP="00E26C8E">
      <w:pPr>
        <w:spacing w:after="60"/>
        <w:ind w:left="2410" w:hanging="284"/>
        <w:rPr>
          <w:rFonts w:eastAsia="Times New Roman"/>
          <w:szCs w:val="17"/>
        </w:rPr>
      </w:pPr>
      <w:r w:rsidRPr="00E26C8E">
        <w:rPr>
          <w:rFonts w:eastAsia="Times New Roman"/>
          <w:szCs w:val="17"/>
        </w:rPr>
        <w:t>•</w:t>
      </w:r>
      <w:r w:rsidRPr="00E26C8E">
        <w:rPr>
          <w:rFonts w:eastAsia="Times New Roman"/>
          <w:szCs w:val="17"/>
        </w:rPr>
        <w:tab/>
        <w:t>direction of drainage and discharge from the application area</w:t>
      </w:r>
    </w:p>
    <w:p w:rsidR="00E26C8E" w:rsidRPr="00E26C8E" w:rsidRDefault="00E26C8E" w:rsidP="00E26C8E">
      <w:pPr>
        <w:spacing w:after="60"/>
        <w:ind w:left="2410" w:hanging="284"/>
        <w:rPr>
          <w:rFonts w:eastAsia="Times New Roman"/>
          <w:szCs w:val="17"/>
        </w:rPr>
      </w:pPr>
      <w:r w:rsidRPr="00E26C8E">
        <w:rPr>
          <w:rFonts w:eastAsia="Times New Roman"/>
          <w:szCs w:val="17"/>
        </w:rPr>
        <w:t>•</w:t>
      </w:r>
      <w:r w:rsidRPr="00E26C8E">
        <w:rPr>
          <w:rFonts w:eastAsia="Times New Roman"/>
          <w:szCs w:val="17"/>
        </w:rPr>
        <w:tab/>
        <w:t>location and extent of all previously disturbed areas associated with previous mining; and</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location and extent of any adjacent conservation reserves, heritage sites or any other significant areas.</w:t>
      </w:r>
      <w:r w:rsidRPr="00E26C8E">
        <w:rPr>
          <w:rFonts w:eastAsia="Times New Roman"/>
          <w:i/>
          <w:szCs w:val="17"/>
        </w:rPr>
        <w:br w:type="page"/>
      </w:r>
    </w:p>
    <w:p w:rsidR="00E26C8E" w:rsidRPr="00E26C8E" w:rsidRDefault="00E26C8E" w:rsidP="00E26C8E">
      <w:pPr>
        <w:ind w:left="2127" w:hanging="709"/>
        <w:rPr>
          <w:rFonts w:eastAsia="Times New Roman"/>
          <w:i/>
          <w:szCs w:val="17"/>
        </w:rPr>
      </w:pPr>
      <w:r w:rsidRPr="00E26C8E">
        <w:rPr>
          <w:rFonts w:eastAsia="Times New Roman"/>
          <w:i/>
          <w:szCs w:val="17"/>
        </w:rPr>
        <w:t>7.1.1.2</w:t>
      </w:r>
      <w:r w:rsidRPr="00E26C8E">
        <w:rPr>
          <w:rFonts w:eastAsia="Times New Roman"/>
          <w:i/>
          <w:szCs w:val="17"/>
        </w:rPr>
        <w:tab/>
        <w:t>Local geological map showing:</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mineral claim boundaries</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location and dimensions of the deposit; and</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topsoil/subsoil variation if there is a variation in soils over the application area.</w:t>
      </w:r>
    </w:p>
    <w:p w:rsidR="00E26C8E" w:rsidRPr="00E26C8E" w:rsidRDefault="00E26C8E" w:rsidP="00E26C8E">
      <w:pPr>
        <w:ind w:left="2127" w:hanging="709"/>
        <w:rPr>
          <w:rFonts w:eastAsia="Times New Roman"/>
          <w:i/>
          <w:szCs w:val="17"/>
        </w:rPr>
      </w:pPr>
      <w:r w:rsidRPr="00E26C8E">
        <w:rPr>
          <w:rFonts w:eastAsia="Times New Roman"/>
          <w:i/>
          <w:szCs w:val="17"/>
        </w:rPr>
        <w:t>7.1.1.3</w:t>
      </w:r>
      <w:r w:rsidRPr="00E26C8E">
        <w:rPr>
          <w:rFonts w:eastAsia="Times New Roman"/>
          <w:i/>
          <w:szCs w:val="17"/>
        </w:rPr>
        <w:tab/>
        <w:t>Groundwater map showing:</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groundwater wells in the surrounding area highlighting those used to determine the groundwater level.</w:t>
      </w:r>
    </w:p>
    <w:p w:rsidR="00E26C8E" w:rsidRPr="00E26C8E" w:rsidRDefault="00E26C8E" w:rsidP="00E26C8E">
      <w:pPr>
        <w:ind w:left="2127" w:hanging="709"/>
        <w:rPr>
          <w:rFonts w:eastAsia="Times New Roman"/>
          <w:i/>
          <w:szCs w:val="17"/>
        </w:rPr>
      </w:pPr>
      <w:r w:rsidRPr="00E26C8E">
        <w:rPr>
          <w:rFonts w:eastAsia="Times New Roman"/>
          <w:i/>
          <w:szCs w:val="17"/>
        </w:rPr>
        <w:t>7.1.1.4</w:t>
      </w:r>
      <w:r w:rsidRPr="00E26C8E">
        <w:rPr>
          <w:rFonts w:eastAsia="Times New Roman"/>
          <w:i/>
          <w:szCs w:val="17"/>
        </w:rPr>
        <w:tab/>
        <w:t>Land access map showing:</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mineral claim boundaries</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proposed tenement boundary if an area smaller than the mineral claim is proposed</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any exempt land</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location of residences within and near the application area; and</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human infrastructure as per clause 1.12.</w:t>
      </w:r>
    </w:p>
    <w:p w:rsidR="00E26C8E" w:rsidRPr="00E26C8E" w:rsidRDefault="00E26C8E" w:rsidP="00E26C8E">
      <w:pPr>
        <w:ind w:left="2127"/>
        <w:rPr>
          <w:rFonts w:eastAsia="Times New Roman"/>
          <w:szCs w:val="17"/>
        </w:rPr>
      </w:pPr>
      <w:r w:rsidRPr="00E26C8E">
        <w:rPr>
          <w:rFonts w:eastAsia="Times New Roman"/>
          <w:szCs w:val="17"/>
        </w:rPr>
        <w:t>If relevant:</w:t>
      </w:r>
    </w:p>
    <w:p w:rsidR="00E26C8E" w:rsidRPr="00E26C8E" w:rsidRDefault="00E26C8E" w:rsidP="00E26C8E">
      <w:pPr>
        <w:ind w:left="2127" w:hanging="709"/>
        <w:rPr>
          <w:rFonts w:eastAsia="Times New Roman"/>
          <w:i/>
          <w:szCs w:val="17"/>
        </w:rPr>
      </w:pPr>
      <w:r w:rsidRPr="00E26C8E">
        <w:rPr>
          <w:rFonts w:eastAsia="Times New Roman"/>
          <w:i/>
          <w:szCs w:val="17"/>
        </w:rPr>
        <w:t>7.1.1.5</w:t>
      </w:r>
      <w:r w:rsidRPr="00E26C8E">
        <w:rPr>
          <w:rFonts w:eastAsia="Times New Roman"/>
          <w:i/>
          <w:szCs w:val="17"/>
        </w:rPr>
        <w:tab/>
        <w:t>Caves map showing:</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mineral claim boundaries</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potential cave hosting geology; and</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location of the cave(s).</w:t>
      </w:r>
    </w:p>
    <w:p w:rsidR="00E26C8E" w:rsidRPr="00E26C8E" w:rsidRDefault="00E26C8E" w:rsidP="00E26C8E">
      <w:pPr>
        <w:ind w:left="1418" w:hanging="567"/>
        <w:rPr>
          <w:rFonts w:eastAsia="Times New Roman"/>
          <w:b/>
          <w:szCs w:val="17"/>
        </w:rPr>
      </w:pPr>
      <w:r w:rsidRPr="00E26C8E">
        <w:rPr>
          <w:rFonts w:eastAsia="Times New Roman"/>
          <w:b/>
          <w:szCs w:val="17"/>
        </w:rPr>
        <w:t>7.1.2</w:t>
      </w:r>
      <w:r w:rsidRPr="00E26C8E">
        <w:rPr>
          <w:rFonts w:eastAsia="Times New Roman"/>
          <w:b/>
          <w:szCs w:val="17"/>
        </w:rPr>
        <w:tab/>
        <w:t>Maps required for description of the quarrying operations (as per clause 2)</w:t>
      </w:r>
    </w:p>
    <w:p w:rsidR="00E26C8E" w:rsidRPr="00E26C8E" w:rsidRDefault="00E26C8E" w:rsidP="00E26C8E">
      <w:pPr>
        <w:ind w:left="2127" w:hanging="709"/>
        <w:rPr>
          <w:rFonts w:eastAsia="Times New Roman"/>
          <w:i/>
          <w:szCs w:val="17"/>
        </w:rPr>
      </w:pPr>
      <w:r w:rsidRPr="00E26C8E">
        <w:rPr>
          <w:rFonts w:eastAsia="Times New Roman"/>
          <w:i/>
          <w:szCs w:val="17"/>
        </w:rPr>
        <w:t>7.1.2.1</w:t>
      </w:r>
      <w:r w:rsidRPr="00E26C8E">
        <w:rPr>
          <w:rFonts w:eastAsia="Times New Roman"/>
          <w:i/>
          <w:szCs w:val="17"/>
        </w:rPr>
        <w:tab/>
        <w:t>Site layout map showing all components of the quarry operation including (but not limited to):</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tenement boundaries</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location of sediment management infrastructure</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vegetation screening (both existing and proposed)</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location of fuel and chemical storage areas</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if relevant location of process water dams</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location of haul roads</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if relevant location of fixed plant</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location of mobile plant for stage 1 of mining</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location and extent of topsoil/subsoil and product stockpiles.</w:t>
      </w:r>
    </w:p>
    <w:p w:rsidR="00E26C8E" w:rsidRPr="00E26C8E" w:rsidRDefault="00E26C8E" w:rsidP="00E26C8E">
      <w:pPr>
        <w:ind w:left="2127" w:hanging="709"/>
        <w:rPr>
          <w:rFonts w:eastAsia="Times New Roman"/>
          <w:i/>
          <w:szCs w:val="17"/>
        </w:rPr>
      </w:pPr>
      <w:r w:rsidRPr="00E26C8E">
        <w:rPr>
          <w:rFonts w:eastAsia="Times New Roman"/>
          <w:i/>
          <w:szCs w:val="17"/>
        </w:rPr>
        <w:t>7.1.2.2</w:t>
      </w:r>
      <w:r w:rsidRPr="00E26C8E">
        <w:rPr>
          <w:rFonts w:eastAsia="Times New Roman"/>
          <w:i/>
          <w:szCs w:val="17"/>
        </w:rPr>
        <w:tab/>
        <w:t>Sequence of quarrying and progressive rehabilitation map showing:</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tenement boundaries</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staging of each progressive mining stage</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proposed native vegetation clearance; and</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staging of each progressive rehabilitation stage.</w:t>
      </w:r>
    </w:p>
    <w:p w:rsidR="00E26C8E" w:rsidRPr="00E26C8E" w:rsidRDefault="00E26C8E" w:rsidP="00E26C8E">
      <w:pPr>
        <w:ind w:left="2127" w:hanging="709"/>
        <w:rPr>
          <w:rFonts w:eastAsia="Times New Roman"/>
          <w:i/>
          <w:szCs w:val="17"/>
        </w:rPr>
      </w:pPr>
      <w:r w:rsidRPr="00E26C8E">
        <w:rPr>
          <w:rFonts w:eastAsia="Times New Roman"/>
          <w:i/>
          <w:szCs w:val="17"/>
        </w:rPr>
        <w:t>7.1.2.3</w:t>
      </w:r>
      <w:r w:rsidRPr="00E26C8E">
        <w:rPr>
          <w:rFonts w:eastAsia="Times New Roman"/>
          <w:i/>
          <w:szCs w:val="17"/>
        </w:rPr>
        <w:tab/>
        <w:t>Access route map showing:</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access route for heavy vehicles</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exit route for heavy vehicles; and</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new roads to be constructed if relevant.</w:t>
      </w:r>
    </w:p>
    <w:p w:rsidR="00E26C8E" w:rsidRPr="00E26C8E" w:rsidRDefault="00E26C8E" w:rsidP="00E26C8E">
      <w:pPr>
        <w:ind w:left="2127" w:hanging="709"/>
        <w:rPr>
          <w:rFonts w:eastAsia="Times New Roman"/>
          <w:i/>
          <w:szCs w:val="17"/>
        </w:rPr>
      </w:pPr>
      <w:r w:rsidRPr="00E26C8E">
        <w:rPr>
          <w:rFonts w:eastAsia="Times New Roman"/>
          <w:i/>
          <w:szCs w:val="17"/>
        </w:rPr>
        <w:t>7.1.2.4</w:t>
      </w:r>
      <w:r w:rsidRPr="00E26C8E">
        <w:rPr>
          <w:rFonts w:eastAsia="Times New Roman"/>
          <w:i/>
          <w:szCs w:val="17"/>
        </w:rPr>
        <w:tab/>
        <w:t>Quarry completion map showing:</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final landforms (including rehabilitated and non-disturbed areas); and</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proposed topographical contours of the entire site (including rehabilitated and non-disturbed areas).</w:t>
      </w:r>
    </w:p>
    <w:p w:rsidR="00E26C8E" w:rsidRPr="00E26C8E" w:rsidRDefault="00E26C8E" w:rsidP="00E26C8E">
      <w:pPr>
        <w:ind w:left="851" w:hanging="425"/>
        <w:rPr>
          <w:rFonts w:eastAsia="Times New Roman"/>
          <w:b/>
          <w:szCs w:val="17"/>
        </w:rPr>
      </w:pPr>
      <w:r w:rsidRPr="00E26C8E">
        <w:rPr>
          <w:rFonts w:eastAsia="Times New Roman"/>
          <w:b/>
          <w:szCs w:val="17"/>
        </w:rPr>
        <w:t>7.2</w:t>
      </w:r>
      <w:r w:rsidRPr="00E26C8E">
        <w:rPr>
          <w:rFonts w:eastAsia="Times New Roman"/>
          <w:b/>
          <w:szCs w:val="17"/>
        </w:rPr>
        <w:tab/>
        <w:t>Summary of cross-sections</w:t>
      </w:r>
    </w:p>
    <w:p w:rsidR="00E26C8E" w:rsidRPr="00E26C8E" w:rsidRDefault="00E26C8E" w:rsidP="00E26C8E">
      <w:pPr>
        <w:ind w:left="851"/>
        <w:rPr>
          <w:rFonts w:eastAsia="Times New Roman"/>
          <w:szCs w:val="17"/>
        </w:rPr>
      </w:pPr>
      <w:r w:rsidRPr="00E26C8E">
        <w:rPr>
          <w:rFonts w:eastAsia="Times New Roman"/>
          <w:szCs w:val="17"/>
        </w:rPr>
        <w:t>Following is a summary of all cross-sections required in the transitional PEPR:</w:t>
      </w:r>
    </w:p>
    <w:p w:rsidR="00E26C8E" w:rsidRPr="00E26C8E" w:rsidRDefault="00E26C8E" w:rsidP="00E26C8E">
      <w:pPr>
        <w:ind w:left="1418" w:hanging="567"/>
        <w:rPr>
          <w:rFonts w:eastAsia="Times New Roman"/>
          <w:b/>
          <w:szCs w:val="17"/>
        </w:rPr>
      </w:pPr>
      <w:r w:rsidRPr="00E26C8E">
        <w:rPr>
          <w:rFonts w:eastAsia="Times New Roman"/>
          <w:b/>
          <w:szCs w:val="17"/>
        </w:rPr>
        <w:t>7.2.1</w:t>
      </w:r>
      <w:r w:rsidRPr="00E26C8E">
        <w:rPr>
          <w:rFonts w:eastAsia="Times New Roman"/>
          <w:b/>
          <w:szCs w:val="17"/>
        </w:rPr>
        <w:tab/>
        <w:t>Cross-sections required for description of the existing environment (as per clause 1)</w:t>
      </w:r>
    </w:p>
    <w:p w:rsidR="00E26C8E" w:rsidRPr="00E26C8E" w:rsidRDefault="00E26C8E" w:rsidP="00E26C8E">
      <w:pPr>
        <w:ind w:left="2127" w:hanging="709"/>
        <w:rPr>
          <w:rFonts w:eastAsia="Times New Roman"/>
          <w:i/>
          <w:szCs w:val="17"/>
        </w:rPr>
      </w:pPr>
      <w:r w:rsidRPr="00E26C8E">
        <w:rPr>
          <w:rFonts w:eastAsia="Times New Roman"/>
          <w:i/>
          <w:szCs w:val="17"/>
        </w:rPr>
        <w:t>7.2.1.1</w:t>
      </w:r>
      <w:r w:rsidRPr="00E26C8E">
        <w:rPr>
          <w:rFonts w:eastAsia="Times New Roman"/>
          <w:i/>
          <w:szCs w:val="17"/>
        </w:rPr>
        <w:tab/>
        <w:t>Geological cross-Section(s) showing:</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a representation of the geological profile within the application area; and</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depth of the resource and any overlying overburden.</w:t>
      </w:r>
    </w:p>
    <w:p w:rsidR="00E26C8E" w:rsidRPr="00E26C8E" w:rsidRDefault="00E26C8E" w:rsidP="00E26C8E">
      <w:pPr>
        <w:ind w:left="2127" w:hanging="709"/>
        <w:rPr>
          <w:rFonts w:eastAsia="Times New Roman"/>
          <w:i/>
          <w:szCs w:val="17"/>
        </w:rPr>
      </w:pPr>
      <w:r w:rsidRPr="00E26C8E">
        <w:rPr>
          <w:rFonts w:eastAsia="Times New Roman"/>
          <w:i/>
          <w:szCs w:val="17"/>
        </w:rPr>
        <w:t>7.2.1.2</w:t>
      </w:r>
      <w:r w:rsidRPr="00E26C8E">
        <w:rPr>
          <w:rFonts w:eastAsia="Times New Roman"/>
          <w:i/>
          <w:szCs w:val="17"/>
        </w:rPr>
        <w:tab/>
        <w:t>Groundwater cross-Section(s) showing:</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the proposed depth of mining; and</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the depth to groundwater.</w:t>
      </w:r>
    </w:p>
    <w:p w:rsidR="00E26C8E" w:rsidRPr="00E26C8E" w:rsidRDefault="00E26C8E" w:rsidP="00E26C8E">
      <w:pPr>
        <w:spacing w:after="0" w:line="240" w:lineRule="auto"/>
        <w:jc w:val="left"/>
        <w:rPr>
          <w:rFonts w:eastAsia="Times New Roman"/>
          <w:b/>
          <w:szCs w:val="17"/>
        </w:rPr>
      </w:pPr>
      <w:r w:rsidRPr="00E26C8E">
        <w:rPr>
          <w:rFonts w:eastAsia="Times New Roman"/>
          <w:b/>
          <w:szCs w:val="20"/>
        </w:rPr>
        <w:br w:type="page"/>
      </w:r>
    </w:p>
    <w:p w:rsidR="00E26C8E" w:rsidRPr="00E26C8E" w:rsidRDefault="00E26C8E" w:rsidP="00E26C8E">
      <w:pPr>
        <w:ind w:left="1418" w:hanging="567"/>
        <w:rPr>
          <w:rFonts w:eastAsia="Times New Roman"/>
          <w:b/>
          <w:szCs w:val="17"/>
        </w:rPr>
      </w:pPr>
      <w:r w:rsidRPr="00E26C8E">
        <w:rPr>
          <w:rFonts w:eastAsia="Times New Roman"/>
          <w:b/>
          <w:szCs w:val="17"/>
        </w:rPr>
        <w:t>7.2.2</w:t>
      </w:r>
      <w:r w:rsidRPr="00E26C8E">
        <w:rPr>
          <w:rFonts w:eastAsia="Times New Roman"/>
          <w:b/>
          <w:szCs w:val="17"/>
        </w:rPr>
        <w:tab/>
        <w:t>Cross-sections required for description of quarrying operations (as per clause 2)</w:t>
      </w:r>
    </w:p>
    <w:p w:rsidR="00E26C8E" w:rsidRPr="00E26C8E" w:rsidRDefault="00E26C8E" w:rsidP="00E26C8E">
      <w:pPr>
        <w:ind w:left="2127" w:hanging="709"/>
        <w:rPr>
          <w:rFonts w:eastAsia="Times New Roman"/>
          <w:i/>
          <w:szCs w:val="17"/>
        </w:rPr>
      </w:pPr>
      <w:r w:rsidRPr="00E26C8E">
        <w:rPr>
          <w:rFonts w:eastAsia="Times New Roman"/>
          <w:i/>
          <w:szCs w:val="17"/>
        </w:rPr>
        <w:t>7.2.2.1</w:t>
      </w:r>
      <w:r w:rsidRPr="00E26C8E">
        <w:rPr>
          <w:rFonts w:eastAsia="Times New Roman"/>
          <w:i/>
          <w:szCs w:val="17"/>
        </w:rPr>
        <w:tab/>
        <w:t>Quarry operation cross-section(s) showing:</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proposed pit depth; and</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proposed pit dimensions (length and width).</w:t>
      </w:r>
    </w:p>
    <w:p w:rsidR="00E26C8E" w:rsidRPr="00E26C8E" w:rsidRDefault="00E26C8E" w:rsidP="00E26C8E">
      <w:pPr>
        <w:ind w:left="2127" w:hanging="709"/>
        <w:rPr>
          <w:rFonts w:eastAsia="Times New Roman"/>
          <w:i/>
          <w:szCs w:val="17"/>
        </w:rPr>
      </w:pPr>
      <w:r w:rsidRPr="00E26C8E">
        <w:rPr>
          <w:rFonts w:eastAsia="Times New Roman"/>
          <w:i/>
          <w:szCs w:val="17"/>
        </w:rPr>
        <w:t>7.2.2.2</w:t>
      </w:r>
      <w:r w:rsidRPr="00E26C8E">
        <w:rPr>
          <w:rFonts w:eastAsia="Times New Roman"/>
          <w:i/>
          <w:szCs w:val="17"/>
        </w:rPr>
        <w:tab/>
        <w:t>Quarry completion cross-ection(s) showing:</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pre quarrying natural surface; and</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proposed final rehabilitated surface.</w:t>
      </w:r>
    </w:p>
    <w:p w:rsidR="00E26C8E" w:rsidRPr="00E26C8E" w:rsidRDefault="00E26C8E" w:rsidP="00E26C8E">
      <w:pPr>
        <w:spacing w:after="0"/>
        <w:rPr>
          <w:rFonts w:eastAsia="Times New Roman"/>
          <w:szCs w:val="17"/>
        </w:rPr>
      </w:pPr>
      <w:r w:rsidRPr="00E26C8E">
        <w:rPr>
          <w:rFonts w:eastAsia="Times New Roman"/>
          <w:szCs w:val="17"/>
        </w:rPr>
        <w:t>Dated: 11 December 2020</w:t>
      </w:r>
    </w:p>
    <w:p w:rsidR="00E26C8E" w:rsidRPr="00E26C8E" w:rsidRDefault="00E26C8E" w:rsidP="00E26C8E">
      <w:pPr>
        <w:spacing w:after="0"/>
        <w:jc w:val="right"/>
        <w:rPr>
          <w:rFonts w:eastAsia="Times New Roman"/>
          <w:smallCaps/>
          <w:szCs w:val="20"/>
        </w:rPr>
      </w:pPr>
      <w:r w:rsidRPr="00E26C8E">
        <w:rPr>
          <w:rFonts w:eastAsia="Times New Roman"/>
          <w:smallCaps/>
          <w:szCs w:val="20"/>
        </w:rPr>
        <w:t>Hon. Daniel van Holst Pellekaan</w:t>
      </w:r>
    </w:p>
    <w:p w:rsidR="00E26C8E" w:rsidRPr="00E26C8E" w:rsidRDefault="00E26C8E" w:rsidP="00E26C8E">
      <w:pPr>
        <w:spacing w:after="0"/>
        <w:jc w:val="right"/>
        <w:rPr>
          <w:rFonts w:eastAsia="Times New Roman"/>
          <w:szCs w:val="17"/>
        </w:rPr>
      </w:pPr>
      <w:r w:rsidRPr="00E26C8E">
        <w:rPr>
          <w:rFonts w:eastAsia="Times New Roman"/>
          <w:szCs w:val="17"/>
        </w:rPr>
        <w:t>Minister for Energy and Mining</w:t>
      </w:r>
    </w:p>
    <w:p w:rsidR="00E26C8E" w:rsidRPr="00E26C8E" w:rsidRDefault="00E26C8E" w:rsidP="00E26C8E">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ascii="CG Times (W1)" w:eastAsia="Times New Roman" w:hAnsi="CG Times (W1)"/>
          <w:szCs w:val="17"/>
        </w:rPr>
      </w:pPr>
    </w:p>
    <w:p w:rsidR="00E26C8E" w:rsidRPr="00E26C8E" w:rsidRDefault="00E26C8E" w:rsidP="00E26C8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CG Times (W1)" w:eastAsia="Times New Roman" w:hAnsi="CG Times (W1)"/>
          <w:szCs w:val="17"/>
        </w:rPr>
      </w:pPr>
    </w:p>
    <w:p w:rsidR="00E26C8E" w:rsidRPr="00E26C8E" w:rsidRDefault="00E26C8E" w:rsidP="00E26C8E">
      <w:pPr>
        <w:jc w:val="center"/>
        <w:rPr>
          <w:caps/>
          <w:szCs w:val="17"/>
        </w:rPr>
      </w:pPr>
      <w:r w:rsidRPr="00E26C8E">
        <w:rPr>
          <w:caps/>
          <w:szCs w:val="17"/>
        </w:rPr>
        <w:t>Mining Act 1971</w:t>
      </w:r>
    </w:p>
    <w:p w:rsidR="00E26C8E" w:rsidRPr="00E26C8E" w:rsidRDefault="00E26C8E" w:rsidP="005549E6">
      <w:pPr>
        <w:pStyle w:val="GG-Title3"/>
      </w:pPr>
      <w:r w:rsidRPr="00E26C8E">
        <w:t>Notice under Section 17CA(1) of the Mining Act 1971</w:t>
      </w:r>
    </w:p>
    <w:p w:rsidR="00E26C8E" w:rsidRPr="00E26C8E" w:rsidRDefault="00E26C8E" w:rsidP="00E26C8E">
      <w:pPr>
        <w:rPr>
          <w:rFonts w:eastAsia="Times New Roman"/>
          <w:szCs w:val="17"/>
        </w:rPr>
      </w:pPr>
      <w:r w:rsidRPr="00E26C8E">
        <w:rPr>
          <w:rFonts w:eastAsia="Times New Roman"/>
          <w:szCs w:val="17"/>
        </w:rPr>
        <w:t xml:space="preserve">NOTICE is hereby given pursuant to the provision of section 17CA(1) of the </w:t>
      </w:r>
      <w:r w:rsidRPr="00E26C8E">
        <w:rPr>
          <w:rFonts w:eastAsia="Times New Roman"/>
          <w:i/>
          <w:szCs w:val="17"/>
        </w:rPr>
        <w:t>Mining Act 1971</w:t>
      </w:r>
      <w:r w:rsidRPr="00E26C8E">
        <w:rPr>
          <w:rFonts w:eastAsia="Times New Roman"/>
          <w:szCs w:val="17"/>
        </w:rPr>
        <w:t>, to specify the manner and form of a royalty return.</w:t>
      </w:r>
    </w:p>
    <w:p w:rsidR="00E26C8E" w:rsidRPr="00E26C8E" w:rsidRDefault="00E26C8E" w:rsidP="00E26C8E">
      <w:pPr>
        <w:rPr>
          <w:rFonts w:eastAsia="Times New Roman"/>
          <w:szCs w:val="17"/>
        </w:rPr>
      </w:pPr>
      <w:r w:rsidRPr="00E26C8E">
        <w:rPr>
          <w:rFonts w:eastAsia="Times New Roman"/>
          <w:szCs w:val="17"/>
        </w:rPr>
        <w:t>TAKE notice that I, Paul Heithersay, Director of Mines, pursuant to section 17CA(1) of the Mining Act 1971 do hereby:</w:t>
      </w:r>
    </w:p>
    <w:p w:rsidR="00E26C8E" w:rsidRPr="00E26C8E" w:rsidRDefault="00E26C8E" w:rsidP="00E26C8E">
      <w:pPr>
        <w:ind w:left="142"/>
        <w:rPr>
          <w:rFonts w:eastAsia="Times New Roman"/>
          <w:szCs w:val="17"/>
        </w:rPr>
      </w:pPr>
      <w:r w:rsidRPr="00E26C8E">
        <w:rPr>
          <w:rFonts w:eastAsia="Times New Roman"/>
          <w:szCs w:val="17"/>
        </w:rPr>
        <w:t>DETERMINE that a return under section 17CA of the Mining Act 1971 must be in the following manner and form:</w:t>
      </w:r>
    </w:p>
    <w:p w:rsidR="00E26C8E" w:rsidRPr="00E26C8E" w:rsidRDefault="00E26C8E" w:rsidP="00E26C8E">
      <w:pPr>
        <w:ind w:left="426" w:hanging="284"/>
        <w:rPr>
          <w:rFonts w:eastAsia="Times New Roman"/>
          <w:szCs w:val="17"/>
        </w:rPr>
      </w:pPr>
      <w:r w:rsidRPr="00E26C8E">
        <w:rPr>
          <w:rFonts w:eastAsia="Times New Roman"/>
          <w:szCs w:val="17"/>
        </w:rPr>
        <w:t>1.</w:t>
      </w:r>
      <w:r w:rsidRPr="00E26C8E">
        <w:rPr>
          <w:rFonts w:eastAsia="Times New Roman"/>
          <w:szCs w:val="17"/>
        </w:rPr>
        <w:tab/>
        <w:t>state the tenement number(s);</w:t>
      </w:r>
    </w:p>
    <w:p w:rsidR="00E26C8E" w:rsidRPr="00E26C8E" w:rsidRDefault="00E26C8E" w:rsidP="00E26C8E">
      <w:pPr>
        <w:ind w:left="426" w:hanging="284"/>
        <w:rPr>
          <w:rFonts w:eastAsia="Times New Roman"/>
          <w:szCs w:val="17"/>
        </w:rPr>
      </w:pPr>
      <w:r w:rsidRPr="00E26C8E">
        <w:rPr>
          <w:rFonts w:eastAsia="Times New Roman"/>
          <w:szCs w:val="17"/>
        </w:rPr>
        <w:t>2.</w:t>
      </w:r>
      <w:r w:rsidRPr="00E26C8E">
        <w:rPr>
          <w:rFonts w:eastAsia="Times New Roman"/>
          <w:szCs w:val="17"/>
        </w:rPr>
        <w:tab/>
        <w:t>state the name of the tenement holder(s);</w:t>
      </w:r>
    </w:p>
    <w:p w:rsidR="00E26C8E" w:rsidRPr="00E26C8E" w:rsidRDefault="00E26C8E" w:rsidP="00E26C8E">
      <w:pPr>
        <w:ind w:left="426" w:hanging="284"/>
        <w:rPr>
          <w:rFonts w:eastAsia="Times New Roman"/>
          <w:szCs w:val="17"/>
        </w:rPr>
      </w:pPr>
      <w:r w:rsidRPr="00E26C8E">
        <w:rPr>
          <w:rFonts w:eastAsia="Times New Roman"/>
          <w:szCs w:val="17"/>
        </w:rPr>
        <w:t>3.</w:t>
      </w:r>
      <w:r w:rsidRPr="00E26C8E">
        <w:rPr>
          <w:rFonts w:eastAsia="Times New Roman"/>
          <w:szCs w:val="17"/>
        </w:rPr>
        <w:tab/>
        <w:t>provide the name of the contact person for the return, their phone number(s) and email address(es);</w:t>
      </w:r>
    </w:p>
    <w:p w:rsidR="00E26C8E" w:rsidRPr="00E26C8E" w:rsidRDefault="00E26C8E" w:rsidP="00E26C8E">
      <w:pPr>
        <w:ind w:left="426" w:hanging="284"/>
        <w:rPr>
          <w:rFonts w:eastAsia="Times New Roman"/>
          <w:szCs w:val="17"/>
        </w:rPr>
      </w:pPr>
      <w:r w:rsidRPr="00E26C8E">
        <w:rPr>
          <w:rFonts w:eastAsia="Times New Roman"/>
          <w:szCs w:val="17"/>
        </w:rPr>
        <w:t>4.</w:t>
      </w:r>
      <w:r w:rsidRPr="00E26C8E">
        <w:rPr>
          <w:rFonts w:eastAsia="Times New Roman"/>
          <w:szCs w:val="17"/>
        </w:rPr>
        <w:tab/>
        <w:t>declare the quantities and market value of minerals (excluding GST) recovered from the tenement and/or used on the tenement and/or sold whichever is the case;</w:t>
      </w:r>
    </w:p>
    <w:p w:rsidR="00E26C8E" w:rsidRPr="00E26C8E" w:rsidRDefault="00E26C8E" w:rsidP="00E26C8E">
      <w:pPr>
        <w:ind w:left="426" w:hanging="284"/>
        <w:rPr>
          <w:rFonts w:eastAsia="Times New Roman"/>
          <w:szCs w:val="17"/>
        </w:rPr>
      </w:pPr>
      <w:r w:rsidRPr="00E26C8E">
        <w:rPr>
          <w:rFonts w:eastAsia="Times New Roman"/>
          <w:szCs w:val="17"/>
        </w:rPr>
        <w:t>5.</w:t>
      </w:r>
      <w:r w:rsidRPr="00E26C8E">
        <w:rPr>
          <w:rFonts w:eastAsia="Times New Roman"/>
          <w:szCs w:val="17"/>
        </w:rPr>
        <w:tab/>
        <w:t>where applicable, declare that an estimate of the reasonable value of the minerals has been made;</w:t>
      </w:r>
    </w:p>
    <w:p w:rsidR="00E26C8E" w:rsidRPr="00E26C8E" w:rsidRDefault="00E26C8E" w:rsidP="00E26C8E">
      <w:pPr>
        <w:ind w:left="426" w:hanging="284"/>
        <w:rPr>
          <w:rFonts w:eastAsia="Times New Roman"/>
          <w:szCs w:val="17"/>
        </w:rPr>
      </w:pPr>
      <w:r w:rsidRPr="00E26C8E">
        <w:rPr>
          <w:rFonts w:eastAsia="Times New Roman"/>
          <w:szCs w:val="17"/>
        </w:rPr>
        <w:t>6.</w:t>
      </w:r>
      <w:r w:rsidRPr="00E26C8E">
        <w:rPr>
          <w:rFonts w:eastAsia="Times New Roman"/>
          <w:szCs w:val="17"/>
        </w:rPr>
        <w:tab/>
        <w:t>where applicable, declare prescribed costs incurred;</w:t>
      </w:r>
    </w:p>
    <w:p w:rsidR="00E26C8E" w:rsidRPr="00E26C8E" w:rsidRDefault="00E26C8E" w:rsidP="00E26C8E">
      <w:pPr>
        <w:ind w:left="426" w:hanging="284"/>
        <w:rPr>
          <w:rFonts w:eastAsia="Times New Roman"/>
          <w:szCs w:val="17"/>
        </w:rPr>
      </w:pPr>
      <w:r w:rsidRPr="00E26C8E">
        <w:rPr>
          <w:rFonts w:eastAsia="Times New Roman"/>
          <w:szCs w:val="17"/>
        </w:rPr>
        <w:t>7.</w:t>
      </w:r>
      <w:r w:rsidRPr="00E26C8E">
        <w:rPr>
          <w:rFonts w:eastAsia="Times New Roman"/>
          <w:szCs w:val="17"/>
        </w:rPr>
        <w:tab/>
        <w:t>where applicable, attach required supporting information; and</w:t>
      </w:r>
    </w:p>
    <w:p w:rsidR="00E26C8E" w:rsidRPr="00E26C8E" w:rsidRDefault="00E26C8E" w:rsidP="00E26C8E">
      <w:pPr>
        <w:ind w:left="426" w:hanging="284"/>
        <w:rPr>
          <w:rFonts w:eastAsia="Times New Roman"/>
          <w:szCs w:val="17"/>
        </w:rPr>
      </w:pPr>
      <w:r w:rsidRPr="00E26C8E">
        <w:rPr>
          <w:rFonts w:eastAsia="Times New Roman"/>
          <w:szCs w:val="17"/>
        </w:rPr>
        <w:t>8.</w:t>
      </w:r>
      <w:r w:rsidRPr="00E26C8E">
        <w:rPr>
          <w:rFonts w:eastAsia="Times New Roman"/>
          <w:szCs w:val="17"/>
        </w:rPr>
        <w:tab/>
        <w:t xml:space="preserve">declare that the information provided in the return is true and correct and that records pertaining to that information will be made available for inspection to verify that royalty has been paid in accordance with the </w:t>
      </w:r>
      <w:r w:rsidRPr="00E26C8E">
        <w:rPr>
          <w:rFonts w:eastAsia="Times New Roman"/>
          <w:i/>
          <w:szCs w:val="17"/>
        </w:rPr>
        <w:t>Mining Act 1971</w:t>
      </w:r>
      <w:r w:rsidRPr="00E26C8E">
        <w:rPr>
          <w:rFonts w:eastAsia="Times New Roman"/>
          <w:szCs w:val="17"/>
        </w:rPr>
        <w:t>.</w:t>
      </w:r>
    </w:p>
    <w:p w:rsidR="00E26C8E" w:rsidRPr="00E26C8E" w:rsidRDefault="00E26C8E" w:rsidP="00E26C8E">
      <w:pPr>
        <w:rPr>
          <w:rFonts w:eastAsia="Times New Roman"/>
          <w:szCs w:val="17"/>
        </w:rPr>
      </w:pPr>
      <w:r w:rsidRPr="00E26C8E">
        <w:rPr>
          <w:rFonts w:eastAsia="Times New Roman"/>
          <w:szCs w:val="17"/>
        </w:rPr>
        <w:t xml:space="preserve">NOTICE is hereby given pursuant to the provision of regulation 88 of the </w:t>
      </w:r>
      <w:r w:rsidRPr="00E26C8E">
        <w:rPr>
          <w:rFonts w:eastAsia="Times New Roman"/>
          <w:i/>
          <w:szCs w:val="17"/>
        </w:rPr>
        <w:t>Mining Regulation 2020</w:t>
      </w:r>
      <w:r w:rsidRPr="00E26C8E">
        <w:rPr>
          <w:rFonts w:eastAsia="Times New Roman"/>
          <w:szCs w:val="17"/>
        </w:rPr>
        <w:t>, to specify the manner to which a return under section 17CA must be furnished on the Director of Mines. </w:t>
      </w:r>
    </w:p>
    <w:p w:rsidR="00E26C8E" w:rsidRPr="00E26C8E" w:rsidRDefault="00E26C8E" w:rsidP="00E26C8E">
      <w:pPr>
        <w:rPr>
          <w:rFonts w:eastAsia="Times New Roman"/>
          <w:szCs w:val="17"/>
        </w:rPr>
      </w:pPr>
      <w:r w:rsidRPr="00E26C8E">
        <w:rPr>
          <w:rFonts w:eastAsia="Times New Roman"/>
          <w:szCs w:val="17"/>
        </w:rPr>
        <w:t xml:space="preserve">TAKE notice that I, Paul Heithersay, Director of Mines, pursuant to regulation 88(2) of the </w:t>
      </w:r>
      <w:r w:rsidRPr="00E26C8E">
        <w:rPr>
          <w:rFonts w:eastAsia="Times New Roman"/>
          <w:i/>
          <w:szCs w:val="17"/>
        </w:rPr>
        <w:t>Mining Regulations 2020</w:t>
      </w:r>
      <w:r w:rsidRPr="00E26C8E">
        <w:rPr>
          <w:rFonts w:eastAsia="Times New Roman"/>
          <w:szCs w:val="17"/>
        </w:rPr>
        <w:t xml:space="preserve"> do hereby:</w:t>
      </w:r>
    </w:p>
    <w:p w:rsidR="00E26C8E" w:rsidRPr="00E26C8E" w:rsidRDefault="00E26C8E" w:rsidP="00E26C8E">
      <w:pPr>
        <w:ind w:left="142"/>
        <w:rPr>
          <w:rFonts w:eastAsia="Times New Roman"/>
          <w:szCs w:val="17"/>
        </w:rPr>
      </w:pPr>
      <w:r w:rsidRPr="00E26C8E">
        <w:rPr>
          <w:rFonts w:eastAsia="Times New Roman"/>
          <w:szCs w:val="17"/>
        </w:rPr>
        <w:t>SPECIFY that the manner to which a return under section 17CA must be furnished on the Director of Mines by:</w:t>
      </w:r>
    </w:p>
    <w:p w:rsidR="00E26C8E" w:rsidRPr="00E26C8E" w:rsidRDefault="00E26C8E" w:rsidP="00E26C8E">
      <w:pPr>
        <w:ind w:left="426" w:hanging="284"/>
        <w:rPr>
          <w:rFonts w:eastAsia="Times New Roman"/>
          <w:szCs w:val="17"/>
        </w:rPr>
      </w:pPr>
      <w:r w:rsidRPr="00E26C8E">
        <w:rPr>
          <w:rFonts w:eastAsia="Times New Roman"/>
          <w:szCs w:val="17"/>
        </w:rPr>
        <w:t>1.</w:t>
      </w:r>
      <w:r w:rsidRPr="00E26C8E">
        <w:rPr>
          <w:rFonts w:eastAsia="Times New Roman"/>
          <w:szCs w:val="17"/>
        </w:rPr>
        <w:tab/>
        <w:t>electronic means via the Tenement Returns e-Lodgement system (TReL) as published on the Department for Energy and Mining’s website; or</w:t>
      </w:r>
    </w:p>
    <w:p w:rsidR="00E26C8E" w:rsidRPr="00E26C8E" w:rsidRDefault="00E26C8E" w:rsidP="00E26C8E">
      <w:pPr>
        <w:ind w:left="426" w:hanging="284"/>
        <w:rPr>
          <w:rFonts w:eastAsia="Times New Roman"/>
          <w:szCs w:val="17"/>
        </w:rPr>
      </w:pPr>
      <w:r w:rsidRPr="00E26C8E">
        <w:rPr>
          <w:rFonts w:eastAsia="Times New Roman"/>
          <w:szCs w:val="17"/>
        </w:rPr>
        <w:t>2.</w:t>
      </w:r>
      <w:r w:rsidRPr="00E26C8E">
        <w:rPr>
          <w:rFonts w:eastAsia="Times New Roman"/>
          <w:szCs w:val="17"/>
        </w:rPr>
        <w:tab/>
        <w:t>by email sent to an email address or post sent to an address provided by the Director of Mines, published on the Department for Energy and Mining’s website, or provided for on the relevant form (physical or electronic form). </w:t>
      </w:r>
    </w:p>
    <w:p w:rsidR="00E26C8E" w:rsidRPr="00E26C8E" w:rsidRDefault="00E26C8E" w:rsidP="00E26C8E">
      <w:pPr>
        <w:rPr>
          <w:rFonts w:eastAsia="Times New Roman"/>
          <w:szCs w:val="17"/>
        </w:rPr>
      </w:pPr>
      <w:r w:rsidRPr="00E26C8E">
        <w:rPr>
          <w:rFonts w:eastAsia="Times New Roman"/>
          <w:szCs w:val="17"/>
        </w:rPr>
        <w:t xml:space="preserve">In accordance with section 17CA(1) of the </w:t>
      </w:r>
      <w:r w:rsidRPr="00E26C8E">
        <w:rPr>
          <w:rFonts w:eastAsia="Times New Roman"/>
          <w:i/>
          <w:szCs w:val="17"/>
        </w:rPr>
        <w:t>Mining Act 1971</w:t>
      </w:r>
      <w:r w:rsidRPr="00E26C8E">
        <w:rPr>
          <w:rFonts w:eastAsia="Times New Roman"/>
          <w:szCs w:val="17"/>
        </w:rPr>
        <w:t xml:space="preserve"> and regulation 88(2) of the </w:t>
      </w:r>
      <w:r w:rsidRPr="00E26C8E">
        <w:rPr>
          <w:rFonts w:eastAsia="Times New Roman"/>
          <w:i/>
          <w:szCs w:val="17"/>
        </w:rPr>
        <w:t>Mining Regulations 2020</w:t>
      </w:r>
      <w:r w:rsidRPr="00E26C8E">
        <w:rPr>
          <w:rFonts w:eastAsia="Times New Roman"/>
          <w:szCs w:val="17"/>
        </w:rPr>
        <w:t>, this notice will have effect from 1 January 2021.</w:t>
      </w:r>
    </w:p>
    <w:p w:rsidR="00E26C8E" w:rsidRPr="00E26C8E" w:rsidRDefault="00E26C8E" w:rsidP="00E26C8E">
      <w:pPr>
        <w:spacing w:after="0"/>
        <w:rPr>
          <w:rFonts w:eastAsia="Times New Roman"/>
          <w:szCs w:val="17"/>
        </w:rPr>
      </w:pPr>
      <w:r w:rsidRPr="00E26C8E">
        <w:rPr>
          <w:rFonts w:eastAsia="Times New Roman"/>
          <w:szCs w:val="17"/>
        </w:rPr>
        <w:t>Dated: 14 December 2020</w:t>
      </w:r>
    </w:p>
    <w:p w:rsidR="00E26C8E" w:rsidRPr="00E26C8E" w:rsidRDefault="00E26C8E" w:rsidP="00E26C8E">
      <w:pPr>
        <w:spacing w:after="0"/>
        <w:jc w:val="right"/>
        <w:rPr>
          <w:rFonts w:eastAsia="Times New Roman"/>
          <w:smallCaps/>
          <w:szCs w:val="20"/>
        </w:rPr>
      </w:pPr>
      <w:r w:rsidRPr="00E26C8E">
        <w:rPr>
          <w:rFonts w:eastAsia="Times New Roman"/>
          <w:smallCaps/>
          <w:szCs w:val="20"/>
        </w:rPr>
        <w:t>Dr Paul Heithersay</w:t>
      </w:r>
    </w:p>
    <w:p w:rsidR="00E26C8E" w:rsidRPr="00E26C8E" w:rsidRDefault="00E26C8E" w:rsidP="00E26C8E">
      <w:pPr>
        <w:spacing w:after="0"/>
        <w:jc w:val="right"/>
        <w:rPr>
          <w:rFonts w:eastAsia="Times New Roman"/>
          <w:szCs w:val="17"/>
        </w:rPr>
      </w:pPr>
      <w:r w:rsidRPr="00E26C8E">
        <w:rPr>
          <w:rFonts w:eastAsia="Times New Roman"/>
          <w:szCs w:val="17"/>
        </w:rPr>
        <w:t>Director of Mines</w:t>
      </w:r>
    </w:p>
    <w:p w:rsidR="00E26C8E" w:rsidRPr="00E26C8E" w:rsidRDefault="00E26C8E" w:rsidP="00E26C8E">
      <w:pPr>
        <w:pBdr>
          <w:top w:val="single" w:sz="4" w:space="1" w:color="auto"/>
        </w:pBdr>
        <w:spacing w:before="100" w:after="0" w:line="14" w:lineRule="exact"/>
        <w:jc w:val="center"/>
        <w:rPr>
          <w:rFonts w:eastAsia="Times New Roman"/>
          <w:szCs w:val="17"/>
        </w:rPr>
      </w:pPr>
    </w:p>
    <w:p w:rsidR="00E26C8E" w:rsidRPr="00E26C8E" w:rsidRDefault="00E26C8E" w:rsidP="00E26C8E">
      <w:pPr>
        <w:spacing w:after="0"/>
        <w:rPr>
          <w:rFonts w:eastAsia="Times New Roman"/>
          <w:szCs w:val="17"/>
        </w:rPr>
      </w:pPr>
    </w:p>
    <w:p w:rsidR="00E26C8E" w:rsidRPr="00E26C8E" w:rsidRDefault="00E26C8E" w:rsidP="00E26C8E">
      <w:pPr>
        <w:jc w:val="center"/>
        <w:rPr>
          <w:caps/>
          <w:szCs w:val="17"/>
        </w:rPr>
      </w:pPr>
      <w:r w:rsidRPr="00E26C8E">
        <w:rPr>
          <w:caps/>
          <w:szCs w:val="17"/>
        </w:rPr>
        <w:t>Mining Act 1971</w:t>
      </w:r>
    </w:p>
    <w:p w:rsidR="00E26C8E" w:rsidRPr="00E26C8E" w:rsidRDefault="00E26C8E" w:rsidP="005549E6">
      <w:pPr>
        <w:pStyle w:val="GG-Title3"/>
      </w:pPr>
      <w:r w:rsidRPr="00E26C8E">
        <w:t>Notice under Section 17(6)(B)(Ii)(B) of the Mining Act 1971</w:t>
      </w:r>
    </w:p>
    <w:p w:rsidR="00E26C8E" w:rsidRPr="00E26C8E" w:rsidRDefault="00E26C8E" w:rsidP="00E26C8E">
      <w:pPr>
        <w:rPr>
          <w:rFonts w:eastAsia="Times New Roman"/>
          <w:szCs w:val="17"/>
        </w:rPr>
      </w:pPr>
      <w:r w:rsidRPr="00E26C8E">
        <w:rPr>
          <w:rFonts w:eastAsia="Times New Roman"/>
          <w:szCs w:val="17"/>
        </w:rPr>
        <w:t>NOTICE is hereby given in accordance with section 17(6)(b)(ii)(B) of the above Act to revoke the previous notice published under section 17(6)(b)(ii) of the above Act on 11 July 2013 at page 3014.</w:t>
      </w:r>
    </w:p>
    <w:p w:rsidR="00E26C8E" w:rsidRPr="00E26C8E" w:rsidRDefault="00E26C8E" w:rsidP="00E26C8E">
      <w:pPr>
        <w:rPr>
          <w:rFonts w:eastAsia="Times New Roman"/>
          <w:szCs w:val="17"/>
        </w:rPr>
      </w:pPr>
      <w:r w:rsidRPr="00E26C8E">
        <w:rPr>
          <w:rFonts w:eastAsia="Times New Roman"/>
          <w:szCs w:val="17"/>
        </w:rPr>
        <w:t>NOTICE is hereby given in accordance with section 17(6)(b)(ii)(B) of the above Act to declare a method for determining an indicative value for minerals.</w:t>
      </w:r>
    </w:p>
    <w:p w:rsidR="00E26C8E" w:rsidRPr="00E26C8E" w:rsidRDefault="00E26C8E" w:rsidP="00E26C8E">
      <w:pPr>
        <w:rPr>
          <w:rFonts w:eastAsia="Times New Roman"/>
          <w:szCs w:val="17"/>
        </w:rPr>
      </w:pPr>
      <w:r w:rsidRPr="00E26C8E">
        <w:rPr>
          <w:rFonts w:eastAsia="Times New Roman"/>
          <w:szCs w:val="17"/>
        </w:rPr>
        <w:t>TAKE notice that I, Robert Lucas, Treasurer, after consultation with Daniel van Holst Pellekaan, Minister for Energy and Mining, pursuant to section 17(6)(b)(ii)(B) of the above Act do hereby:</w:t>
      </w:r>
    </w:p>
    <w:p w:rsidR="00E26C8E" w:rsidRPr="00E26C8E" w:rsidRDefault="00E26C8E" w:rsidP="00E26C8E">
      <w:pPr>
        <w:ind w:left="142"/>
        <w:rPr>
          <w:rFonts w:eastAsia="Times New Roman"/>
          <w:szCs w:val="17"/>
        </w:rPr>
      </w:pPr>
      <w:r w:rsidRPr="00E26C8E">
        <w:rPr>
          <w:rFonts w:eastAsia="Times New Roman"/>
          <w:szCs w:val="17"/>
        </w:rPr>
        <w:t>DECLARE that where the tenement holder or its Australian domiciled parent entity refines heavy mineral sand concentrate sourced from South Australian mineral land, the amount in Australian currency, of the recoverable refined minerals including but not limited to zircon, ilmenite, rutile, monazite and leucoxene (in which they are first sold to a genuine purchaser at arm’s length) for which payment is made (or is to be made), as set out in genuine invoices relating to the sale, discounted by 30%.</w:t>
      </w:r>
    </w:p>
    <w:p w:rsidR="00E26C8E" w:rsidRPr="00E26C8E" w:rsidRDefault="00E26C8E" w:rsidP="00E26C8E">
      <w:pPr>
        <w:ind w:left="142"/>
        <w:rPr>
          <w:rFonts w:eastAsia="Times New Roman"/>
          <w:szCs w:val="17"/>
        </w:rPr>
      </w:pPr>
      <w:r w:rsidRPr="00E26C8E">
        <w:rPr>
          <w:rFonts w:eastAsia="Times New Roman"/>
          <w:szCs w:val="17"/>
        </w:rPr>
        <w:t>DECLARE that costs of a prescribed kind referred to in sections 17(8) and 17(8a) of the above Act are not permitted to be deducted from the indicative price declared above.</w:t>
      </w:r>
    </w:p>
    <w:p w:rsidR="00E26C8E" w:rsidRPr="00E26C8E" w:rsidRDefault="00E26C8E" w:rsidP="00E26C8E">
      <w:pPr>
        <w:rPr>
          <w:rFonts w:eastAsia="Times New Roman"/>
          <w:szCs w:val="17"/>
        </w:rPr>
      </w:pPr>
      <w:r w:rsidRPr="00E26C8E">
        <w:rPr>
          <w:rFonts w:eastAsia="Times New Roman"/>
          <w:szCs w:val="17"/>
        </w:rPr>
        <w:t xml:space="preserve">In accordance with Section 17(6)(b)(ii)(B) of the </w:t>
      </w:r>
      <w:r w:rsidRPr="00E26C8E">
        <w:rPr>
          <w:rFonts w:eastAsia="Times New Roman"/>
          <w:i/>
          <w:szCs w:val="17"/>
        </w:rPr>
        <w:t>Mining Act 1971</w:t>
      </w:r>
      <w:r w:rsidRPr="00E26C8E">
        <w:rPr>
          <w:rFonts w:eastAsia="Times New Roman"/>
          <w:szCs w:val="17"/>
        </w:rPr>
        <w:t>, this notice will have effect from 1 January 2021.</w:t>
      </w:r>
    </w:p>
    <w:p w:rsidR="00E26C8E" w:rsidRPr="00E26C8E" w:rsidRDefault="00E26C8E" w:rsidP="00E26C8E">
      <w:pPr>
        <w:spacing w:after="0"/>
        <w:rPr>
          <w:rFonts w:eastAsia="Times New Roman"/>
          <w:szCs w:val="17"/>
        </w:rPr>
      </w:pPr>
      <w:r w:rsidRPr="00E26C8E">
        <w:rPr>
          <w:rFonts w:eastAsia="Times New Roman"/>
          <w:szCs w:val="17"/>
        </w:rPr>
        <w:t>Dated: 15 December 2020</w:t>
      </w:r>
    </w:p>
    <w:p w:rsidR="00E26C8E" w:rsidRPr="00E26C8E" w:rsidRDefault="00E26C8E" w:rsidP="00E26C8E">
      <w:pPr>
        <w:spacing w:after="0"/>
        <w:jc w:val="right"/>
        <w:rPr>
          <w:rFonts w:eastAsia="Times New Roman"/>
          <w:smallCaps/>
          <w:szCs w:val="20"/>
        </w:rPr>
      </w:pPr>
      <w:r w:rsidRPr="00E26C8E">
        <w:rPr>
          <w:rFonts w:eastAsia="Times New Roman"/>
          <w:smallCaps/>
          <w:szCs w:val="20"/>
        </w:rPr>
        <w:t>Robert Lucas</w:t>
      </w:r>
    </w:p>
    <w:p w:rsidR="00E26C8E" w:rsidRPr="00E26C8E" w:rsidRDefault="00E26C8E" w:rsidP="00E26C8E">
      <w:pPr>
        <w:spacing w:after="0"/>
        <w:jc w:val="right"/>
        <w:rPr>
          <w:rFonts w:eastAsia="Times New Roman"/>
          <w:szCs w:val="17"/>
        </w:rPr>
      </w:pPr>
      <w:r w:rsidRPr="00E26C8E">
        <w:rPr>
          <w:rFonts w:eastAsia="Times New Roman"/>
          <w:szCs w:val="17"/>
        </w:rPr>
        <w:t>Treasurer</w:t>
      </w:r>
    </w:p>
    <w:p w:rsidR="00E26C8E" w:rsidRPr="00E26C8E" w:rsidRDefault="00E26C8E" w:rsidP="00E26C8E">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ascii="CG Times (W1)" w:eastAsia="Times New Roman" w:hAnsi="CG Times (W1)"/>
          <w:szCs w:val="17"/>
        </w:rPr>
      </w:pPr>
    </w:p>
    <w:p w:rsidR="00E26C8E" w:rsidRPr="00E26C8E" w:rsidRDefault="00E26C8E" w:rsidP="00E26C8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CG Times (W1)" w:eastAsia="Times New Roman" w:hAnsi="CG Times (W1)"/>
          <w:szCs w:val="17"/>
        </w:rPr>
      </w:pPr>
    </w:p>
    <w:p w:rsidR="00E26C8E" w:rsidRPr="00E26C8E" w:rsidRDefault="00E26C8E" w:rsidP="00E26C8E">
      <w:pPr>
        <w:spacing w:after="0" w:line="240" w:lineRule="auto"/>
        <w:jc w:val="left"/>
        <w:rPr>
          <w:caps/>
          <w:szCs w:val="17"/>
        </w:rPr>
      </w:pPr>
      <w:r w:rsidRPr="00E26C8E">
        <w:rPr>
          <w:rFonts w:eastAsia="Times New Roman"/>
          <w:szCs w:val="20"/>
        </w:rPr>
        <w:br w:type="page"/>
      </w:r>
    </w:p>
    <w:p w:rsidR="00E26C8E" w:rsidRPr="00E26C8E" w:rsidRDefault="00E26C8E" w:rsidP="00E26C8E">
      <w:pPr>
        <w:jc w:val="center"/>
        <w:rPr>
          <w:caps/>
          <w:szCs w:val="17"/>
        </w:rPr>
      </w:pPr>
      <w:r w:rsidRPr="00E26C8E">
        <w:rPr>
          <w:caps/>
          <w:szCs w:val="17"/>
        </w:rPr>
        <w:t>Mining Act 1971</w:t>
      </w:r>
    </w:p>
    <w:p w:rsidR="00E26C8E" w:rsidRPr="00E26C8E" w:rsidRDefault="00E26C8E" w:rsidP="005549E6">
      <w:pPr>
        <w:pStyle w:val="GG-Title3"/>
      </w:pPr>
      <w:r w:rsidRPr="00E26C8E">
        <w:t>Notice under Section 17(13) of the Mining Act 1971</w:t>
      </w:r>
    </w:p>
    <w:p w:rsidR="00E26C8E" w:rsidRPr="00E26C8E" w:rsidRDefault="00E26C8E" w:rsidP="00E26C8E">
      <w:pPr>
        <w:rPr>
          <w:rFonts w:eastAsia="Times New Roman"/>
          <w:szCs w:val="17"/>
        </w:rPr>
      </w:pPr>
      <w:r w:rsidRPr="00E26C8E">
        <w:rPr>
          <w:rFonts w:eastAsia="Times New Roman"/>
          <w:szCs w:val="17"/>
        </w:rPr>
        <w:t xml:space="preserve">NOTICE is hereby given in accordance with section 17(13)(b) of the </w:t>
      </w:r>
      <w:r w:rsidRPr="00E26C8E">
        <w:rPr>
          <w:rFonts w:eastAsia="Times New Roman"/>
          <w:i/>
          <w:szCs w:val="17"/>
        </w:rPr>
        <w:t>Mining Act 1971</w:t>
      </w:r>
      <w:r w:rsidRPr="00E26C8E">
        <w:rPr>
          <w:rFonts w:eastAsia="Times New Roman"/>
          <w:szCs w:val="17"/>
        </w:rPr>
        <w:t xml:space="preserve"> to revoke the previous notice published under section 17(13)(a) of the </w:t>
      </w:r>
      <w:r w:rsidRPr="00E26C8E">
        <w:rPr>
          <w:rFonts w:eastAsia="Times New Roman"/>
          <w:i/>
          <w:szCs w:val="17"/>
        </w:rPr>
        <w:t>Mining Act 1971</w:t>
      </w:r>
      <w:r w:rsidRPr="00E26C8E">
        <w:rPr>
          <w:rFonts w:eastAsia="Times New Roman"/>
          <w:szCs w:val="17"/>
        </w:rPr>
        <w:t xml:space="preserve"> on 30 June 2011 at page 2773.</w:t>
      </w:r>
    </w:p>
    <w:p w:rsidR="00E26C8E" w:rsidRPr="00E26C8E" w:rsidRDefault="00E26C8E" w:rsidP="00E26C8E">
      <w:pPr>
        <w:rPr>
          <w:rFonts w:eastAsia="Times New Roman"/>
          <w:szCs w:val="17"/>
        </w:rPr>
      </w:pPr>
      <w:r w:rsidRPr="00E26C8E">
        <w:rPr>
          <w:rFonts w:eastAsia="Times New Roman"/>
          <w:szCs w:val="17"/>
        </w:rPr>
        <w:t xml:space="preserve">NOTICE is hereby given in accordance with section 17(13)(a) of the </w:t>
      </w:r>
      <w:r w:rsidRPr="00E26C8E">
        <w:rPr>
          <w:rFonts w:eastAsia="Times New Roman"/>
          <w:i/>
          <w:szCs w:val="17"/>
        </w:rPr>
        <w:t>Mining Act 1971</w:t>
      </w:r>
      <w:r w:rsidRPr="00E26C8E">
        <w:rPr>
          <w:rFonts w:eastAsia="Times New Roman"/>
          <w:szCs w:val="17"/>
        </w:rPr>
        <w:t xml:space="preserve"> to declare specified types of minerals ores or concentrates to be declared mineral ores and concentrates, specified types of refined mineral products to be declared refined mineral products, and specified types of minerals to be declared industrial mineral or construction materials.</w:t>
      </w:r>
    </w:p>
    <w:p w:rsidR="00E26C8E" w:rsidRPr="00E26C8E" w:rsidRDefault="00E26C8E" w:rsidP="00E26C8E">
      <w:pPr>
        <w:rPr>
          <w:rFonts w:eastAsia="Times New Roman"/>
          <w:szCs w:val="17"/>
        </w:rPr>
      </w:pPr>
      <w:r w:rsidRPr="00E26C8E">
        <w:rPr>
          <w:rFonts w:eastAsia="Times New Roman"/>
          <w:szCs w:val="17"/>
        </w:rPr>
        <w:t xml:space="preserve">TAKE notice that I, Robert Lucas, Treasurer, after consultation with Daniel van Holst Pellekaan, Minister for Energy and Mining, pursuant to section 17(13)(a) of the </w:t>
      </w:r>
      <w:r w:rsidRPr="00E26C8E">
        <w:rPr>
          <w:rFonts w:eastAsia="Times New Roman"/>
          <w:i/>
          <w:szCs w:val="17"/>
        </w:rPr>
        <w:t>Mining Act 1971</w:t>
      </w:r>
      <w:r w:rsidRPr="00E26C8E">
        <w:rPr>
          <w:rFonts w:eastAsia="Times New Roman"/>
          <w:szCs w:val="17"/>
        </w:rPr>
        <w:t xml:space="preserve"> do hereby:</w:t>
      </w:r>
    </w:p>
    <w:p w:rsidR="00E26C8E" w:rsidRPr="00E26C8E" w:rsidRDefault="00E26C8E" w:rsidP="00E26C8E">
      <w:pPr>
        <w:ind w:left="142"/>
        <w:rPr>
          <w:rFonts w:eastAsia="Times New Roman"/>
          <w:szCs w:val="17"/>
        </w:rPr>
      </w:pPr>
      <w:r w:rsidRPr="00E26C8E">
        <w:rPr>
          <w:rFonts w:eastAsia="Times New Roman"/>
          <w:szCs w:val="17"/>
        </w:rPr>
        <w:t xml:space="preserve">DECLARE in accordance with section 17(13)(a)(i) of the </w:t>
      </w:r>
      <w:r w:rsidRPr="00E26C8E">
        <w:rPr>
          <w:rFonts w:eastAsia="Times New Roman"/>
          <w:i/>
          <w:szCs w:val="17"/>
        </w:rPr>
        <w:t>Mining Act 1971</w:t>
      </w:r>
      <w:r w:rsidRPr="00E26C8E">
        <w:rPr>
          <w:rFonts w:eastAsia="Times New Roman"/>
          <w:szCs w:val="17"/>
        </w:rPr>
        <w:t xml:space="preserve"> the following mineral ores and concentrates to be declared mineral ores and concentrates:</w:t>
      </w:r>
    </w:p>
    <w:p w:rsidR="00E26C8E" w:rsidRPr="00E26C8E" w:rsidRDefault="00E26C8E" w:rsidP="00E26C8E">
      <w:pPr>
        <w:ind w:left="567" w:hanging="284"/>
        <w:rPr>
          <w:rFonts w:eastAsia="Times New Roman"/>
          <w:szCs w:val="17"/>
        </w:rPr>
      </w:pPr>
      <w:r w:rsidRPr="00E26C8E">
        <w:rPr>
          <w:rFonts w:eastAsia="Times New Roman"/>
          <w:szCs w:val="17"/>
        </w:rPr>
        <w:t>•</w:t>
      </w:r>
      <w:r w:rsidRPr="00E26C8E">
        <w:rPr>
          <w:rFonts w:eastAsia="Times New Roman"/>
          <w:szCs w:val="17"/>
        </w:rPr>
        <w:tab/>
        <w:t>Iron ore and other iron bearing substances including goethite, hematite lump and fines and magnetite ore, pellet and concentrate</w:t>
      </w:r>
    </w:p>
    <w:p w:rsidR="00E26C8E" w:rsidRPr="00E26C8E" w:rsidRDefault="00E26C8E" w:rsidP="00E26C8E">
      <w:pPr>
        <w:ind w:left="567" w:hanging="284"/>
        <w:rPr>
          <w:rFonts w:eastAsia="Times New Roman"/>
          <w:szCs w:val="17"/>
        </w:rPr>
      </w:pPr>
      <w:r w:rsidRPr="00E26C8E">
        <w:rPr>
          <w:rFonts w:eastAsia="Times New Roman"/>
          <w:szCs w:val="17"/>
        </w:rPr>
        <w:t>•</w:t>
      </w:r>
      <w:r w:rsidRPr="00E26C8E">
        <w:rPr>
          <w:rFonts w:eastAsia="Times New Roman"/>
          <w:szCs w:val="17"/>
        </w:rPr>
        <w:tab/>
        <w:t>Uranium oxide concentrate</w:t>
      </w:r>
    </w:p>
    <w:p w:rsidR="00E26C8E" w:rsidRPr="00E26C8E" w:rsidRDefault="00E26C8E" w:rsidP="00E26C8E">
      <w:pPr>
        <w:ind w:left="567" w:hanging="284"/>
        <w:rPr>
          <w:rFonts w:eastAsia="Times New Roman"/>
          <w:szCs w:val="17"/>
        </w:rPr>
      </w:pPr>
      <w:r w:rsidRPr="00E26C8E">
        <w:rPr>
          <w:rFonts w:eastAsia="Times New Roman"/>
          <w:szCs w:val="17"/>
        </w:rPr>
        <w:t>•</w:t>
      </w:r>
      <w:r w:rsidRPr="00E26C8E">
        <w:rPr>
          <w:rFonts w:eastAsia="Times New Roman"/>
          <w:szCs w:val="17"/>
        </w:rPr>
        <w:tab/>
        <w:t>Heavy mineral sand ores and concentrates</w:t>
      </w:r>
    </w:p>
    <w:p w:rsidR="00E26C8E" w:rsidRPr="00E26C8E" w:rsidRDefault="00E26C8E" w:rsidP="00E26C8E">
      <w:pPr>
        <w:ind w:left="567" w:hanging="284"/>
        <w:rPr>
          <w:rFonts w:eastAsia="Times New Roman"/>
          <w:szCs w:val="17"/>
        </w:rPr>
      </w:pPr>
      <w:r w:rsidRPr="00E26C8E">
        <w:rPr>
          <w:rFonts w:eastAsia="Times New Roman"/>
          <w:szCs w:val="17"/>
        </w:rPr>
        <w:t>•</w:t>
      </w:r>
      <w:r w:rsidRPr="00E26C8E">
        <w:rPr>
          <w:rFonts w:eastAsia="Times New Roman"/>
          <w:szCs w:val="17"/>
        </w:rPr>
        <w:tab/>
        <w:t>Coal including lignite</w:t>
      </w:r>
    </w:p>
    <w:p w:rsidR="00E26C8E" w:rsidRPr="00E26C8E" w:rsidRDefault="00E26C8E" w:rsidP="00E26C8E">
      <w:pPr>
        <w:ind w:left="567" w:hanging="284"/>
        <w:rPr>
          <w:rFonts w:eastAsia="Times New Roman"/>
          <w:spacing w:val="-2"/>
          <w:szCs w:val="17"/>
        </w:rPr>
      </w:pPr>
      <w:r w:rsidRPr="00E26C8E">
        <w:rPr>
          <w:rFonts w:eastAsia="Times New Roman"/>
          <w:szCs w:val="17"/>
        </w:rPr>
        <w:t>•</w:t>
      </w:r>
      <w:r w:rsidRPr="00E26C8E">
        <w:rPr>
          <w:rFonts w:eastAsia="Times New Roman"/>
          <w:szCs w:val="17"/>
        </w:rPr>
        <w:tab/>
      </w:r>
      <w:r w:rsidRPr="00E26C8E">
        <w:rPr>
          <w:rFonts w:eastAsia="Times New Roman"/>
          <w:spacing w:val="-2"/>
          <w:szCs w:val="17"/>
        </w:rPr>
        <w:t>Other metallic mineral ores and concentrates (including concentrates containing copper, uranium, gold, silver, cobalt, molybdenum, rare earth oxides (including mixed rare earth carbonates), manganese, lead and zinc).</w:t>
      </w:r>
    </w:p>
    <w:p w:rsidR="00E26C8E" w:rsidRPr="00E26C8E" w:rsidRDefault="00E26C8E" w:rsidP="00E26C8E">
      <w:pPr>
        <w:ind w:left="142"/>
        <w:rPr>
          <w:rFonts w:eastAsia="Times New Roman"/>
          <w:szCs w:val="17"/>
        </w:rPr>
      </w:pPr>
      <w:r w:rsidRPr="00E26C8E">
        <w:rPr>
          <w:rFonts w:eastAsia="Times New Roman"/>
          <w:szCs w:val="17"/>
        </w:rPr>
        <w:t xml:space="preserve">DECLARE in accordance with section 17(13)(a)(ii) of the </w:t>
      </w:r>
      <w:r w:rsidRPr="00E26C8E">
        <w:rPr>
          <w:rFonts w:eastAsia="Times New Roman"/>
          <w:i/>
          <w:szCs w:val="17"/>
        </w:rPr>
        <w:t>Mining Act 1971</w:t>
      </w:r>
      <w:r w:rsidRPr="00E26C8E">
        <w:rPr>
          <w:rFonts w:eastAsia="Times New Roman"/>
          <w:szCs w:val="17"/>
        </w:rPr>
        <w:t xml:space="preserve"> refined metallic minerals with a metal content of at least 95 percent (including copper, gold, silver, cobalt, lead and zinc) to be declared refined mineral products. A mineral is refined if it is changed to another substance by a process, including, for example, leaching, refining, smelting and solvent extraction electro winning (SX–EW).</w:t>
      </w:r>
    </w:p>
    <w:p w:rsidR="00E26C8E" w:rsidRPr="00E26C8E" w:rsidRDefault="00E26C8E" w:rsidP="00E26C8E">
      <w:pPr>
        <w:ind w:left="142"/>
        <w:rPr>
          <w:rFonts w:eastAsia="Times New Roman"/>
          <w:szCs w:val="17"/>
        </w:rPr>
      </w:pPr>
      <w:r w:rsidRPr="00E26C8E">
        <w:rPr>
          <w:rFonts w:eastAsia="Times New Roman"/>
          <w:szCs w:val="17"/>
        </w:rPr>
        <w:t xml:space="preserve">DECLARE in accordance with section 17(13)(a)(iii) of the </w:t>
      </w:r>
      <w:r w:rsidRPr="00E26C8E">
        <w:rPr>
          <w:rFonts w:eastAsia="Times New Roman"/>
          <w:i/>
          <w:szCs w:val="17"/>
        </w:rPr>
        <w:t>Mining Act 1971</w:t>
      </w:r>
      <w:r w:rsidRPr="00E26C8E">
        <w:rPr>
          <w:rFonts w:eastAsia="Times New Roman"/>
          <w:szCs w:val="17"/>
        </w:rPr>
        <w:t xml:space="preserve"> the following types of minerals to be declared industrial minerals or construction materials:</w:t>
      </w:r>
    </w:p>
    <w:p w:rsidR="00E26C8E" w:rsidRPr="00E26C8E" w:rsidRDefault="00E26C8E" w:rsidP="00E26C8E">
      <w:pPr>
        <w:ind w:left="567" w:hanging="284"/>
        <w:rPr>
          <w:rFonts w:eastAsia="Times New Roman"/>
          <w:szCs w:val="17"/>
        </w:rPr>
      </w:pPr>
      <w:r w:rsidRPr="00E26C8E">
        <w:rPr>
          <w:rFonts w:eastAsia="Times New Roman"/>
          <w:szCs w:val="17"/>
        </w:rPr>
        <w:t>•</w:t>
      </w:r>
      <w:r w:rsidRPr="00E26C8E">
        <w:rPr>
          <w:rFonts w:eastAsia="Times New Roman"/>
          <w:szCs w:val="17"/>
        </w:rPr>
        <w:tab/>
        <w:t>Alunite</w:t>
      </w:r>
    </w:p>
    <w:p w:rsidR="00E26C8E" w:rsidRPr="00E26C8E" w:rsidRDefault="00E26C8E" w:rsidP="00E26C8E">
      <w:pPr>
        <w:ind w:left="567" w:hanging="284"/>
        <w:rPr>
          <w:rFonts w:eastAsia="Times New Roman"/>
          <w:szCs w:val="17"/>
        </w:rPr>
      </w:pPr>
      <w:r w:rsidRPr="00E26C8E">
        <w:rPr>
          <w:rFonts w:eastAsia="Times New Roman"/>
          <w:szCs w:val="17"/>
        </w:rPr>
        <w:t>•</w:t>
      </w:r>
      <w:r w:rsidRPr="00E26C8E">
        <w:rPr>
          <w:rFonts w:eastAsia="Times New Roman"/>
          <w:szCs w:val="17"/>
        </w:rPr>
        <w:tab/>
        <w:t>Andalusite</w:t>
      </w:r>
    </w:p>
    <w:p w:rsidR="00E26C8E" w:rsidRPr="00E26C8E" w:rsidRDefault="00E26C8E" w:rsidP="00E26C8E">
      <w:pPr>
        <w:ind w:left="567" w:hanging="284"/>
        <w:rPr>
          <w:rFonts w:eastAsia="Times New Roman"/>
          <w:szCs w:val="17"/>
        </w:rPr>
      </w:pPr>
      <w:r w:rsidRPr="00E26C8E">
        <w:rPr>
          <w:rFonts w:eastAsia="Times New Roman"/>
          <w:szCs w:val="17"/>
        </w:rPr>
        <w:t>•</w:t>
      </w:r>
      <w:r w:rsidRPr="00E26C8E">
        <w:rPr>
          <w:rFonts w:eastAsia="Times New Roman"/>
          <w:szCs w:val="17"/>
        </w:rPr>
        <w:tab/>
        <w:t>Barite</w:t>
      </w:r>
    </w:p>
    <w:p w:rsidR="00E26C8E" w:rsidRPr="00E26C8E" w:rsidRDefault="00E26C8E" w:rsidP="00E26C8E">
      <w:pPr>
        <w:ind w:left="567" w:hanging="284"/>
        <w:rPr>
          <w:rFonts w:eastAsia="Times New Roman"/>
          <w:szCs w:val="17"/>
        </w:rPr>
      </w:pPr>
      <w:r w:rsidRPr="00E26C8E">
        <w:rPr>
          <w:rFonts w:eastAsia="Times New Roman"/>
          <w:szCs w:val="17"/>
        </w:rPr>
        <w:t>•</w:t>
      </w:r>
      <w:r w:rsidRPr="00E26C8E">
        <w:rPr>
          <w:rFonts w:eastAsia="Times New Roman"/>
          <w:szCs w:val="17"/>
        </w:rPr>
        <w:tab/>
        <w:t>Bentonite</w:t>
      </w:r>
    </w:p>
    <w:p w:rsidR="00E26C8E" w:rsidRPr="00E26C8E" w:rsidRDefault="00E26C8E" w:rsidP="00E26C8E">
      <w:pPr>
        <w:ind w:left="567" w:hanging="284"/>
        <w:rPr>
          <w:rFonts w:eastAsia="Times New Roman"/>
          <w:szCs w:val="17"/>
        </w:rPr>
      </w:pPr>
      <w:r w:rsidRPr="00E26C8E">
        <w:rPr>
          <w:rFonts w:eastAsia="Times New Roman"/>
          <w:szCs w:val="17"/>
        </w:rPr>
        <w:t>•</w:t>
      </w:r>
      <w:r w:rsidRPr="00E26C8E">
        <w:rPr>
          <w:rFonts w:eastAsia="Times New Roman"/>
          <w:szCs w:val="17"/>
        </w:rPr>
        <w:tab/>
        <w:t>Cassiterite</w:t>
      </w:r>
    </w:p>
    <w:p w:rsidR="00E26C8E" w:rsidRPr="00E26C8E" w:rsidRDefault="00E26C8E" w:rsidP="00E26C8E">
      <w:pPr>
        <w:ind w:left="567" w:hanging="284"/>
        <w:rPr>
          <w:rFonts w:eastAsia="Times New Roman"/>
          <w:szCs w:val="17"/>
        </w:rPr>
      </w:pPr>
      <w:r w:rsidRPr="00E26C8E">
        <w:rPr>
          <w:rFonts w:eastAsia="Times New Roman"/>
          <w:szCs w:val="17"/>
        </w:rPr>
        <w:t>•</w:t>
      </w:r>
      <w:r w:rsidRPr="00E26C8E">
        <w:rPr>
          <w:rFonts w:eastAsia="Times New Roman"/>
          <w:szCs w:val="17"/>
        </w:rPr>
        <w:tab/>
        <w:t>Celestite</w:t>
      </w:r>
    </w:p>
    <w:p w:rsidR="00E26C8E" w:rsidRPr="00E26C8E" w:rsidRDefault="00E26C8E" w:rsidP="00E26C8E">
      <w:pPr>
        <w:ind w:left="567" w:hanging="284"/>
        <w:rPr>
          <w:rFonts w:eastAsia="Times New Roman"/>
          <w:szCs w:val="17"/>
        </w:rPr>
      </w:pPr>
      <w:r w:rsidRPr="00E26C8E">
        <w:rPr>
          <w:rFonts w:eastAsia="Times New Roman"/>
          <w:szCs w:val="17"/>
        </w:rPr>
        <w:t>•</w:t>
      </w:r>
      <w:r w:rsidRPr="00E26C8E">
        <w:rPr>
          <w:rFonts w:eastAsia="Times New Roman"/>
          <w:szCs w:val="17"/>
        </w:rPr>
        <w:tab/>
        <w:t>Cement Shale</w:t>
      </w:r>
    </w:p>
    <w:p w:rsidR="00E26C8E" w:rsidRPr="00E26C8E" w:rsidRDefault="00E26C8E" w:rsidP="00E26C8E">
      <w:pPr>
        <w:ind w:left="567" w:hanging="284"/>
        <w:rPr>
          <w:rFonts w:eastAsia="Times New Roman"/>
          <w:szCs w:val="17"/>
        </w:rPr>
      </w:pPr>
      <w:r w:rsidRPr="00E26C8E">
        <w:rPr>
          <w:rFonts w:eastAsia="Times New Roman"/>
          <w:szCs w:val="17"/>
        </w:rPr>
        <w:t>•</w:t>
      </w:r>
      <w:r w:rsidRPr="00E26C8E">
        <w:rPr>
          <w:rFonts w:eastAsia="Times New Roman"/>
          <w:szCs w:val="17"/>
        </w:rPr>
        <w:tab/>
        <w:t>Diamond</w:t>
      </w:r>
    </w:p>
    <w:p w:rsidR="00E26C8E" w:rsidRPr="00E26C8E" w:rsidRDefault="00E26C8E" w:rsidP="00E26C8E">
      <w:pPr>
        <w:ind w:left="567" w:hanging="284"/>
        <w:rPr>
          <w:rFonts w:eastAsia="Times New Roman"/>
          <w:szCs w:val="17"/>
        </w:rPr>
      </w:pPr>
      <w:r w:rsidRPr="00E26C8E">
        <w:rPr>
          <w:rFonts w:eastAsia="Times New Roman"/>
          <w:szCs w:val="17"/>
        </w:rPr>
        <w:t>•</w:t>
      </w:r>
      <w:r w:rsidRPr="00E26C8E">
        <w:rPr>
          <w:rFonts w:eastAsia="Times New Roman"/>
          <w:szCs w:val="17"/>
        </w:rPr>
        <w:tab/>
        <w:t>Diatomite</w:t>
      </w:r>
    </w:p>
    <w:p w:rsidR="00E26C8E" w:rsidRPr="00E26C8E" w:rsidRDefault="00E26C8E" w:rsidP="00E26C8E">
      <w:pPr>
        <w:ind w:left="567" w:hanging="284"/>
        <w:rPr>
          <w:rFonts w:eastAsia="Times New Roman"/>
          <w:szCs w:val="17"/>
        </w:rPr>
      </w:pPr>
      <w:r w:rsidRPr="00E26C8E">
        <w:rPr>
          <w:rFonts w:eastAsia="Times New Roman"/>
          <w:szCs w:val="17"/>
        </w:rPr>
        <w:t>•</w:t>
      </w:r>
      <w:r w:rsidRPr="00E26C8E">
        <w:rPr>
          <w:rFonts w:eastAsia="Times New Roman"/>
          <w:szCs w:val="17"/>
        </w:rPr>
        <w:tab/>
        <w:t>Feldspar</w:t>
      </w:r>
    </w:p>
    <w:p w:rsidR="00E26C8E" w:rsidRPr="00E26C8E" w:rsidRDefault="00E26C8E" w:rsidP="00E26C8E">
      <w:pPr>
        <w:ind w:left="567" w:hanging="284"/>
        <w:rPr>
          <w:rFonts w:eastAsia="Times New Roman"/>
          <w:szCs w:val="17"/>
        </w:rPr>
      </w:pPr>
      <w:r w:rsidRPr="00E26C8E">
        <w:rPr>
          <w:rFonts w:eastAsia="Times New Roman"/>
          <w:szCs w:val="17"/>
        </w:rPr>
        <w:t>•</w:t>
      </w:r>
      <w:r w:rsidRPr="00E26C8E">
        <w:rPr>
          <w:rFonts w:eastAsia="Times New Roman"/>
          <w:szCs w:val="17"/>
        </w:rPr>
        <w:tab/>
        <w:t>Fire clay</w:t>
      </w:r>
    </w:p>
    <w:p w:rsidR="00E26C8E" w:rsidRPr="00E26C8E" w:rsidRDefault="00E26C8E" w:rsidP="00E26C8E">
      <w:pPr>
        <w:ind w:left="567" w:hanging="284"/>
        <w:rPr>
          <w:rFonts w:eastAsia="Times New Roman"/>
          <w:szCs w:val="17"/>
        </w:rPr>
      </w:pPr>
      <w:r w:rsidRPr="00E26C8E">
        <w:rPr>
          <w:rFonts w:eastAsia="Times New Roman"/>
          <w:szCs w:val="17"/>
        </w:rPr>
        <w:t>•</w:t>
      </w:r>
      <w:r w:rsidRPr="00E26C8E">
        <w:rPr>
          <w:rFonts w:eastAsia="Times New Roman"/>
          <w:szCs w:val="17"/>
        </w:rPr>
        <w:tab/>
        <w:t>Garnet</w:t>
      </w:r>
    </w:p>
    <w:p w:rsidR="00E26C8E" w:rsidRPr="00E26C8E" w:rsidRDefault="00E26C8E" w:rsidP="00E26C8E">
      <w:pPr>
        <w:ind w:left="567" w:hanging="284"/>
        <w:rPr>
          <w:rFonts w:eastAsia="Times New Roman"/>
          <w:szCs w:val="17"/>
        </w:rPr>
      </w:pPr>
      <w:r w:rsidRPr="00E26C8E">
        <w:rPr>
          <w:rFonts w:eastAsia="Times New Roman"/>
          <w:szCs w:val="17"/>
        </w:rPr>
        <w:t>•</w:t>
      </w:r>
      <w:r w:rsidRPr="00E26C8E">
        <w:rPr>
          <w:rFonts w:eastAsia="Times New Roman"/>
          <w:szCs w:val="17"/>
        </w:rPr>
        <w:tab/>
        <w:t>Graphite</w:t>
      </w:r>
    </w:p>
    <w:p w:rsidR="00E26C8E" w:rsidRPr="00E26C8E" w:rsidRDefault="00E26C8E" w:rsidP="00E26C8E">
      <w:pPr>
        <w:ind w:left="567" w:hanging="284"/>
        <w:rPr>
          <w:rFonts w:eastAsia="Times New Roman"/>
          <w:szCs w:val="17"/>
        </w:rPr>
      </w:pPr>
      <w:r w:rsidRPr="00E26C8E">
        <w:rPr>
          <w:rFonts w:eastAsia="Times New Roman"/>
          <w:szCs w:val="17"/>
        </w:rPr>
        <w:t>•</w:t>
      </w:r>
      <w:r w:rsidRPr="00E26C8E">
        <w:rPr>
          <w:rFonts w:eastAsia="Times New Roman"/>
          <w:szCs w:val="17"/>
        </w:rPr>
        <w:tab/>
        <w:t>Gypsum</w:t>
      </w:r>
    </w:p>
    <w:p w:rsidR="00E26C8E" w:rsidRPr="00E26C8E" w:rsidRDefault="00E26C8E" w:rsidP="00E26C8E">
      <w:pPr>
        <w:ind w:left="567" w:hanging="284"/>
        <w:rPr>
          <w:rFonts w:eastAsia="Times New Roman"/>
          <w:szCs w:val="17"/>
        </w:rPr>
      </w:pPr>
      <w:r w:rsidRPr="00E26C8E">
        <w:rPr>
          <w:rFonts w:eastAsia="Times New Roman"/>
          <w:szCs w:val="17"/>
        </w:rPr>
        <w:t>•</w:t>
      </w:r>
      <w:r w:rsidRPr="00E26C8E">
        <w:rPr>
          <w:rFonts w:eastAsia="Times New Roman"/>
          <w:szCs w:val="17"/>
        </w:rPr>
        <w:tab/>
        <w:t>Ilmenite</w:t>
      </w:r>
    </w:p>
    <w:p w:rsidR="00E26C8E" w:rsidRPr="00E26C8E" w:rsidRDefault="00E26C8E" w:rsidP="00E26C8E">
      <w:pPr>
        <w:ind w:left="567" w:hanging="284"/>
        <w:rPr>
          <w:rFonts w:eastAsia="Times New Roman"/>
          <w:szCs w:val="17"/>
        </w:rPr>
      </w:pPr>
      <w:r w:rsidRPr="00E26C8E">
        <w:rPr>
          <w:rFonts w:eastAsia="Times New Roman"/>
          <w:szCs w:val="17"/>
        </w:rPr>
        <w:t>•</w:t>
      </w:r>
      <w:r w:rsidRPr="00E26C8E">
        <w:rPr>
          <w:rFonts w:eastAsia="Times New Roman"/>
          <w:szCs w:val="17"/>
        </w:rPr>
        <w:tab/>
        <w:t>Kaolin (including Halloysite)</w:t>
      </w:r>
    </w:p>
    <w:p w:rsidR="00E26C8E" w:rsidRPr="00E26C8E" w:rsidRDefault="00E26C8E" w:rsidP="00E26C8E">
      <w:pPr>
        <w:ind w:left="567" w:hanging="284"/>
        <w:rPr>
          <w:rFonts w:eastAsia="Times New Roman"/>
          <w:szCs w:val="17"/>
        </w:rPr>
      </w:pPr>
      <w:r w:rsidRPr="00E26C8E">
        <w:rPr>
          <w:rFonts w:eastAsia="Times New Roman"/>
          <w:szCs w:val="17"/>
        </w:rPr>
        <w:t>•</w:t>
      </w:r>
      <w:r w:rsidRPr="00E26C8E">
        <w:rPr>
          <w:rFonts w:eastAsia="Times New Roman"/>
          <w:szCs w:val="17"/>
        </w:rPr>
        <w:tab/>
        <w:t>Kyanite</w:t>
      </w:r>
    </w:p>
    <w:p w:rsidR="00E26C8E" w:rsidRPr="00E26C8E" w:rsidRDefault="00E26C8E" w:rsidP="00E26C8E">
      <w:pPr>
        <w:ind w:left="567" w:hanging="284"/>
        <w:rPr>
          <w:rFonts w:eastAsia="Times New Roman"/>
          <w:szCs w:val="17"/>
        </w:rPr>
      </w:pPr>
      <w:r w:rsidRPr="00E26C8E">
        <w:rPr>
          <w:rFonts w:eastAsia="Times New Roman"/>
          <w:szCs w:val="17"/>
        </w:rPr>
        <w:t>•</w:t>
      </w:r>
      <w:r w:rsidRPr="00E26C8E">
        <w:rPr>
          <w:rFonts w:eastAsia="Times New Roman"/>
          <w:szCs w:val="17"/>
        </w:rPr>
        <w:tab/>
        <w:t>Leucoxene</w:t>
      </w:r>
    </w:p>
    <w:p w:rsidR="00E26C8E" w:rsidRPr="00E26C8E" w:rsidRDefault="00E26C8E" w:rsidP="00E26C8E">
      <w:pPr>
        <w:ind w:left="567" w:hanging="284"/>
        <w:rPr>
          <w:rFonts w:eastAsia="Times New Roman"/>
          <w:szCs w:val="17"/>
        </w:rPr>
      </w:pPr>
      <w:r w:rsidRPr="00E26C8E">
        <w:rPr>
          <w:rFonts w:eastAsia="Times New Roman"/>
          <w:szCs w:val="17"/>
        </w:rPr>
        <w:t>•</w:t>
      </w:r>
      <w:r w:rsidRPr="00E26C8E">
        <w:rPr>
          <w:rFonts w:eastAsia="Times New Roman"/>
          <w:szCs w:val="17"/>
        </w:rPr>
        <w:tab/>
        <w:t>Lime Sand</w:t>
      </w:r>
    </w:p>
    <w:p w:rsidR="00E26C8E" w:rsidRPr="00E26C8E" w:rsidRDefault="00E26C8E" w:rsidP="00E26C8E">
      <w:pPr>
        <w:ind w:left="567" w:hanging="284"/>
        <w:rPr>
          <w:rFonts w:eastAsia="Times New Roman"/>
          <w:szCs w:val="17"/>
        </w:rPr>
      </w:pPr>
      <w:r w:rsidRPr="00E26C8E">
        <w:rPr>
          <w:rFonts w:eastAsia="Times New Roman"/>
          <w:szCs w:val="17"/>
        </w:rPr>
        <w:t>•</w:t>
      </w:r>
      <w:r w:rsidRPr="00E26C8E">
        <w:rPr>
          <w:rFonts w:eastAsia="Times New Roman"/>
          <w:szCs w:val="17"/>
        </w:rPr>
        <w:tab/>
        <w:t>Magnesite</w:t>
      </w:r>
    </w:p>
    <w:p w:rsidR="00E26C8E" w:rsidRPr="00E26C8E" w:rsidRDefault="00E26C8E" w:rsidP="00E26C8E">
      <w:pPr>
        <w:ind w:left="567" w:hanging="284"/>
        <w:rPr>
          <w:rFonts w:eastAsia="Times New Roman"/>
          <w:szCs w:val="17"/>
        </w:rPr>
      </w:pPr>
      <w:r w:rsidRPr="00E26C8E">
        <w:rPr>
          <w:rFonts w:eastAsia="Times New Roman"/>
          <w:szCs w:val="17"/>
        </w:rPr>
        <w:t>•</w:t>
      </w:r>
      <w:r w:rsidRPr="00E26C8E">
        <w:rPr>
          <w:rFonts w:eastAsia="Times New Roman"/>
          <w:szCs w:val="17"/>
        </w:rPr>
        <w:tab/>
        <w:t>Mica</w:t>
      </w:r>
    </w:p>
    <w:p w:rsidR="00E26C8E" w:rsidRPr="00E26C8E" w:rsidRDefault="00E26C8E" w:rsidP="00E26C8E">
      <w:pPr>
        <w:ind w:left="567" w:hanging="284"/>
        <w:rPr>
          <w:rFonts w:eastAsia="Times New Roman"/>
          <w:szCs w:val="17"/>
        </w:rPr>
      </w:pPr>
      <w:r w:rsidRPr="00E26C8E">
        <w:rPr>
          <w:rFonts w:eastAsia="Times New Roman"/>
          <w:szCs w:val="17"/>
        </w:rPr>
        <w:t>•</w:t>
      </w:r>
      <w:r w:rsidRPr="00E26C8E">
        <w:rPr>
          <w:rFonts w:eastAsia="Times New Roman"/>
          <w:szCs w:val="17"/>
        </w:rPr>
        <w:tab/>
        <w:t>Micaceous Hematite</w:t>
      </w:r>
    </w:p>
    <w:p w:rsidR="00E26C8E" w:rsidRPr="00E26C8E" w:rsidRDefault="00E26C8E" w:rsidP="00E26C8E">
      <w:pPr>
        <w:ind w:left="567" w:hanging="284"/>
        <w:rPr>
          <w:rFonts w:eastAsia="Times New Roman"/>
          <w:szCs w:val="17"/>
        </w:rPr>
      </w:pPr>
      <w:r w:rsidRPr="00E26C8E">
        <w:rPr>
          <w:rFonts w:eastAsia="Times New Roman"/>
          <w:szCs w:val="17"/>
        </w:rPr>
        <w:t>•</w:t>
      </w:r>
      <w:r w:rsidRPr="00E26C8E">
        <w:rPr>
          <w:rFonts w:eastAsia="Times New Roman"/>
          <w:szCs w:val="17"/>
        </w:rPr>
        <w:tab/>
        <w:t>Monazite</w:t>
      </w:r>
    </w:p>
    <w:p w:rsidR="00E26C8E" w:rsidRPr="00E26C8E" w:rsidRDefault="00E26C8E" w:rsidP="00E26C8E">
      <w:pPr>
        <w:ind w:left="567" w:hanging="284"/>
        <w:rPr>
          <w:rFonts w:eastAsia="Times New Roman"/>
          <w:szCs w:val="17"/>
        </w:rPr>
      </w:pPr>
      <w:r w:rsidRPr="00E26C8E">
        <w:rPr>
          <w:rFonts w:eastAsia="Times New Roman"/>
          <w:szCs w:val="17"/>
        </w:rPr>
        <w:t>•</w:t>
      </w:r>
      <w:r w:rsidRPr="00E26C8E">
        <w:rPr>
          <w:rFonts w:eastAsia="Times New Roman"/>
          <w:szCs w:val="17"/>
        </w:rPr>
        <w:tab/>
        <w:t>Palygorskite</w:t>
      </w:r>
    </w:p>
    <w:p w:rsidR="00E26C8E" w:rsidRPr="00E26C8E" w:rsidRDefault="00E26C8E" w:rsidP="00E26C8E">
      <w:pPr>
        <w:ind w:left="567" w:hanging="284"/>
        <w:rPr>
          <w:rFonts w:eastAsia="Times New Roman"/>
          <w:szCs w:val="17"/>
        </w:rPr>
      </w:pPr>
      <w:r w:rsidRPr="00E26C8E">
        <w:rPr>
          <w:rFonts w:eastAsia="Times New Roman"/>
          <w:szCs w:val="17"/>
        </w:rPr>
        <w:t>•</w:t>
      </w:r>
      <w:r w:rsidRPr="00E26C8E">
        <w:rPr>
          <w:rFonts w:eastAsia="Times New Roman"/>
          <w:szCs w:val="17"/>
        </w:rPr>
        <w:tab/>
        <w:t>Peat</w:t>
      </w:r>
    </w:p>
    <w:p w:rsidR="00E26C8E" w:rsidRPr="00E26C8E" w:rsidRDefault="00E26C8E" w:rsidP="00E26C8E">
      <w:pPr>
        <w:ind w:left="567" w:hanging="284"/>
        <w:rPr>
          <w:rFonts w:eastAsia="Times New Roman"/>
          <w:szCs w:val="17"/>
        </w:rPr>
      </w:pPr>
      <w:r w:rsidRPr="00E26C8E">
        <w:rPr>
          <w:rFonts w:eastAsia="Times New Roman"/>
          <w:szCs w:val="17"/>
        </w:rPr>
        <w:t>•</w:t>
      </w:r>
      <w:r w:rsidRPr="00E26C8E">
        <w:rPr>
          <w:rFonts w:eastAsia="Times New Roman"/>
          <w:szCs w:val="17"/>
        </w:rPr>
        <w:tab/>
        <w:t>Phosphate</w:t>
      </w:r>
    </w:p>
    <w:p w:rsidR="00E26C8E" w:rsidRPr="00E26C8E" w:rsidRDefault="00E26C8E" w:rsidP="00E26C8E">
      <w:pPr>
        <w:ind w:left="567" w:hanging="284"/>
        <w:rPr>
          <w:rFonts w:eastAsia="Times New Roman"/>
          <w:szCs w:val="17"/>
        </w:rPr>
      </w:pPr>
      <w:r w:rsidRPr="00E26C8E">
        <w:rPr>
          <w:rFonts w:eastAsia="Times New Roman"/>
          <w:szCs w:val="17"/>
        </w:rPr>
        <w:t>•</w:t>
      </w:r>
      <w:r w:rsidRPr="00E26C8E">
        <w:rPr>
          <w:rFonts w:eastAsia="Times New Roman"/>
          <w:szCs w:val="17"/>
        </w:rPr>
        <w:tab/>
        <w:t>Potash</w:t>
      </w:r>
    </w:p>
    <w:p w:rsidR="00E26C8E" w:rsidRPr="00E26C8E" w:rsidRDefault="00E26C8E" w:rsidP="00E26C8E">
      <w:pPr>
        <w:ind w:left="567" w:hanging="284"/>
        <w:rPr>
          <w:rFonts w:eastAsia="Times New Roman"/>
          <w:szCs w:val="17"/>
        </w:rPr>
      </w:pPr>
      <w:r w:rsidRPr="00E26C8E">
        <w:rPr>
          <w:rFonts w:eastAsia="Times New Roman"/>
          <w:szCs w:val="17"/>
        </w:rPr>
        <w:t>•</w:t>
      </w:r>
      <w:r w:rsidRPr="00E26C8E">
        <w:rPr>
          <w:rFonts w:eastAsia="Times New Roman"/>
          <w:szCs w:val="17"/>
        </w:rPr>
        <w:tab/>
        <w:t>Proppant Sand</w:t>
      </w:r>
    </w:p>
    <w:p w:rsidR="00E26C8E" w:rsidRPr="00E26C8E" w:rsidRDefault="00E26C8E" w:rsidP="00E26C8E">
      <w:pPr>
        <w:ind w:left="567" w:hanging="284"/>
        <w:rPr>
          <w:rFonts w:eastAsia="Times New Roman"/>
          <w:szCs w:val="17"/>
        </w:rPr>
      </w:pPr>
      <w:r w:rsidRPr="00E26C8E">
        <w:rPr>
          <w:rFonts w:eastAsia="Times New Roman"/>
          <w:szCs w:val="17"/>
        </w:rPr>
        <w:t>•</w:t>
      </w:r>
      <w:r w:rsidRPr="00E26C8E">
        <w:rPr>
          <w:rFonts w:eastAsia="Times New Roman"/>
          <w:szCs w:val="17"/>
        </w:rPr>
        <w:tab/>
        <w:t>Pyrite</w:t>
      </w:r>
    </w:p>
    <w:p w:rsidR="00E26C8E" w:rsidRPr="00E26C8E" w:rsidRDefault="00E26C8E" w:rsidP="00E26C8E">
      <w:pPr>
        <w:ind w:left="567" w:hanging="284"/>
        <w:rPr>
          <w:rFonts w:eastAsia="Times New Roman"/>
          <w:szCs w:val="17"/>
        </w:rPr>
      </w:pPr>
      <w:r w:rsidRPr="00E26C8E">
        <w:rPr>
          <w:rFonts w:eastAsia="Times New Roman"/>
          <w:szCs w:val="17"/>
        </w:rPr>
        <w:t>•</w:t>
      </w:r>
      <w:r w:rsidRPr="00E26C8E">
        <w:rPr>
          <w:rFonts w:eastAsia="Times New Roman"/>
          <w:szCs w:val="17"/>
        </w:rPr>
        <w:tab/>
        <w:t>Rutile (including Anatase)</w:t>
      </w:r>
    </w:p>
    <w:p w:rsidR="00E26C8E" w:rsidRPr="00E26C8E" w:rsidRDefault="00E26C8E" w:rsidP="00E26C8E">
      <w:pPr>
        <w:ind w:left="567" w:hanging="284"/>
        <w:rPr>
          <w:rFonts w:eastAsia="Times New Roman"/>
          <w:szCs w:val="17"/>
        </w:rPr>
      </w:pPr>
      <w:r w:rsidRPr="00E26C8E">
        <w:rPr>
          <w:rFonts w:eastAsia="Times New Roman"/>
          <w:szCs w:val="17"/>
        </w:rPr>
        <w:t>•</w:t>
      </w:r>
      <w:r w:rsidRPr="00E26C8E">
        <w:rPr>
          <w:rFonts w:eastAsia="Times New Roman"/>
          <w:szCs w:val="17"/>
        </w:rPr>
        <w:tab/>
        <w:t>Salt</w:t>
      </w:r>
    </w:p>
    <w:p w:rsidR="00E26C8E" w:rsidRPr="00E26C8E" w:rsidRDefault="00E26C8E" w:rsidP="00E26C8E">
      <w:pPr>
        <w:ind w:left="567" w:hanging="284"/>
        <w:rPr>
          <w:rFonts w:eastAsia="Times New Roman"/>
          <w:szCs w:val="17"/>
        </w:rPr>
      </w:pPr>
      <w:r w:rsidRPr="00E26C8E">
        <w:rPr>
          <w:rFonts w:eastAsia="Times New Roman"/>
          <w:szCs w:val="17"/>
        </w:rPr>
        <w:t>•</w:t>
      </w:r>
      <w:r w:rsidRPr="00E26C8E">
        <w:rPr>
          <w:rFonts w:eastAsia="Times New Roman"/>
          <w:szCs w:val="17"/>
        </w:rPr>
        <w:tab/>
        <w:t xml:space="preserve">Silica </w:t>
      </w:r>
    </w:p>
    <w:p w:rsidR="00E26C8E" w:rsidRPr="00E26C8E" w:rsidRDefault="00E26C8E" w:rsidP="00E26C8E">
      <w:pPr>
        <w:ind w:left="567" w:hanging="284"/>
        <w:rPr>
          <w:rFonts w:eastAsia="Times New Roman"/>
          <w:szCs w:val="17"/>
        </w:rPr>
      </w:pPr>
      <w:r w:rsidRPr="00E26C8E">
        <w:rPr>
          <w:rFonts w:eastAsia="Times New Roman"/>
          <w:szCs w:val="17"/>
        </w:rPr>
        <w:t>•</w:t>
      </w:r>
      <w:r w:rsidRPr="00E26C8E">
        <w:rPr>
          <w:rFonts w:eastAsia="Times New Roman"/>
          <w:szCs w:val="17"/>
        </w:rPr>
        <w:tab/>
        <w:t>Silica Crystals</w:t>
      </w:r>
    </w:p>
    <w:p w:rsidR="00E26C8E" w:rsidRPr="00E26C8E" w:rsidRDefault="00E26C8E" w:rsidP="00E26C8E">
      <w:pPr>
        <w:ind w:left="567" w:hanging="284"/>
        <w:rPr>
          <w:rFonts w:eastAsia="Times New Roman"/>
          <w:szCs w:val="17"/>
        </w:rPr>
      </w:pPr>
      <w:r w:rsidRPr="00E26C8E">
        <w:rPr>
          <w:rFonts w:eastAsia="Times New Roman"/>
          <w:szCs w:val="17"/>
        </w:rPr>
        <w:t>•</w:t>
      </w:r>
      <w:r w:rsidRPr="00E26C8E">
        <w:rPr>
          <w:rFonts w:eastAsia="Times New Roman"/>
          <w:szCs w:val="17"/>
        </w:rPr>
        <w:tab/>
        <w:t>Silica Sand</w:t>
      </w:r>
    </w:p>
    <w:p w:rsidR="00E26C8E" w:rsidRPr="00E26C8E" w:rsidRDefault="00E26C8E" w:rsidP="00E26C8E">
      <w:pPr>
        <w:ind w:left="567" w:hanging="284"/>
        <w:rPr>
          <w:rFonts w:eastAsia="Times New Roman"/>
          <w:szCs w:val="17"/>
        </w:rPr>
      </w:pPr>
      <w:r w:rsidRPr="00E26C8E">
        <w:rPr>
          <w:rFonts w:eastAsia="Times New Roman"/>
          <w:szCs w:val="17"/>
        </w:rPr>
        <w:t>•</w:t>
      </w:r>
      <w:r w:rsidRPr="00E26C8E">
        <w:rPr>
          <w:rFonts w:eastAsia="Times New Roman"/>
          <w:szCs w:val="17"/>
        </w:rPr>
        <w:tab/>
        <w:t>Sillimanite</w:t>
      </w:r>
    </w:p>
    <w:p w:rsidR="00E26C8E" w:rsidRPr="00E26C8E" w:rsidRDefault="00E26C8E" w:rsidP="00E26C8E">
      <w:pPr>
        <w:ind w:left="567" w:hanging="284"/>
        <w:rPr>
          <w:rFonts w:eastAsia="Times New Roman"/>
          <w:szCs w:val="17"/>
        </w:rPr>
      </w:pPr>
      <w:r w:rsidRPr="00E26C8E">
        <w:rPr>
          <w:rFonts w:eastAsia="Times New Roman"/>
          <w:szCs w:val="17"/>
        </w:rPr>
        <w:t>•</w:t>
      </w:r>
      <w:r w:rsidRPr="00E26C8E">
        <w:rPr>
          <w:rFonts w:eastAsia="Times New Roman"/>
          <w:szCs w:val="17"/>
        </w:rPr>
        <w:tab/>
        <w:t>Talc</w:t>
      </w:r>
    </w:p>
    <w:p w:rsidR="00E26C8E" w:rsidRPr="00E26C8E" w:rsidRDefault="00E26C8E" w:rsidP="00E26C8E">
      <w:pPr>
        <w:ind w:left="567" w:hanging="284"/>
        <w:rPr>
          <w:rFonts w:eastAsia="Times New Roman"/>
          <w:szCs w:val="17"/>
        </w:rPr>
      </w:pPr>
      <w:r w:rsidRPr="00E26C8E">
        <w:rPr>
          <w:rFonts w:eastAsia="Times New Roman"/>
          <w:szCs w:val="17"/>
        </w:rPr>
        <w:t>•</w:t>
      </w:r>
      <w:r w:rsidRPr="00E26C8E">
        <w:rPr>
          <w:rFonts w:eastAsia="Times New Roman"/>
          <w:szCs w:val="17"/>
        </w:rPr>
        <w:tab/>
        <w:t>Titanium</w:t>
      </w:r>
    </w:p>
    <w:p w:rsidR="00E26C8E" w:rsidRPr="00E26C8E" w:rsidRDefault="00E26C8E" w:rsidP="00E26C8E">
      <w:pPr>
        <w:ind w:left="567" w:hanging="284"/>
        <w:rPr>
          <w:rFonts w:eastAsia="Times New Roman"/>
          <w:szCs w:val="17"/>
        </w:rPr>
      </w:pPr>
      <w:r w:rsidRPr="00E26C8E">
        <w:rPr>
          <w:rFonts w:eastAsia="Times New Roman"/>
          <w:szCs w:val="17"/>
        </w:rPr>
        <w:t>•</w:t>
      </w:r>
      <w:r w:rsidRPr="00E26C8E">
        <w:rPr>
          <w:rFonts w:eastAsia="Times New Roman"/>
          <w:szCs w:val="17"/>
        </w:rPr>
        <w:tab/>
        <w:t>Vermiculite</w:t>
      </w:r>
    </w:p>
    <w:p w:rsidR="00E26C8E" w:rsidRPr="00E26C8E" w:rsidRDefault="00E26C8E" w:rsidP="00E26C8E">
      <w:pPr>
        <w:ind w:left="567" w:hanging="284"/>
        <w:rPr>
          <w:rFonts w:eastAsia="Times New Roman"/>
          <w:szCs w:val="17"/>
        </w:rPr>
      </w:pPr>
      <w:r w:rsidRPr="00E26C8E">
        <w:rPr>
          <w:rFonts w:eastAsia="Times New Roman"/>
          <w:szCs w:val="17"/>
        </w:rPr>
        <w:t>•</w:t>
      </w:r>
      <w:r w:rsidRPr="00E26C8E">
        <w:rPr>
          <w:rFonts w:eastAsia="Times New Roman"/>
          <w:szCs w:val="17"/>
        </w:rPr>
        <w:tab/>
        <w:t>Wollastonite</w:t>
      </w:r>
    </w:p>
    <w:p w:rsidR="00E26C8E" w:rsidRPr="00E26C8E" w:rsidRDefault="00E26C8E" w:rsidP="00E26C8E">
      <w:pPr>
        <w:ind w:left="567" w:hanging="284"/>
        <w:rPr>
          <w:rFonts w:eastAsia="Times New Roman"/>
          <w:szCs w:val="17"/>
        </w:rPr>
      </w:pPr>
      <w:r w:rsidRPr="00E26C8E">
        <w:rPr>
          <w:rFonts w:eastAsia="Times New Roman"/>
          <w:szCs w:val="17"/>
        </w:rPr>
        <w:t>•</w:t>
      </w:r>
      <w:r w:rsidRPr="00E26C8E">
        <w:rPr>
          <w:rFonts w:eastAsia="Times New Roman"/>
          <w:szCs w:val="17"/>
        </w:rPr>
        <w:tab/>
        <w:t>Xenotime</w:t>
      </w:r>
    </w:p>
    <w:p w:rsidR="00E26C8E" w:rsidRPr="00E26C8E" w:rsidRDefault="00E26C8E" w:rsidP="00E26C8E">
      <w:pPr>
        <w:ind w:left="567" w:hanging="284"/>
        <w:rPr>
          <w:rFonts w:eastAsia="Times New Roman"/>
          <w:szCs w:val="17"/>
        </w:rPr>
      </w:pPr>
      <w:r w:rsidRPr="00E26C8E">
        <w:rPr>
          <w:rFonts w:eastAsia="Times New Roman"/>
          <w:szCs w:val="17"/>
        </w:rPr>
        <w:t>•</w:t>
      </w:r>
      <w:r w:rsidRPr="00E26C8E">
        <w:rPr>
          <w:rFonts w:eastAsia="Times New Roman"/>
          <w:szCs w:val="17"/>
        </w:rPr>
        <w:tab/>
        <w:t>Zircon</w:t>
      </w:r>
    </w:p>
    <w:p w:rsidR="00E26C8E" w:rsidRPr="00E26C8E" w:rsidRDefault="00E26C8E" w:rsidP="00E26C8E">
      <w:pPr>
        <w:ind w:left="567" w:hanging="284"/>
        <w:rPr>
          <w:rFonts w:eastAsia="Times New Roman"/>
          <w:szCs w:val="17"/>
        </w:rPr>
      </w:pPr>
      <w:r w:rsidRPr="00E26C8E">
        <w:rPr>
          <w:rFonts w:eastAsia="Times New Roman"/>
          <w:szCs w:val="17"/>
        </w:rPr>
        <w:t>•</w:t>
      </w:r>
      <w:r w:rsidRPr="00E26C8E">
        <w:rPr>
          <w:rFonts w:eastAsia="Times New Roman"/>
          <w:szCs w:val="17"/>
        </w:rPr>
        <w:tab/>
        <w:t>Gems and semi-precious stones (including amethyst, calcite, chrysoprase, diamond, jade, opal, quartz, sapphire, scholzite, staurolite, topaz and tourmaline)</w:t>
      </w:r>
    </w:p>
    <w:p w:rsidR="00E26C8E" w:rsidRPr="00E26C8E" w:rsidRDefault="00E26C8E" w:rsidP="00E26C8E">
      <w:pPr>
        <w:ind w:left="567" w:hanging="284"/>
        <w:rPr>
          <w:rFonts w:eastAsia="Times New Roman"/>
          <w:szCs w:val="17"/>
        </w:rPr>
      </w:pPr>
      <w:r w:rsidRPr="00E26C8E">
        <w:rPr>
          <w:rFonts w:eastAsia="Times New Roman"/>
          <w:szCs w:val="17"/>
        </w:rPr>
        <w:t>•</w:t>
      </w:r>
      <w:r w:rsidRPr="00E26C8E">
        <w:rPr>
          <w:rFonts w:eastAsia="Times New Roman"/>
          <w:szCs w:val="17"/>
        </w:rPr>
        <w:tab/>
        <w:t>Any other mineral that would be an extractive mineral for the purposes of the Mining Act 1971 but for the fact it is mined for a prescribed purpose under paragraph (a) of the definition of extractive minerals in section 6(1) of the Mining Act 1971.</w:t>
      </w:r>
    </w:p>
    <w:p w:rsidR="00E26C8E" w:rsidRPr="00E26C8E" w:rsidRDefault="00E26C8E" w:rsidP="00E26C8E">
      <w:pPr>
        <w:rPr>
          <w:rFonts w:eastAsia="Times New Roman"/>
          <w:szCs w:val="17"/>
        </w:rPr>
      </w:pPr>
      <w:r w:rsidRPr="00E26C8E">
        <w:rPr>
          <w:rFonts w:eastAsia="Times New Roman"/>
          <w:szCs w:val="17"/>
        </w:rPr>
        <w:t xml:space="preserve">In accordance with section 17(14) of the </w:t>
      </w:r>
      <w:r w:rsidRPr="00E26C8E">
        <w:rPr>
          <w:rFonts w:eastAsia="Times New Roman"/>
          <w:i/>
          <w:szCs w:val="17"/>
        </w:rPr>
        <w:t>Mining Act 1971</w:t>
      </w:r>
      <w:r w:rsidRPr="00E26C8E">
        <w:rPr>
          <w:rFonts w:eastAsia="Times New Roman"/>
          <w:szCs w:val="17"/>
        </w:rPr>
        <w:t>, this notice will have effect from 1 January 2021.</w:t>
      </w:r>
    </w:p>
    <w:p w:rsidR="00E26C8E" w:rsidRPr="00E26C8E" w:rsidRDefault="00E26C8E" w:rsidP="00E26C8E">
      <w:pPr>
        <w:spacing w:after="0"/>
        <w:rPr>
          <w:rFonts w:eastAsia="Times New Roman"/>
          <w:szCs w:val="17"/>
        </w:rPr>
      </w:pPr>
      <w:r w:rsidRPr="00E26C8E">
        <w:rPr>
          <w:rFonts w:eastAsia="Times New Roman"/>
          <w:szCs w:val="17"/>
        </w:rPr>
        <w:t>Dated: 15 December 2020</w:t>
      </w:r>
    </w:p>
    <w:p w:rsidR="00E26C8E" w:rsidRPr="00E26C8E" w:rsidRDefault="00E26C8E" w:rsidP="00E26C8E">
      <w:pPr>
        <w:spacing w:after="0"/>
        <w:jc w:val="right"/>
        <w:rPr>
          <w:rFonts w:eastAsia="Times New Roman"/>
          <w:smallCaps/>
          <w:szCs w:val="20"/>
        </w:rPr>
      </w:pPr>
      <w:r w:rsidRPr="00E26C8E">
        <w:rPr>
          <w:rFonts w:eastAsia="Times New Roman"/>
          <w:smallCaps/>
          <w:szCs w:val="20"/>
        </w:rPr>
        <w:t>Robert Lucas</w:t>
      </w:r>
    </w:p>
    <w:p w:rsidR="00E26C8E" w:rsidRPr="00E26C8E" w:rsidRDefault="00E26C8E" w:rsidP="00E26C8E">
      <w:pPr>
        <w:spacing w:after="0"/>
        <w:jc w:val="right"/>
        <w:rPr>
          <w:rFonts w:eastAsia="Times New Roman"/>
          <w:szCs w:val="17"/>
        </w:rPr>
      </w:pPr>
      <w:r w:rsidRPr="00E26C8E">
        <w:rPr>
          <w:rFonts w:eastAsia="Times New Roman"/>
          <w:szCs w:val="17"/>
        </w:rPr>
        <w:t>Treasurer</w:t>
      </w:r>
    </w:p>
    <w:p w:rsidR="00E26C8E" w:rsidRPr="00E26C8E" w:rsidRDefault="00E26C8E" w:rsidP="00E26C8E">
      <w:pPr>
        <w:pBdr>
          <w:top w:val="single" w:sz="4" w:space="1" w:color="auto"/>
        </w:pBdr>
        <w:spacing w:before="100" w:after="0" w:line="14" w:lineRule="exact"/>
        <w:jc w:val="center"/>
        <w:rPr>
          <w:rFonts w:eastAsia="Times New Roman"/>
          <w:szCs w:val="17"/>
        </w:rPr>
      </w:pPr>
    </w:p>
    <w:p w:rsidR="00E26C8E" w:rsidRPr="00E26C8E" w:rsidRDefault="00E26C8E" w:rsidP="00E26C8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E26C8E" w:rsidRPr="00E26C8E" w:rsidRDefault="00E26C8E" w:rsidP="00E26C8E">
      <w:pPr>
        <w:jc w:val="center"/>
        <w:rPr>
          <w:caps/>
          <w:szCs w:val="17"/>
        </w:rPr>
      </w:pPr>
      <w:r w:rsidRPr="00E26C8E">
        <w:rPr>
          <w:caps/>
          <w:szCs w:val="17"/>
        </w:rPr>
        <w:t>Mining Act 1971</w:t>
      </w:r>
    </w:p>
    <w:p w:rsidR="00E26C8E" w:rsidRPr="00E26C8E" w:rsidRDefault="00E26C8E" w:rsidP="005549E6">
      <w:pPr>
        <w:pStyle w:val="GG-Title3"/>
      </w:pPr>
      <w:r w:rsidRPr="00E26C8E">
        <w:t>Notice under Section 17(6)(B)(Ii)(A) of the Mining Act 1971</w:t>
      </w:r>
    </w:p>
    <w:p w:rsidR="00E26C8E" w:rsidRPr="00E26C8E" w:rsidRDefault="00E26C8E" w:rsidP="00E26C8E">
      <w:pPr>
        <w:rPr>
          <w:rFonts w:eastAsia="Times New Roman"/>
          <w:szCs w:val="17"/>
        </w:rPr>
      </w:pPr>
      <w:r w:rsidRPr="00E26C8E">
        <w:rPr>
          <w:rFonts w:eastAsia="Times New Roman"/>
          <w:szCs w:val="17"/>
        </w:rPr>
        <w:t>NOTICE is hereby given in accordance with section 17(6)(b)(ii)(A) of the above Act to revoke the previous notice published under section 17(6)(b)(ii) of the above Act on 28 August 2014 at page 4146.</w:t>
      </w:r>
    </w:p>
    <w:p w:rsidR="00E26C8E" w:rsidRPr="00E26C8E" w:rsidRDefault="00E26C8E" w:rsidP="00E26C8E">
      <w:pPr>
        <w:rPr>
          <w:rFonts w:eastAsia="Times New Roman"/>
          <w:szCs w:val="17"/>
        </w:rPr>
      </w:pPr>
      <w:r w:rsidRPr="00E26C8E">
        <w:rPr>
          <w:rFonts w:eastAsia="Times New Roman"/>
          <w:szCs w:val="17"/>
        </w:rPr>
        <w:t>NOTICE is hereby given in accordance with section 17(6)(b)(ii)(A) of the above Act to declare an indicative price for minerals.</w:t>
      </w:r>
    </w:p>
    <w:p w:rsidR="00E26C8E" w:rsidRPr="00E26C8E" w:rsidRDefault="00E26C8E" w:rsidP="00E26C8E">
      <w:pPr>
        <w:rPr>
          <w:rFonts w:eastAsia="Times New Roman"/>
          <w:szCs w:val="17"/>
        </w:rPr>
      </w:pPr>
      <w:r w:rsidRPr="00E26C8E">
        <w:rPr>
          <w:rFonts w:eastAsia="Times New Roman"/>
          <w:szCs w:val="17"/>
        </w:rPr>
        <w:t>TAKE notice that I, Robert Lucas, Treasurer, after consultation with Daniel van Holst Pellekaan, Minister for Energy and Mining, pursuant to section 17(6)(b)(ii)(A) of the above Act do hereby:</w:t>
      </w:r>
    </w:p>
    <w:p w:rsidR="00E26C8E" w:rsidRPr="00E26C8E" w:rsidRDefault="00E26C8E" w:rsidP="00E26C8E">
      <w:pPr>
        <w:ind w:left="142"/>
        <w:rPr>
          <w:rFonts w:eastAsia="Times New Roman"/>
          <w:szCs w:val="17"/>
        </w:rPr>
      </w:pPr>
      <w:r w:rsidRPr="00E26C8E">
        <w:rPr>
          <w:rFonts w:eastAsia="Times New Roman"/>
          <w:szCs w:val="17"/>
        </w:rPr>
        <w:t>DECLARE that the indicative price for salt is $22.86 per tonne, resulting in royalty being payable at a rate of $0.80 per tonne using the current 3.5% royalty rate for declared industrial minerals.</w:t>
      </w:r>
    </w:p>
    <w:p w:rsidR="00E26C8E" w:rsidRPr="00E26C8E" w:rsidRDefault="00E26C8E" w:rsidP="00E26C8E">
      <w:pPr>
        <w:ind w:left="142"/>
        <w:rPr>
          <w:rFonts w:eastAsia="Times New Roman"/>
          <w:szCs w:val="17"/>
        </w:rPr>
      </w:pPr>
      <w:r w:rsidRPr="00E26C8E">
        <w:rPr>
          <w:rFonts w:eastAsia="Times New Roman"/>
          <w:szCs w:val="17"/>
        </w:rPr>
        <w:t>DECLARE that costs of a prescribed kind referred to in sections 17(8) and 17(8a) of the above Act are not permitted to be deducted from the indicative price declared above.</w:t>
      </w:r>
    </w:p>
    <w:p w:rsidR="00E26C8E" w:rsidRPr="00E26C8E" w:rsidRDefault="00E26C8E" w:rsidP="00E26C8E">
      <w:pPr>
        <w:rPr>
          <w:rFonts w:eastAsia="Times New Roman"/>
          <w:szCs w:val="17"/>
        </w:rPr>
      </w:pPr>
      <w:r w:rsidRPr="00E26C8E">
        <w:rPr>
          <w:rFonts w:eastAsia="Times New Roman"/>
          <w:szCs w:val="17"/>
        </w:rPr>
        <w:t xml:space="preserve">In accordance with Section 17(6)(b)(ii)(A) of the </w:t>
      </w:r>
      <w:r w:rsidRPr="00E26C8E">
        <w:rPr>
          <w:rFonts w:eastAsia="Times New Roman"/>
          <w:i/>
          <w:szCs w:val="17"/>
        </w:rPr>
        <w:t>Mining Act 1971</w:t>
      </w:r>
      <w:r w:rsidRPr="00E26C8E">
        <w:rPr>
          <w:rFonts w:eastAsia="Times New Roman"/>
          <w:szCs w:val="17"/>
        </w:rPr>
        <w:t>, this notice will have effect from 1 January 2021.</w:t>
      </w:r>
    </w:p>
    <w:p w:rsidR="00E26C8E" w:rsidRPr="00E26C8E" w:rsidRDefault="00E26C8E" w:rsidP="00E26C8E">
      <w:pPr>
        <w:spacing w:after="0"/>
        <w:rPr>
          <w:rFonts w:eastAsia="Times New Roman"/>
          <w:szCs w:val="17"/>
        </w:rPr>
      </w:pPr>
      <w:r w:rsidRPr="00E26C8E">
        <w:rPr>
          <w:rFonts w:eastAsia="Times New Roman"/>
          <w:szCs w:val="17"/>
        </w:rPr>
        <w:t>Dated: 15 December 2020</w:t>
      </w:r>
    </w:p>
    <w:p w:rsidR="00E26C8E" w:rsidRPr="00E26C8E" w:rsidRDefault="00E26C8E" w:rsidP="00E26C8E">
      <w:pPr>
        <w:spacing w:after="0"/>
        <w:jc w:val="right"/>
        <w:rPr>
          <w:rFonts w:eastAsia="Times New Roman"/>
          <w:smallCaps/>
          <w:szCs w:val="20"/>
        </w:rPr>
      </w:pPr>
      <w:r w:rsidRPr="00E26C8E">
        <w:rPr>
          <w:rFonts w:eastAsia="Times New Roman"/>
          <w:smallCaps/>
          <w:szCs w:val="20"/>
        </w:rPr>
        <w:t>Robert Lucas</w:t>
      </w:r>
    </w:p>
    <w:p w:rsidR="00E26C8E" w:rsidRPr="00E26C8E" w:rsidRDefault="00E26C8E" w:rsidP="00E26C8E">
      <w:pPr>
        <w:spacing w:after="0"/>
        <w:jc w:val="right"/>
        <w:rPr>
          <w:rFonts w:eastAsia="Times New Roman"/>
          <w:szCs w:val="17"/>
        </w:rPr>
      </w:pPr>
      <w:r w:rsidRPr="00E26C8E">
        <w:rPr>
          <w:rFonts w:eastAsia="Times New Roman"/>
          <w:szCs w:val="17"/>
        </w:rPr>
        <w:t>Treasurer</w:t>
      </w:r>
    </w:p>
    <w:p w:rsidR="00E26C8E" w:rsidRPr="00E26C8E" w:rsidRDefault="00E26C8E" w:rsidP="00E26C8E">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ascii="CG Times (W1)" w:eastAsia="Times New Roman" w:hAnsi="CG Times (W1)"/>
          <w:szCs w:val="17"/>
        </w:rPr>
      </w:pPr>
    </w:p>
    <w:p w:rsidR="00E26C8E" w:rsidRPr="00E26C8E" w:rsidRDefault="00E26C8E" w:rsidP="00E26C8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CG Times (W1)" w:eastAsia="Times New Roman" w:hAnsi="CG Times (W1)"/>
          <w:szCs w:val="17"/>
        </w:rPr>
      </w:pPr>
    </w:p>
    <w:p w:rsidR="00E26C8E" w:rsidRPr="00E26C8E" w:rsidRDefault="00E26C8E" w:rsidP="00E26C8E">
      <w:pPr>
        <w:jc w:val="center"/>
        <w:rPr>
          <w:caps/>
          <w:szCs w:val="17"/>
        </w:rPr>
      </w:pPr>
      <w:r w:rsidRPr="00E26C8E">
        <w:rPr>
          <w:caps/>
          <w:szCs w:val="17"/>
        </w:rPr>
        <w:t>Mining Act 1971</w:t>
      </w:r>
    </w:p>
    <w:p w:rsidR="00E26C8E" w:rsidRPr="00E26C8E" w:rsidRDefault="00E26C8E" w:rsidP="005549E6">
      <w:pPr>
        <w:pStyle w:val="GG-Title3"/>
      </w:pPr>
      <w:r w:rsidRPr="00E26C8E">
        <w:t>Notice under Section 17(6)(B)(I) of the Mining Act 1971</w:t>
      </w:r>
    </w:p>
    <w:p w:rsidR="00E26C8E" w:rsidRPr="00E26C8E" w:rsidRDefault="00E26C8E" w:rsidP="00E26C8E">
      <w:pPr>
        <w:rPr>
          <w:rFonts w:eastAsia="Times New Roman"/>
          <w:szCs w:val="17"/>
        </w:rPr>
      </w:pPr>
      <w:r w:rsidRPr="00E26C8E">
        <w:rPr>
          <w:rFonts w:eastAsia="Times New Roman"/>
          <w:szCs w:val="17"/>
        </w:rPr>
        <w:t>NOTICE is hereby given in accordance with section 17(6)(b)(i) of the above Act to revoke the previous notice published under section 17(6)(b)(i) of the above Act on 12 July 2012 at page 3046.</w:t>
      </w:r>
    </w:p>
    <w:p w:rsidR="00E26C8E" w:rsidRPr="00E26C8E" w:rsidRDefault="00E26C8E" w:rsidP="00E26C8E">
      <w:pPr>
        <w:rPr>
          <w:rFonts w:eastAsia="Times New Roman"/>
          <w:szCs w:val="17"/>
        </w:rPr>
      </w:pPr>
      <w:r w:rsidRPr="00E26C8E">
        <w:rPr>
          <w:rFonts w:eastAsia="Times New Roman"/>
          <w:szCs w:val="17"/>
        </w:rPr>
        <w:t>NOTICE is hereby given in accordance with section 17(6)(b)(i) of the above Act to declare industry markets recognised by the Treasurer for the purpose of determining the market value of minerals of that kind.</w:t>
      </w:r>
    </w:p>
    <w:p w:rsidR="00E26C8E" w:rsidRPr="00E26C8E" w:rsidRDefault="00E26C8E" w:rsidP="00E26C8E">
      <w:pPr>
        <w:rPr>
          <w:rFonts w:eastAsia="Times New Roman"/>
          <w:szCs w:val="17"/>
        </w:rPr>
      </w:pPr>
      <w:r w:rsidRPr="00E26C8E">
        <w:rPr>
          <w:rFonts w:eastAsia="Times New Roman"/>
          <w:szCs w:val="17"/>
        </w:rPr>
        <w:t>TAKE notice that I, Robert Lucas, Treasurer, after consultation with Daniel van Holst Pellekaan, Minister for Energy and Mining, pursuant to section 17(6)(b)(i) of the above Act do hereby:</w:t>
      </w:r>
    </w:p>
    <w:p w:rsidR="00E26C8E" w:rsidRPr="00E26C8E" w:rsidRDefault="00E26C8E" w:rsidP="00E26C8E">
      <w:pPr>
        <w:ind w:left="142"/>
        <w:rPr>
          <w:rFonts w:eastAsia="Times New Roman"/>
          <w:szCs w:val="17"/>
        </w:rPr>
      </w:pPr>
      <w:r w:rsidRPr="00E26C8E">
        <w:rPr>
          <w:rFonts w:eastAsia="Times New Roman"/>
          <w:szCs w:val="17"/>
        </w:rPr>
        <w:t>DECLARE the London Metal Exchange (</w:t>
      </w:r>
      <w:hyperlink r:id="rId127" w:history="1">
        <w:r w:rsidRPr="00E26C8E">
          <w:rPr>
            <w:rFonts w:eastAsia="Times New Roman"/>
            <w:color w:val="0000FF"/>
            <w:szCs w:val="17"/>
            <w:u w:val="single"/>
          </w:rPr>
          <w:t>http://www.lme.com</w:t>
        </w:r>
      </w:hyperlink>
      <w:r w:rsidRPr="00E26C8E">
        <w:rPr>
          <w:rFonts w:eastAsia="Times New Roman"/>
          <w:szCs w:val="17"/>
        </w:rPr>
        <w:t>) as a recognised market for the purpose of determining the market value of copper, aluminium, zinc, lead, nickel, tin, steel and cobalt.</w:t>
      </w:r>
    </w:p>
    <w:p w:rsidR="00E26C8E" w:rsidRPr="00E26C8E" w:rsidRDefault="00E26C8E" w:rsidP="00E26C8E">
      <w:pPr>
        <w:ind w:left="142"/>
        <w:rPr>
          <w:rFonts w:eastAsia="Times New Roman"/>
          <w:szCs w:val="17"/>
        </w:rPr>
      </w:pPr>
      <w:r w:rsidRPr="00E26C8E">
        <w:rPr>
          <w:rFonts w:eastAsia="Times New Roman"/>
          <w:szCs w:val="17"/>
        </w:rPr>
        <w:t>DECLARE the London Bullion Market Association (</w:t>
      </w:r>
      <w:hyperlink r:id="rId128" w:history="1">
        <w:r w:rsidRPr="00E26C8E">
          <w:rPr>
            <w:rFonts w:eastAsia="Times New Roman"/>
            <w:color w:val="0000FF"/>
            <w:szCs w:val="17"/>
            <w:u w:val="single"/>
          </w:rPr>
          <w:t>http://www.lbma.org.uk</w:t>
        </w:r>
      </w:hyperlink>
      <w:r w:rsidRPr="00E26C8E">
        <w:rPr>
          <w:rFonts w:eastAsia="Times New Roman"/>
          <w:szCs w:val="17"/>
        </w:rPr>
        <w:t>) as a recognised market for the purpose of determining the market value of gold and silver.</w:t>
      </w:r>
    </w:p>
    <w:p w:rsidR="00E26C8E" w:rsidRPr="00E26C8E" w:rsidRDefault="00E26C8E" w:rsidP="00E26C8E">
      <w:pPr>
        <w:ind w:left="142"/>
        <w:rPr>
          <w:rFonts w:eastAsia="Times New Roman"/>
          <w:szCs w:val="17"/>
        </w:rPr>
      </w:pPr>
      <w:r w:rsidRPr="00E26C8E">
        <w:rPr>
          <w:rFonts w:eastAsia="Times New Roman"/>
          <w:szCs w:val="17"/>
        </w:rPr>
        <w:t>DECLARE the Platts Daily Iron Ore Assessments as set out in the publication titled “SBB Steel Markets Daily” published by S&amp;P Global Platts as a recognised market for the purpose of determining the market value of iron ore.</w:t>
      </w:r>
    </w:p>
    <w:p w:rsidR="00E26C8E" w:rsidRPr="00E26C8E" w:rsidRDefault="00E26C8E" w:rsidP="00E26C8E">
      <w:pPr>
        <w:ind w:left="142"/>
        <w:rPr>
          <w:rFonts w:eastAsia="Times New Roman"/>
          <w:szCs w:val="17"/>
        </w:rPr>
      </w:pPr>
      <w:r w:rsidRPr="00E26C8E">
        <w:rPr>
          <w:rFonts w:eastAsia="Times New Roman"/>
          <w:szCs w:val="17"/>
        </w:rPr>
        <w:t>DECLARE the prices as published by independent market consultants UxC (U3O8 Price) and TradeTech (Daily U3O8 Spot Price Indicator) as a recognised market for the purpose of determining the market value of uranium.</w:t>
      </w:r>
    </w:p>
    <w:p w:rsidR="00E26C8E" w:rsidRPr="00E26C8E" w:rsidRDefault="00E26C8E" w:rsidP="00E26C8E">
      <w:pPr>
        <w:rPr>
          <w:rFonts w:eastAsia="Times New Roman"/>
          <w:szCs w:val="17"/>
        </w:rPr>
      </w:pPr>
      <w:r w:rsidRPr="00E26C8E">
        <w:rPr>
          <w:rFonts w:eastAsia="Times New Roman"/>
          <w:szCs w:val="17"/>
        </w:rPr>
        <w:t xml:space="preserve">In accordance with Section 17(6)(b)(i) of the </w:t>
      </w:r>
      <w:r w:rsidRPr="00E26C8E">
        <w:rPr>
          <w:rFonts w:eastAsia="Times New Roman"/>
          <w:i/>
          <w:szCs w:val="17"/>
        </w:rPr>
        <w:t>Mining Act 1971</w:t>
      </w:r>
      <w:r w:rsidRPr="00E26C8E">
        <w:rPr>
          <w:rFonts w:eastAsia="Times New Roman"/>
          <w:szCs w:val="17"/>
        </w:rPr>
        <w:t>, this notice will have effect from 1 January 2021.</w:t>
      </w:r>
    </w:p>
    <w:p w:rsidR="00E26C8E" w:rsidRPr="00E26C8E" w:rsidRDefault="00E26C8E" w:rsidP="00E26C8E">
      <w:pPr>
        <w:spacing w:after="0"/>
        <w:rPr>
          <w:rFonts w:eastAsia="Times New Roman"/>
          <w:szCs w:val="17"/>
        </w:rPr>
      </w:pPr>
      <w:r w:rsidRPr="00E26C8E">
        <w:rPr>
          <w:rFonts w:eastAsia="Times New Roman"/>
          <w:szCs w:val="17"/>
        </w:rPr>
        <w:t>Dated: 15 December 2020</w:t>
      </w:r>
    </w:p>
    <w:p w:rsidR="00E26C8E" w:rsidRPr="00E26C8E" w:rsidRDefault="00E26C8E" w:rsidP="00E26C8E">
      <w:pPr>
        <w:spacing w:after="0"/>
        <w:jc w:val="right"/>
        <w:rPr>
          <w:rFonts w:eastAsia="Times New Roman"/>
          <w:smallCaps/>
          <w:szCs w:val="20"/>
        </w:rPr>
      </w:pPr>
      <w:r w:rsidRPr="00E26C8E">
        <w:rPr>
          <w:rFonts w:eastAsia="Times New Roman"/>
          <w:smallCaps/>
          <w:szCs w:val="20"/>
        </w:rPr>
        <w:t>Robert Lucas</w:t>
      </w:r>
    </w:p>
    <w:p w:rsidR="00E26C8E" w:rsidRPr="00E26C8E" w:rsidRDefault="00E26C8E" w:rsidP="00E26C8E">
      <w:pPr>
        <w:spacing w:after="0"/>
        <w:jc w:val="right"/>
        <w:rPr>
          <w:rFonts w:eastAsia="Times New Roman"/>
          <w:szCs w:val="17"/>
        </w:rPr>
      </w:pPr>
      <w:r w:rsidRPr="00E26C8E">
        <w:rPr>
          <w:rFonts w:eastAsia="Times New Roman"/>
          <w:szCs w:val="17"/>
        </w:rPr>
        <w:t>Treasurer</w:t>
      </w:r>
    </w:p>
    <w:p w:rsidR="00E26C8E" w:rsidRPr="00E26C8E" w:rsidRDefault="00E26C8E" w:rsidP="00E26C8E">
      <w:pPr>
        <w:pBdr>
          <w:top w:val="single" w:sz="4" w:space="1" w:color="auto"/>
        </w:pBdr>
        <w:spacing w:before="100" w:after="0" w:line="14" w:lineRule="exact"/>
        <w:jc w:val="center"/>
        <w:rPr>
          <w:rFonts w:eastAsia="Times New Roman"/>
          <w:szCs w:val="17"/>
        </w:rPr>
      </w:pPr>
    </w:p>
    <w:p w:rsidR="00E26C8E" w:rsidRPr="00E26C8E" w:rsidRDefault="00E26C8E" w:rsidP="00E26C8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E26C8E" w:rsidRPr="00E26C8E" w:rsidRDefault="00E26C8E" w:rsidP="00E26C8E">
      <w:pPr>
        <w:jc w:val="center"/>
        <w:rPr>
          <w:caps/>
          <w:szCs w:val="17"/>
        </w:rPr>
      </w:pPr>
      <w:r w:rsidRPr="00E26C8E">
        <w:rPr>
          <w:caps/>
          <w:szCs w:val="17"/>
        </w:rPr>
        <w:t>Mining Act 1971</w:t>
      </w:r>
    </w:p>
    <w:p w:rsidR="00E26C8E" w:rsidRPr="00E26C8E" w:rsidRDefault="00E26C8E" w:rsidP="008845EE">
      <w:pPr>
        <w:pStyle w:val="GG-Title3"/>
      </w:pPr>
      <w:r w:rsidRPr="00E26C8E">
        <w:t>N</w:t>
      </w:r>
      <w:r w:rsidRPr="008845EE">
        <w:t>o</w:t>
      </w:r>
      <w:r w:rsidRPr="00E26C8E">
        <w:t>tice under Section 17AC(2) of the Mining Act 1971</w:t>
      </w:r>
    </w:p>
    <w:p w:rsidR="00E26C8E" w:rsidRPr="00E26C8E" w:rsidRDefault="00E26C8E" w:rsidP="00E26C8E">
      <w:pPr>
        <w:rPr>
          <w:rFonts w:eastAsia="Times New Roman"/>
          <w:szCs w:val="17"/>
        </w:rPr>
      </w:pPr>
      <w:r w:rsidRPr="00E26C8E">
        <w:rPr>
          <w:rFonts w:eastAsia="Times New Roman"/>
          <w:szCs w:val="17"/>
        </w:rPr>
        <w:t>NOTICE is hereby given pursuant to the provision of section 17AC(2) of the</w:t>
      </w:r>
      <w:r w:rsidRPr="00E26C8E">
        <w:rPr>
          <w:rFonts w:eastAsia="Times New Roman"/>
          <w:i/>
          <w:szCs w:val="17"/>
        </w:rPr>
        <w:t xml:space="preserve"> Mining Act 1971,</w:t>
      </w:r>
      <w:r w:rsidRPr="00E26C8E">
        <w:rPr>
          <w:rFonts w:eastAsia="Times New Roman"/>
          <w:szCs w:val="17"/>
        </w:rPr>
        <w:t xml:space="preserve"> to specify the manner and form of a notice of a relevant event.</w:t>
      </w:r>
    </w:p>
    <w:p w:rsidR="00E26C8E" w:rsidRPr="00E26C8E" w:rsidRDefault="00E26C8E" w:rsidP="00E26C8E">
      <w:pPr>
        <w:rPr>
          <w:rFonts w:eastAsia="Times New Roman"/>
          <w:szCs w:val="17"/>
        </w:rPr>
      </w:pPr>
      <w:r w:rsidRPr="00E26C8E">
        <w:rPr>
          <w:rFonts w:eastAsia="Times New Roman"/>
          <w:szCs w:val="17"/>
        </w:rPr>
        <w:t>TAKE notice that I, Daniel van Holst Pellekaan, Minister for Energy and Mining, pursuant to section 17AC(2) of the</w:t>
      </w:r>
      <w:r w:rsidRPr="00E26C8E">
        <w:rPr>
          <w:rFonts w:eastAsia="Times New Roman"/>
          <w:i/>
          <w:szCs w:val="17"/>
        </w:rPr>
        <w:t xml:space="preserve"> Mining Act 1971 </w:t>
      </w:r>
      <w:r w:rsidRPr="00E26C8E">
        <w:rPr>
          <w:rFonts w:eastAsia="Times New Roman"/>
          <w:szCs w:val="17"/>
        </w:rPr>
        <w:t>do hereby:</w:t>
      </w:r>
    </w:p>
    <w:p w:rsidR="00E26C8E" w:rsidRPr="00E26C8E" w:rsidRDefault="00E26C8E" w:rsidP="00E26C8E">
      <w:pPr>
        <w:ind w:left="142"/>
        <w:rPr>
          <w:rFonts w:eastAsia="Times New Roman"/>
          <w:szCs w:val="17"/>
        </w:rPr>
      </w:pPr>
      <w:r w:rsidRPr="00E26C8E">
        <w:rPr>
          <w:rFonts w:eastAsia="Times New Roman"/>
          <w:szCs w:val="17"/>
        </w:rPr>
        <w:t>DETERMINE that a notice under section 17AC(2) of the</w:t>
      </w:r>
      <w:r w:rsidRPr="00E26C8E">
        <w:rPr>
          <w:rFonts w:eastAsia="Times New Roman"/>
          <w:i/>
          <w:szCs w:val="17"/>
        </w:rPr>
        <w:t xml:space="preserve"> Mining Act 1971 </w:t>
      </w:r>
      <w:r w:rsidRPr="00E26C8E">
        <w:rPr>
          <w:rFonts w:eastAsia="Times New Roman"/>
          <w:szCs w:val="17"/>
        </w:rPr>
        <w:t>must be in the following manner and form:</w:t>
      </w:r>
    </w:p>
    <w:p w:rsidR="00E26C8E" w:rsidRPr="00E26C8E" w:rsidRDefault="00E26C8E" w:rsidP="00E26C8E">
      <w:pPr>
        <w:ind w:left="567" w:hanging="283"/>
        <w:rPr>
          <w:rFonts w:eastAsia="Times New Roman"/>
          <w:szCs w:val="17"/>
        </w:rPr>
      </w:pPr>
      <w:r w:rsidRPr="00E26C8E">
        <w:rPr>
          <w:rFonts w:eastAsia="Times New Roman"/>
          <w:szCs w:val="17"/>
        </w:rPr>
        <w:t>1.</w:t>
      </w:r>
      <w:r w:rsidRPr="00E26C8E">
        <w:rPr>
          <w:rFonts w:eastAsia="Times New Roman"/>
          <w:szCs w:val="17"/>
        </w:rPr>
        <w:tab/>
        <w:t>Disclose the Private Mine number and its location;</w:t>
      </w:r>
    </w:p>
    <w:p w:rsidR="00E26C8E" w:rsidRPr="00E26C8E" w:rsidRDefault="00E26C8E" w:rsidP="00E26C8E">
      <w:pPr>
        <w:ind w:left="567" w:hanging="283"/>
        <w:rPr>
          <w:rFonts w:eastAsia="Times New Roman"/>
          <w:szCs w:val="17"/>
        </w:rPr>
      </w:pPr>
      <w:r w:rsidRPr="00E26C8E">
        <w:rPr>
          <w:rFonts w:eastAsia="Times New Roman"/>
          <w:szCs w:val="17"/>
        </w:rPr>
        <w:t>2.</w:t>
      </w:r>
      <w:r w:rsidRPr="00E26C8E">
        <w:rPr>
          <w:rFonts w:eastAsia="Times New Roman"/>
          <w:szCs w:val="17"/>
        </w:rPr>
        <w:tab/>
        <w:t>Declare the date of the event;</w:t>
      </w:r>
    </w:p>
    <w:p w:rsidR="00E26C8E" w:rsidRPr="00E26C8E" w:rsidRDefault="00E26C8E" w:rsidP="00E26C8E">
      <w:pPr>
        <w:ind w:left="567" w:hanging="283"/>
        <w:rPr>
          <w:rFonts w:eastAsia="Times New Roman"/>
          <w:szCs w:val="17"/>
        </w:rPr>
      </w:pPr>
      <w:r w:rsidRPr="00E26C8E">
        <w:rPr>
          <w:rFonts w:eastAsia="Times New Roman"/>
          <w:szCs w:val="17"/>
        </w:rPr>
        <w:t>3.</w:t>
      </w:r>
      <w:r w:rsidRPr="00E26C8E">
        <w:rPr>
          <w:rFonts w:eastAsia="Times New Roman"/>
          <w:szCs w:val="17"/>
        </w:rPr>
        <w:tab/>
        <w:t>Declare the event type within the meaning of section 17AB of the</w:t>
      </w:r>
      <w:r w:rsidRPr="00E26C8E">
        <w:rPr>
          <w:rFonts w:eastAsia="Times New Roman"/>
          <w:i/>
          <w:szCs w:val="17"/>
        </w:rPr>
        <w:t xml:space="preserve"> Mining Act 1971</w:t>
      </w:r>
    </w:p>
    <w:p w:rsidR="00E26C8E" w:rsidRPr="00E26C8E" w:rsidRDefault="00E26C8E" w:rsidP="00E26C8E">
      <w:pPr>
        <w:ind w:left="567" w:hanging="283"/>
        <w:rPr>
          <w:rFonts w:eastAsia="Times New Roman"/>
          <w:szCs w:val="17"/>
        </w:rPr>
      </w:pPr>
      <w:r w:rsidRPr="00E26C8E">
        <w:rPr>
          <w:rFonts w:eastAsia="Times New Roman"/>
          <w:szCs w:val="17"/>
        </w:rPr>
        <w:t>4.</w:t>
      </w:r>
      <w:r w:rsidRPr="00E26C8E">
        <w:rPr>
          <w:rFonts w:eastAsia="Times New Roman"/>
          <w:szCs w:val="17"/>
        </w:rPr>
        <w:tab/>
        <w:t>Declare the authority for the change of proprietorship or rights (e.g. agreement, contract, estate arrangement) and attach relevant documents;</w:t>
      </w:r>
    </w:p>
    <w:p w:rsidR="00E26C8E" w:rsidRPr="00E26C8E" w:rsidRDefault="00E26C8E" w:rsidP="00E26C8E">
      <w:pPr>
        <w:ind w:left="567" w:hanging="283"/>
        <w:rPr>
          <w:rFonts w:eastAsia="Times New Roman"/>
          <w:szCs w:val="17"/>
        </w:rPr>
      </w:pPr>
      <w:r w:rsidRPr="00E26C8E">
        <w:rPr>
          <w:rFonts w:eastAsia="Times New Roman"/>
          <w:szCs w:val="17"/>
        </w:rPr>
        <w:t>5.</w:t>
      </w:r>
      <w:r w:rsidRPr="00E26C8E">
        <w:rPr>
          <w:rFonts w:eastAsia="Times New Roman"/>
          <w:szCs w:val="17"/>
        </w:rPr>
        <w:tab/>
        <w:t>For the New Proprietor or Tenement Holder:</w:t>
      </w:r>
    </w:p>
    <w:p w:rsidR="00E26C8E" w:rsidRPr="00E26C8E" w:rsidRDefault="00E26C8E" w:rsidP="00E26C8E">
      <w:pPr>
        <w:ind w:left="851" w:hanging="284"/>
        <w:rPr>
          <w:rFonts w:eastAsia="Times New Roman"/>
          <w:szCs w:val="17"/>
        </w:rPr>
      </w:pPr>
      <w:r w:rsidRPr="00E26C8E">
        <w:rPr>
          <w:rFonts w:eastAsia="Times New Roman"/>
          <w:szCs w:val="17"/>
        </w:rPr>
        <w:t>a.</w:t>
      </w:r>
      <w:r w:rsidRPr="00E26C8E">
        <w:rPr>
          <w:rFonts w:eastAsia="Times New Roman"/>
          <w:szCs w:val="17"/>
        </w:rPr>
        <w:tab/>
        <w:t>disclose the Proprietor or Tenement Holder’s name;</w:t>
      </w:r>
    </w:p>
    <w:p w:rsidR="00E26C8E" w:rsidRPr="00E26C8E" w:rsidRDefault="00E26C8E" w:rsidP="00E26C8E">
      <w:pPr>
        <w:ind w:left="851" w:hanging="284"/>
        <w:rPr>
          <w:rFonts w:eastAsia="Times New Roman"/>
          <w:szCs w:val="17"/>
        </w:rPr>
      </w:pPr>
      <w:r w:rsidRPr="00E26C8E">
        <w:rPr>
          <w:rFonts w:eastAsia="Times New Roman"/>
          <w:szCs w:val="17"/>
        </w:rPr>
        <w:t>b.</w:t>
      </w:r>
      <w:r w:rsidRPr="00E26C8E">
        <w:rPr>
          <w:rFonts w:eastAsia="Times New Roman"/>
          <w:szCs w:val="17"/>
        </w:rPr>
        <w:tab/>
        <w:t>disclose where relevant, the ABN and/or ACN;</w:t>
      </w:r>
    </w:p>
    <w:p w:rsidR="00E26C8E" w:rsidRPr="00E26C8E" w:rsidRDefault="00E26C8E" w:rsidP="00E26C8E">
      <w:pPr>
        <w:ind w:left="851" w:hanging="284"/>
        <w:rPr>
          <w:rFonts w:eastAsia="Times New Roman"/>
          <w:szCs w:val="17"/>
        </w:rPr>
      </w:pPr>
      <w:r w:rsidRPr="00E26C8E">
        <w:rPr>
          <w:rFonts w:eastAsia="Times New Roman"/>
          <w:szCs w:val="17"/>
        </w:rPr>
        <w:t>c.</w:t>
      </w:r>
      <w:r w:rsidRPr="00E26C8E">
        <w:rPr>
          <w:rFonts w:eastAsia="Times New Roman"/>
          <w:szCs w:val="17"/>
        </w:rPr>
        <w:tab/>
        <w:t>disclose the name of a contact person, their job title, phone number and email address;</w:t>
      </w:r>
    </w:p>
    <w:p w:rsidR="00E26C8E" w:rsidRPr="00E26C8E" w:rsidRDefault="00E26C8E" w:rsidP="00E26C8E">
      <w:pPr>
        <w:ind w:left="851" w:hanging="284"/>
        <w:rPr>
          <w:rFonts w:eastAsia="Times New Roman"/>
          <w:szCs w:val="17"/>
        </w:rPr>
      </w:pPr>
      <w:r w:rsidRPr="00E26C8E">
        <w:rPr>
          <w:rFonts w:eastAsia="Times New Roman"/>
          <w:szCs w:val="17"/>
        </w:rPr>
        <w:t>d.</w:t>
      </w:r>
      <w:r w:rsidRPr="00E26C8E">
        <w:rPr>
          <w:rFonts w:eastAsia="Times New Roman"/>
          <w:szCs w:val="17"/>
        </w:rPr>
        <w:tab/>
        <w:t>disclose a postal address;</w:t>
      </w:r>
    </w:p>
    <w:p w:rsidR="00E26C8E" w:rsidRPr="00E26C8E" w:rsidRDefault="00E26C8E" w:rsidP="00E26C8E">
      <w:pPr>
        <w:ind w:left="567" w:hanging="283"/>
        <w:rPr>
          <w:rFonts w:eastAsia="Times New Roman"/>
          <w:szCs w:val="17"/>
        </w:rPr>
      </w:pPr>
      <w:r w:rsidRPr="00E26C8E">
        <w:rPr>
          <w:rFonts w:eastAsia="Times New Roman"/>
          <w:szCs w:val="17"/>
        </w:rPr>
        <w:t>6.</w:t>
      </w:r>
      <w:r w:rsidRPr="00E26C8E">
        <w:rPr>
          <w:rFonts w:eastAsia="Times New Roman"/>
          <w:szCs w:val="17"/>
        </w:rPr>
        <w:tab/>
        <w:t>For the Existing Proprietor:</w:t>
      </w:r>
    </w:p>
    <w:p w:rsidR="00E26C8E" w:rsidRPr="00E26C8E" w:rsidRDefault="00E26C8E" w:rsidP="00E26C8E">
      <w:pPr>
        <w:ind w:left="851" w:hanging="284"/>
        <w:rPr>
          <w:rFonts w:eastAsia="Times New Roman"/>
          <w:szCs w:val="17"/>
        </w:rPr>
      </w:pPr>
      <w:r w:rsidRPr="00E26C8E">
        <w:rPr>
          <w:rFonts w:eastAsia="Times New Roman"/>
          <w:szCs w:val="17"/>
        </w:rPr>
        <w:t>a.</w:t>
      </w:r>
      <w:r w:rsidRPr="00E26C8E">
        <w:rPr>
          <w:rFonts w:eastAsia="Times New Roman"/>
          <w:szCs w:val="17"/>
        </w:rPr>
        <w:tab/>
        <w:t>disclose the Proprietor’s name;</w:t>
      </w:r>
    </w:p>
    <w:p w:rsidR="00E26C8E" w:rsidRPr="00E26C8E" w:rsidRDefault="00E26C8E" w:rsidP="00E26C8E">
      <w:pPr>
        <w:ind w:left="851" w:hanging="284"/>
        <w:rPr>
          <w:rFonts w:eastAsia="Times New Roman"/>
          <w:szCs w:val="17"/>
        </w:rPr>
      </w:pPr>
      <w:r w:rsidRPr="00E26C8E">
        <w:rPr>
          <w:rFonts w:eastAsia="Times New Roman"/>
          <w:szCs w:val="17"/>
        </w:rPr>
        <w:t>b.</w:t>
      </w:r>
      <w:r w:rsidRPr="00E26C8E">
        <w:rPr>
          <w:rFonts w:eastAsia="Times New Roman"/>
          <w:szCs w:val="17"/>
        </w:rPr>
        <w:tab/>
        <w:t>disclose where relevant, the ABN and/or ACN;</w:t>
      </w:r>
    </w:p>
    <w:p w:rsidR="00E26C8E" w:rsidRPr="00E26C8E" w:rsidRDefault="00E26C8E" w:rsidP="00E26C8E">
      <w:pPr>
        <w:ind w:left="851" w:hanging="284"/>
        <w:rPr>
          <w:rFonts w:eastAsia="Times New Roman"/>
          <w:szCs w:val="17"/>
        </w:rPr>
      </w:pPr>
      <w:r w:rsidRPr="00E26C8E">
        <w:rPr>
          <w:rFonts w:eastAsia="Times New Roman"/>
          <w:szCs w:val="17"/>
        </w:rPr>
        <w:t>c.</w:t>
      </w:r>
      <w:r w:rsidRPr="00E26C8E">
        <w:rPr>
          <w:rFonts w:eastAsia="Times New Roman"/>
          <w:szCs w:val="17"/>
        </w:rPr>
        <w:tab/>
        <w:t>disclose the name of a contact person, their job title, phone number and email address;</w:t>
      </w:r>
    </w:p>
    <w:p w:rsidR="00E26C8E" w:rsidRPr="00E26C8E" w:rsidRDefault="00E26C8E" w:rsidP="00E26C8E">
      <w:pPr>
        <w:ind w:left="851" w:hanging="284"/>
        <w:rPr>
          <w:rFonts w:eastAsia="Times New Roman"/>
          <w:szCs w:val="17"/>
        </w:rPr>
      </w:pPr>
      <w:r w:rsidRPr="00E26C8E">
        <w:rPr>
          <w:rFonts w:eastAsia="Times New Roman"/>
          <w:szCs w:val="17"/>
        </w:rPr>
        <w:t>d.</w:t>
      </w:r>
      <w:r w:rsidRPr="00E26C8E">
        <w:rPr>
          <w:rFonts w:eastAsia="Times New Roman"/>
          <w:szCs w:val="17"/>
        </w:rPr>
        <w:tab/>
        <w:t>disclose a postal address; and</w:t>
      </w:r>
    </w:p>
    <w:p w:rsidR="00E26C8E" w:rsidRPr="00E26C8E" w:rsidRDefault="00E26C8E" w:rsidP="00E26C8E">
      <w:pPr>
        <w:ind w:left="567" w:hanging="283"/>
        <w:rPr>
          <w:rFonts w:eastAsia="Times New Roman"/>
          <w:szCs w:val="17"/>
        </w:rPr>
      </w:pPr>
      <w:r w:rsidRPr="00E26C8E">
        <w:rPr>
          <w:rFonts w:eastAsia="Times New Roman"/>
          <w:szCs w:val="17"/>
        </w:rPr>
        <w:t>7.</w:t>
      </w:r>
      <w:r w:rsidRPr="00E26C8E">
        <w:rPr>
          <w:rFonts w:eastAsia="Times New Roman"/>
          <w:szCs w:val="17"/>
        </w:rPr>
        <w:tab/>
        <w:t>Declare the names and percentage share for each party involved in the private mine after the event, including all proprietors and all parties with a right to carry out mining operations after the event.</w:t>
      </w:r>
    </w:p>
    <w:p w:rsidR="00E26C8E" w:rsidRPr="00E26C8E" w:rsidRDefault="00E26C8E" w:rsidP="00E26C8E">
      <w:pPr>
        <w:rPr>
          <w:rFonts w:eastAsia="Times New Roman"/>
          <w:szCs w:val="17"/>
        </w:rPr>
      </w:pPr>
      <w:r w:rsidRPr="00E26C8E">
        <w:rPr>
          <w:rFonts w:eastAsia="Times New Roman"/>
          <w:szCs w:val="17"/>
        </w:rPr>
        <w:t>In accordance with section 17AC(2) of the</w:t>
      </w:r>
      <w:r w:rsidRPr="00E26C8E">
        <w:rPr>
          <w:rFonts w:eastAsia="Times New Roman"/>
          <w:i/>
          <w:szCs w:val="17"/>
        </w:rPr>
        <w:t xml:space="preserve"> Mining Act 1971 </w:t>
      </w:r>
      <w:r w:rsidRPr="00E26C8E">
        <w:rPr>
          <w:rFonts w:eastAsia="Times New Roman"/>
          <w:szCs w:val="17"/>
        </w:rPr>
        <w:t>this notice will have effect from 1 January 2021.</w:t>
      </w:r>
    </w:p>
    <w:p w:rsidR="00E26C8E" w:rsidRPr="00E26C8E" w:rsidRDefault="00E26C8E" w:rsidP="00E26C8E">
      <w:pPr>
        <w:spacing w:after="0"/>
        <w:rPr>
          <w:rFonts w:eastAsia="Times New Roman"/>
          <w:szCs w:val="17"/>
        </w:rPr>
      </w:pPr>
      <w:r w:rsidRPr="00E26C8E">
        <w:rPr>
          <w:rFonts w:eastAsia="Times New Roman"/>
          <w:szCs w:val="17"/>
        </w:rPr>
        <w:t>Dated: 11 December 2020</w:t>
      </w:r>
    </w:p>
    <w:p w:rsidR="00E26C8E" w:rsidRPr="00E26C8E" w:rsidRDefault="00E26C8E" w:rsidP="00E26C8E">
      <w:pPr>
        <w:spacing w:after="0"/>
        <w:jc w:val="right"/>
        <w:rPr>
          <w:rFonts w:eastAsia="Times New Roman"/>
          <w:smallCaps/>
          <w:szCs w:val="20"/>
        </w:rPr>
      </w:pPr>
      <w:r w:rsidRPr="00E26C8E">
        <w:rPr>
          <w:rFonts w:eastAsia="Times New Roman"/>
          <w:smallCaps/>
          <w:szCs w:val="20"/>
        </w:rPr>
        <w:t>Hon. Daniel van Holst Pellekaan</w:t>
      </w:r>
    </w:p>
    <w:p w:rsidR="00E26C8E" w:rsidRPr="00E26C8E" w:rsidRDefault="00E26C8E" w:rsidP="00E26C8E">
      <w:pPr>
        <w:spacing w:after="0"/>
        <w:jc w:val="right"/>
        <w:rPr>
          <w:rFonts w:eastAsia="Times New Roman"/>
          <w:szCs w:val="17"/>
        </w:rPr>
      </w:pPr>
      <w:r w:rsidRPr="00E26C8E">
        <w:rPr>
          <w:rFonts w:eastAsia="Times New Roman"/>
          <w:szCs w:val="17"/>
        </w:rPr>
        <w:t>Minister for Energy and Mining</w:t>
      </w:r>
    </w:p>
    <w:p w:rsidR="00E26C8E" w:rsidRPr="00E26C8E" w:rsidRDefault="00E26C8E" w:rsidP="00E26C8E">
      <w:pPr>
        <w:pBdr>
          <w:top w:val="single" w:sz="4" w:space="1" w:color="auto"/>
        </w:pBdr>
        <w:spacing w:before="100" w:after="0" w:line="14" w:lineRule="exact"/>
        <w:jc w:val="center"/>
        <w:rPr>
          <w:rFonts w:eastAsia="Times New Roman"/>
          <w:szCs w:val="17"/>
        </w:rPr>
      </w:pPr>
    </w:p>
    <w:p w:rsidR="00E26C8E" w:rsidRPr="00E26C8E" w:rsidRDefault="00E26C8E" w:rsidP="00E26C8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E26C8E" w:rsidRPr="00E26C8E" w:rsidRDefault="00E26C8E" w:rsidP="00E26C8E">
      <w:pPr>
        <w:jc w:val="center"/>
        <w:rPr>
          <w:caps/>
          <w:szCs w:val="17"/>
        </w:rPr>
      </w:pPr>
      <w:r w:rsidRPr="00E26C8E">
        <w:rPr>
          <w:caps/>
          <w:szCs w:val="17"/>
        </w:rPr>
        <w:t>Mining Act 1971</w:t>
      </w:r>
    </w:p>
    <w:p w:rsidR="00E26C8E" w:rsidRPr="00E26C8E" w:rsidRDefault="00E26C8E" w:rsidP="008845EE">
      <w:pPr>
        <w:pStyle w:val="GG-Title3"/>
      </w:pPr>
      <w:r w:rsidRPr="00E26C8E">
        <w:t>Notice under Section 28(5) of the Mining Act 1971</w:t>
      </w:r>
    </w:p>
    <w:p w:rsidR="00E26C8E" w:rsidRPr="00E26C8E" w:rsidRDefault="00E26C8E" w:rsidP="00E26C8E">
      <w:pPr>
        <w:rPr>
          <w:rFonts w:eastAsia="Times New Roman"/>
          <w:szCs w:val="17"/>
        </w:rPr>
      </w:pPr>
      <w:r w:rsidRPr="00E26C8E">
        <w:rPr>
          <w:rFonts w:eastAsia="Times New Roman"/>
          <w:szCs w:val="17"/>
        </w:rPr>
        <w:t xml:space="preserve">NOTICE is hereby given pursuant to the provision of the above Section, to declare that that a notice under subsection 28(5), </w:t>
      </w:r>
      <w:r w:rsidRPr="00E26C8E">
        <w:rPr>
          <w:rFonts w:eastAsia="Times New Roman"/>
          <w:i/>
          <w:szCs w:val="17"/>
        </w:rPr>
        <w:t>“</w:t>
      </w:r>
      <w:r w:rsidRPr="00E26C8E">
        <w:rPr>
          <w:rFonts w:eastAsia="Times New Roman"/>
          <w:szCs w:val="17"/>
        </w:rPr>
        <w:t>the ERA Notice</w:t>
      </w:r>
      <w:r w:rsidRPr="00E26C8E">
        <w:rPr>
          <w:rFonts w:eastAsia="Times New Roman"/>
          <w:i/>
          <w:szCs w:val="17"/>
        </w:rPr>
        <w:t>”</w:t>
      </w:r>
      <w:r w:rsidRPr="00E26C8E">
        <w:rPr>
          <w:rFonts w:eastAsia="Times New Roman"/>
          <w:szCs w:val="17"/>
        </w:rPr>
        <w:t>, will be issued in the manner and form declared in this notice.</w:t>
      </w:r>
    </w:p>
    <w:p w:rsidR="00E26C8E" w:rsidRPr="00E26C8E" w:rsidRDefault="00E26C8E" w:rsidP="00E26C8E">
      <w:pPr>
        <w:rPr>
          <w:rFonts w:eastAsia="Times New Roman"/>
          <w:szCs w:val="17"/>
        </w:rPr>
      </w:pPr>
      <w:r w:rsidRPr="00E26C8E">
        <w:rPr>
          <w:rFonts w:eastAsia="Times New Roman"/>
          <w:szCs w:val="17"/>
        </w:rPr>
        <w:t xml:space="preserve">In accordance with section 28(5) of the </w:t>
      </w:r>
      <w:r w:rsidRPr="00E26C8E">
        <w:rPr>
          <w:rFonts w:eastAsia="Times New Roman"/>
          <w:i/>
          <w:szCs w:val="17"/>
        </w:rPr>
        <w:t>Mining Act 1971</w:t>
      </w:r>
      <w:r w:rsidRPr="00E26C8E">
        <w:rPr>
          <w:rFonts w:eastAsia="Times New Roman"/>
          <w:szCs w:val="17"/>
        </w:rPr>
        <w:t xml:space="preserve"> this notice will have effect from 1 January 2021.</w:t>
      </w:r>
    </w:p>
    <w:p w:rsidR="00E26C8E" w:rsidRPr="00E26C8E" w:rsidRDefault="00E26C8E" w:rsidP="00E26C8E">
      <w:pPr>
        <w:rPr>
          <w:rFonts w:eastAsia="Times New Roman"/>
          <w:szCs w:val="17"/>
        </w:rPr>
      </w:pPr>
      <w:r w:rsidRPr="00E26C8E">
        <w:rPr>
          <w:rFonts w:eastAsia="Times New Roman"/>
          <w:szCs w:val="17"/>
        </w:rPr>
        <w:t>TAKE notice that I, Daniel van Holst Pellekaan, Minister for Energy and Mining, pursuant to section 28(5) of the above Act do hereby:</w:t>
      </w:r>
    </w:p>
    <w:p w:rsidR="00E26C8E" w:rsidRPr="00E26C8E" w:rsidRDefault="00E26C8E" w:rsidP="00E26C8E">
      <w:pPr>
        <w:ind w:left="142"/>
        <w:rPr>
          <w:rFonts w:eastAsia="Times New Roman"/>
          <w:szCs w:val="17"/>
        </w:rPr>
      </w:pPr>
      <w:r w:rsidRPr="00E26C8E">
        <w:rPr>
          <w:rFonts w:eastAsia="Times New Roman"/>
          <w:szCs w:val="17"/>
        </w:rPr>
        <w:t>DECLARE in accordance with section 28(5) of the</w:t>
      </w:r>
      <w:r w:rsidRPr="00E26C8E">
        <w:rPr>
          <w:rFonts w:eastAsia="Times New Roman"/>
          <w:i/>
          <w:szCs w:val="17"/>
        </w:rPr>
        <w:t xml:space="preserve"> Mining Act 1971</w:t>
      </w:r>
      <w:r w:rsidRPr="00E26C8E">
        <w:rPr>
          <w:rFonts w:eastAsia="Times New Roman"/>
          <w:szCs w:val="17"/>
        </w:rPr>
        <w:t xml:space="preserve"> that the manner of issuance will be by notice published on the South Australian Department for Energy and Mining website and the South Australian Resources Information Gateway (SARIG).</w:t>
      </w:r>
    </w:p>
    <w:p w:rsidR="00E26C8E" w:rsidRPr="00E26C8E" w:rsidRDefault="00E26C8E" w:rsidP="00E26C8E">
      <w:pPr>
        <w:ind w:left="142"/>
        <w:rPr>
          <w:rFonts w:eastAsia="Times New Roman"/>
          <w:szCs w:val="17"/>
        </w:rPr>
      </w:pPr>
      <w:r w:rsidRPr="00E26C8E">
        <w:rPr>
          <w:rFonts w:eastAsia="Times New Roman"/>
          <w:szCs w:val="17"/>
        </w:rPr>
        <w:t>DECLARE in accordance with section 28(5) of the</w:t>
      </w:r>
      <w:r w:rsidRPr="00E26C8E">
        <w:rPr>
          <w:rFonts w:eastAsia="Times New Roman"/>
          <w:i/>
          <w:szCs w:val="17"/>
        </w:rPr>
        <w:t xml:space="preserve"> Mining Act 1971</w:t>
      </w:r>
      <w:r w:rsidRPr="00E26C8E">
        <w:rPr>
          <w:rFonts w:eastAsia="Times New Roman"/>
          <w:szCs w:val="17"/>
        </w:rPr>
        <w:t xml:space="preserve"> that the form of the ERA notice will contain a schedule such as that shown below.</w:t>
      </w:r>
    </w:p>
    <w:p w:rsidR="00E26C8E" w:rsidRPr="00E26C8E" w:rsidRDefault="00E26C8E" w:rsidP="00E26C8E">
      <w:pPr>
        <w:jc w:val="center"/>
        <w:rPr>
          <w:smallCaps/>
          <w:szCs w:val="17"/>
        </w:rPr>
      </w:pPr>
      <w:r w:rsidRPr="00E26C8E">
        <w:rPr>
          <w:smallCaps/>
          <w:szCs w:val="17"/>
        </w:rPr>
        <w:t>The Schedule</w:t>
      </w:r>
    </w:p>
    <w:tbl>
      <w:tblPr>
        <w:tblStyle w:val="TableGrid5"/>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1"/>
        <w:gridCol w:w="1871"/>
        <w:gridCol w:w="1871"/>
        <w:gridCol w:w="1871"/>
      </w:tblGrid>
      <w:tr w:rsidR="00E26C8E" w:rsidRPr="00E26C8E" w:rsidTr="00046B75">
        <w:trPr>
          <w:trHeight w:val="253"/>
          <w:jc w:val="center"/>
        </w:trPr>
        <w:tc>
          <w:tcPr>
            <w:tcW w:w="1000" w:type="pct"/>
            <w:tcBorders>
              <w:top w:val="single" w:sz="4" w:space="0" w:color="auto"/>
              <w:bottom w:val="single" w:sz="4" w:space="0" w:color="auto"/>
            </w:tcBorders>
            <w:vAlign w:val="center"/>
          </w:tcPr>
          <w:p w:rsidR="00E26C8E" w:rsidRPr="00E26C8E" w:rsidRDefault="00E26C8E" w:rsidP="00E26C8E">
            <w:pPr>
              <w:spacing w:before="40" w:after="40"/>
              <w:jc w:val="center"/>
              <w:rPr>
                <w:szCs w:val="17"/>
              </w:rPr>
            </w:pPr>
            <w:r w:rsidRPr="00E26C8E">
              <w:rPr>
                <w:szCs w:val="17"/>
              </w:rPr>
              <w:t>Column 1</w:t>
            </w:r>
          </w:p>
        </w:tc>
        <w:tc>
          <w:tcPr>
            <w:tcW w:w="1000" w:type="pct"/>
            <w:tcBorders>
              <w:top w:val="single" w:sz="4" w:space="0" w:color="auto"/>
              <w:bottom w:val="single" w:sz="4" w:space="0" w:color="auto"/>
            </w:tcBorders>
            <w:vAlign w:val="center"/>
          </w:tcPr>
          <w:p w:rsidR="00E26C8E" w:rsidRPr="00E26C8E" w:rsidRDefault="00E26C8E" w:rsidP="00E26C8E">
            <w:pPr>
              <w:spacing w:before="40" w:after="40"/>
              <w:jc w:val="center"/>
              <w:rPr>
                <w:szCs w:val="17"/>
              </w:rPr>
            </w:pPr>
            <w:r w:rsidRPr="00E26C8E">
              <w:rPr>
                <w:szCs w:val="17"/>
              </w:rPr>
              <w:t>Column 2</w:t>
            </w:r>
          </w:p>
        </w:tc>
        <w:tc>
          <w:tcPr>
            <w:tcW w:w="1000" w:type="pct"/>
            <w:tcBorders>
              <w:top w:val="single" w:sz="4" w:space="0" w:color="auto"/>
              <w:bottom w:val="single" w:sz="4" w:space="0" w:color="auto"/>
            </w:tcBorders>
            <w:vAlign w:val="center"/>
          </w:tcPr>
          <w:p w:rsidR="00E26C8E" w:rsidRPr="00E26C8E" w:rsidRDefault="00E26C8E" w:rsidP="00E26C8E">
            <w:pPr>
              <w:spacing w:before="40" w:after="40"/>
              <w:jc w:val="center"/>
              <w:rPr>
                <w:szCs w:val="17"/>
              </w:rPr>
            </w:pPr>
            <w:r w:rsidRPr="00E26C8E">
              <w:rPr>
                <w:szCs w:val="17"/>
              </w:rPr>
              <w:t>Column 3</w:t>
            </w:r>
          </w:p>
        </w:tc>
        <w:tc>
          <w:tcPr>
            <w:tcW w:w="1000" w:type="pct"/>
            <w:tcBorders>
              <w:top w:val="single" w:sz="4" w:space="0" w:color="auto"/>
              <w:bottom w:val="single" w:sz="4" w:space="0" w:color="auto"/>
            </w:tcBorders>
            <w:vAlign w:val="center"/>
          </w:tcPr>
          <w:p w:rsidR="00E26C8E" w:rsidRPr="00E26C8E" w:rsidRDefault="00E26C8E" w:rsidP="00E26C8E">
            <w:pPr>
              <w:spacing w:before="40" w:after="40"/>
              <w:jc w:val="center"/>
              <w:rPr>
                <w:szCs w:val="17"/>
              </w:rPr>
            </w:pPr>
            <w:r w:rsidRPr="00E26C8E">
              <w:rPr>
                <w:szCs w:val="17"/>
              </w:rPr>
              <w:t>Column 4</w:t>
            </w:r>
          </w:p>
        </w:tc>
        <w:tc>
          <w:tcPr>
            <w:tcW w:w="1000" w:type="pct"/>
            <w:tcBorders>
              <w:top w:val="single" w:sz="4" w:space="0" w:color="auto"/>
              <w:bottom w:val="single" w:sz="4" w:space="0" w:color="auto"/>
            </w:tcBorders>
            <w:vAlign w:val="center"/>
          </w:tcPr>
          <w:p w:rsidR="00E26C8E" w:rsidRPr="00E26C8E" w:rsidRDefault="00E26C8E" w:rsidP="00E26C8E">
            <w:pPr>
              <w:spacing w:before="40" w:after="40"/>
              <w:jc w:val="center"/>
              <w:rPr>
                <w:szCs w:val="17"/>
              </w:rPr>
            </w:pPr>
            <w:r w:rsidRPr="00E26C8E">
              <w:rPr>
                <w:szCs w:val="17"/>
              </w:rPr>
              <w:t>Column 5</w:t>
            </w:r>
          </w:p>
        </w:tc>
      </w:tr>
      <w:tr w:rsidR="00E26C8E" w:rsidRPr="00E26C8E" w:rsidTr="00046B75">
        <w:trPr>
          <w:jc w:val="center"/>
        </w:trPr>
        <w:tc>
          <w:tcPr>
            <w:tcW w:w="1000" w:type="pct"/>
            <w:tcBorders>
              <w:top w:val="single" w:sz="4" w:space="0" w:color="auto"/>
              <w:bottom w:val="single" w:sz="4" w:space="0" w:color="auto"/>
            </w:tcBorders>
            <w:vAlign w:val="center"/>
          </w:tcPr>
          <w:p w:rsidR="00E26C8E" w:rsidRPr="00E26C8E" w:rsidRDefault="00E26C8E" w:rsidP="00E26C8E">
            <w:pPr>
              <w:spacing w:before="40"/>
              <w:jc w:val="center"/>
              <w:rPr>
                <w:szCs w:val="17"/>
              </w:rPr>
            </w:pPr>
            <w:r w:rsidRPr="00E26C8E">
              <w:rPr>
                <w:szCs w:val="17"/>
              </w:rPr>
              <w:t>ERA No</w:t>
            </w:r>
          </w:p>
        </w:tc>
        <w:tc>
          <w:tcPr>
            <w:tcW w:w="1000" w:type="pct"/>
            <w:tcBorders>
              <w:top w:val="single" w:sz="4" w:space="0" w:color="auto"/>
              <w:bottom w:val="single" w:sz="4" w:space="0" w:color="auto"/>
            </w:tcBorders>
            <w:vAlign w:val="center"/>
          </w:tcPr>
          <w:p w:rsidR="00E26C8E" w:rsidRPr="00E26C8E" w:rsidRDefault="00E26C8E" w:rsidP="00E26C8E">
            <w:pPr>
              <w:spacing w:before="40"/>
              <w:jc w:val="center"/>
              <w:rPr>
                <w:szCs w:val="17"/>
              </w:rPr>
            </w:pPr>
            <w:r w:rsidRPr="00E26C8E">
              <w:rPr>
                <w:szCs w:val="17"/>
              </w:rPr>
              <w:t>Locality</w:t>
            </w:r>
          </w:p>
        </w:tc>
        <w:tc>
          <w:tcPr>
            <w:tcW w:w="1000" w:type="pct"/>
            <w:tcBorders>
              <w:top w:val="single" w:sz="4" w:space="0" w:color="auto"/>
              <w:bottom w:val="single" w:sz="4" w:space="0" w:color="auto"/>
            </w:tcBorders>
            <w:vAlign w:val="center"/>
          </w:tcPr>
          <w:p w:rsidR="00E26C8E" w:rsidRPr="00E26C8E" w:rsidRDefault="00E26C8E" w:rsidP="00E26C8E">
            <w:pPr>
              <w:spacing w:before="40"/>
              <w:jc w:val="center"/>
              <w:rPr>
                <w:szCs w:val="17"/>
              </w:rPr>
            </w:pPr>
            <w:r w:rsidRPr="00E26C8E">
              <w:rPr>
                <w:szCs w:val="17"/>
              </w:rPr>
              <w:t>Area (km</w:t>
            </w:r>
            <w:r w:rsidRPr="00E26C8E">
              <w:rPr>
                <w:szCs w:val="17"/>
                <w:vertAlign w:val="superscript"/>
              </w:rPr>
              <w:t>2</w:t>
            </w:r>
            <w:r w:rsidRPr="00E26C8E">
              <w:rPr>
                <w:szCs w:val="17"/>
              </w:rPr>
              <w:t>)</w:t>
            </w:r>
          </w:p>
        </w:tc>
        <w:tc>
          <w:tcPr>
            <w:tcW w:w="1000" w:type="pct"/>
            <w:tcBorders>
              <w:top w:val="single" w:sz="4" w:space="0" w:color="auto"/>
              <w:bottom w:val="single" w:sz="4" w:space="0" w:color="auto"/>
            </w:tcBorders>
            <w:vAlign w:val="center"/>
          </w:tcPr>
          <w:p w:rsidR="00E26C8E" w:rsidRPr="00E26C8E" w:rsidRDefault="00E26C8E" w:rsidP="00E26C8E">
            <w:pPr>
              <w:spacing w:before="40"/>
              <w:jc w:val="center"/>
              <w:rPr>
                <w:szCs w:val="17"/>
              </w:rPr>
            </w:pPr>
            <w:r w:rsidRPr="00E26C8E">
              <w:rPr>
                <w:szCs w:val="17"/>
              </w:rPr>
              <w:t>Application Period</w:t>
            </w:r>
          </w:p>
        </w:tc>
        <w:tc>
          <w:tcPr>
            <w:tcW w:w="1000" w:type="pct"/>
            <w:tcBorders>
              <w:top w:val="single" w:sz="4" w:space="0" w:color="auto"/>
              <w:bottom w:val="single" w:sz="4" w:space="0" w:color="auto"/>
            </w:tcBorders>
            <w:vAlign w:val="center"/>
          </w:tcPr>
          <w:p w:rsidR="00E26C8E" w:rsidRPr="00E26C8E" w:rsidRDefault="00E26C8E" w:rsidP="00E26C8E">
            <w:pPr>
              <w:spacing w:before="40"/>
              <w:jc w:val="center"/>
              <w:rPr>
                <w:szCs w:val="17"/>
              </w:rPr>
            </w:pPr>
            <w:r w:rsidRPr="00E26C8E">
              <w:rPr>
                <w:szCs w:val="17"/>
              </w:rPr>
              <w:t>ERA Specific Criteria</w:t>
            </w:r>
          </w:p>
        </w:tc>
      </w:tr>
      <w:tr w:rsidR="00E26C8E" w:rsidRPr="00E26C8E" w:rsidTr="00046B75">
        <w:trPr>
          <w:jc w:val="center"/>
        </w:trPr>
        <w:tc>
          <w:tcPr>
            <w:tcW w:w="1000" w:type="pct"/>
            <w:tcBorders>
              <w:top w:val="single" w:sz="4" w:space="0" w:color="auto"/>
            </w:tcBorders>
            <w:vAlign w:val="center"/>
          </w:tcPr>
          <w:p w:rsidR="00E26C8E" w:rsidRPr="00E26C8E" w:rsidRDefault="00E26C8E" w:rsidP="00E26C8E">
            <w:pPr>
              <w:spacing w:after="0" w:line="80" w:lineRule="exact"/>
              <w:jc w:val="left"/>
              <w:rPr>
                <w:szCs w:val="17"/>
              </w:rPr>
            </w:pPr>
          </w:p>
        </w:tc>
        <w:tc>
          <w:tcPr>
            <w:tcW w:w="1000" w:type="pct"/>
            <w:tcBorders>
              <w:top w:val="single" w:sz="4" w:space="0" w:color="auto"/>
            </w:tcBorders>
            <w:vAlign w:val="center"/>
          </w:tcPr>
          <w:p w:rsidR="00E26C8E" w:rsidRPr="00E26C8E" w:rsidRDefault="00E26C8E" w:rsidP="00E26C8E">
            <w:pPr>
              <w:spacing w:after="0" w:line="80" w:lineRule="exact"/>
              <w:jc w:val="left"/>
              <w:rPr>
                <w:szCs w:val="17"/>
              </w:rPr>
            </w:pPr>
          </w:p>
        </w:tc>
        <w:tc>
          <w:tcPr>
            <w:tcW w:w="1000" w:type="pct"/>
            <w:tcBorders>
              <w:top w:val="single" w:sz="4" w:space="0" w:color="auto"/>
            </w:tcBorders>
            <w:vAlign w:val="center"/>
          </w:tcPr>
          <w:p w:rsidR="00E26C8E" w:rsidRPr="00E26C8E" w:rsidRDefault="00E26C8E" w:rsidP="00E26C8E">
            <w:pPr>
              <w:spacing w:after="0" w:line="80" w:lineRule="exact"/>
              <w:jc w:val="left"/>
              <w:rPr>
                <w:szCs w:val="17"/>
              </w:rPr>
            </w:pPr>
          </w:p>
        </w:tc>
        <w:tc>
          <w:tcPr>
            <w:tcW w:w="1000" w:type="pct"/>
            <w:tcBorders>
              <w:top w:val="single" w:sz="4" w:space="0" w:color="auto"/>
            </w:tcBorders>
            <w:vAlign w:val="center"/>
          </w:tcPr>
          <w:p w:rsidR="00E26C8E" w:rsidRPr="00E26C8E" w:rsidRDefault="00E26C8E" w:rsidP="00E26C8E">
            <w:pPr>
              <w:spacing w:after="0" w:line="80" w:lineRule="exact"/>
              <w:jc w:val="left"/>
              <w:rPr>
                <w:szCs w:val="17"/>
              </w:rPr>
            </w:pPr>
          </w:p>
        </w:tc>
        <w:tc>
          <w:tcPr>
            <w:tcW w:w="1000" w:type="pct"/>
            <w:tcBorders>
              <w:top w:val="single" w:sz="4" w:space="0" w:color="auto"/>
            </w:tcBorders>
            <w:vAlign w:val="center"/>
          </w:tcPr>
          <w:p w:rsidR="00E26C8E" w:rsidRPr="00E26C8E" w:rsidRDefault="00E26C8E" w:rsidP="00E26C8E">
            <w:pPr>
              <w:spacing w:after="0" w:line="80" w:lineRule="exact"/>
              <w:jc w:val="left"/>
              <w:rPr>
                <w:szCs w:val="17"/>
              </w:rPr>
            </w:pPr>
          </w:p>
        </w:tc>
      </w:tr>
    </w:tbl>
    <w:p w:rsidR="00E26C8E" w:rsidRPr="00E26C8E" w:rsidRDefault="00E26C8E" w:rsidP="00E26C8E">
      <w:pPr>
        <w:spacing w:after="0"/>
        <w:rPr>
          <w:rFonts w:eastAsia="Times New Roman"/>
          <w:szCs w:val="17"/>
        </w:rPr>
      </w:pPr>
      <w:r w:rsidRPr="00E26C8E">
        <w:rPr>
          <w:rFonts w:eastAsia="Times New Roman"/>
          <w:szCs w:val="17"/>
        </w:rPr>
        <w:t>Dated: 11 December 2020</w:t>
      </w:r>
    </w:p>
    <w:p w:rsidR="00E26C8E" w:rsidRPr="00E26C8E" w:rsidRDefault="00E26C8E" w:rsidP="00E26C8E">
      <w:pPr>
        <w:spacing w:after="0"/>
        <w:jc w:val="right"/>
        <w:rPr>
          <w:rFonts w:eastAsia="Times New Roman"/>
          <w:smallCaps/>
          <w:szCs w:val="20"/>
        </w:rPr>
      </w:pPr>
      <w:r w:rsidRPr="00E26C8E">
        <w:rPr>
          <w:rFonts w:eastAsia="Times New Roman"/>
          <w:smallCaps/>
          <w:szCs w:val="20"/>
        </w:rPr>
        <w:t>Hon. Daniel van Holst Pellekaan</w:t>
      </w:r>
    </w:p>
    <w:p w:rsidR="00E26C8E" w:rsidRPr="00E26C8E" w:rsidRDefault="00E26C8E" w:rsidP="00E26C8E">
      <w:pPr>
        <w:spacing w:after="0"/>
        <w:jc w:val="right"/>
        <w:rPr>
          <w:rFonts w:eastAsia="Times New Roman"/>
          <w:szCs w:val="17"/>
        </w:rPr>
      </w:pPr>
      <w:r w:rsidRPr="00E26C8E">
        <w:rPr>
          <w:rFonts w:eastAsia="Times New Roman"/>
          <w:szCs w:val="17"/>
        </w:rPr>
        <w:t>Minister for Energy and Mining</w:t>
      </w:r>
    </w:p>
    <w:p w:rsidR="00E26C8E" w:rsidRPr="00E26C8E" w:rsidRDefault="00E26C8E" w:rsidP="00E26C8E">
      <w:pPr>
        <w:pBdr>
          <w:top w:val="single" w:sz="4" w:space="1" w:color="auto"/>
        </w:pBdr>
        <w:spacing w:before="100" w:after="0" w:line="14" w:lineRule="exact"/>
        <w:jc w:val="center"/>
        <w:rPr>
          <w:rFonts w:eastAsia="Times New Roman"/>
          <w:szCs w:val="17"/>
        </w:rPr>
      </w:pPr>
    </w:p>
    <w:p w:rsidR="00E26C8E" w:rsidRPr="00E26C8E" w:rsidRDefault="00E26C8E" w:rsidP="00E26C8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E26C8E" w:rsidRPr="00E26C8E" w:rsidRDefault="00E26C8E" w:rsidP="00E26C8E">
      <w:pPr>
        <w:jc w:val="center"/>
        <w:rPr>
          <w:caps/>
          <w:szCs w:val="17"/>
        </w:rPr>
      </w:pPr>
      <w:r w:rsidRPr="00E26C8E">
        <w:rPr>
          <w:caps/>
          <w:szCs w:val="17"/>
        </w:rPr>
        <w:t>Mining Act 1971</w:t>
      </w:r>
    </w:p>
    <w:p w:rsidR="00E26C8E" w:rsidRPr="00E26C8E" w:rsidRDefault="00E26C8E" w:rsidP="008845EE">
      <w:pPr>
        <w:pStyle w:val="GG-Title3"/>
      </w:pPr>
      <w:r w:rsidRPr="00E26C8E">
        <w:t>Notice under Section 29A(7) of the Mining Act 1971</w:t>
      </w:r>
    </w:p>
    <w:p w:rsidR="00E26C8E" w:rsidRPr="00E26C8E" w:rsidRDefault="00E26C8E" w:rsidP="00E26C8E">
      <w:pPr>
        <w:rPr>
          <w:rFonts w:eastAsia="Times New Roman"/>
          <w:szCs w:val="17"/>
        </w:rPr>
      </w:pPr>
      <w:r w:rsidRPr="00E26C8E">
        <w:rPr>
          <w:rFonts w:eastAsia="Times New Roman"/>
          <w:szCs w:val="17"/>
        </w:rPr>
        <w:t>NOTICE is hereby given in accordance with section 29A(7) of the above Act to declare a period for which an application for an exploration licence that relates to an exploration release area can be refused for failure to pay the fee payable under section 31 of the Act.</w:t>
      </w:r>
    </w:p>
    <w:p w:rsidR="00E26C8E" w:rsidRPr="00E26C8E" w:rsidRDefault="00E26C8E" w:rsidP="00E26C8E">
      <w:pPr>
        <w:rPr>
          <w:rFonts w:eastAsia="Times New Roman"/>
          <w:szCs w:val="17"/>
        </w:rPr>
      </w:pPr>
      <w:r w:rsidRPr="00E26C8E">
        <w:rPr>
          <w:rFonts w:eastAsia="Times New Roman"/>
          <w:szCs w:val="17"/>
        </w:rPr>
        <w:t>TAKE notice that I, Daniel van Holst Pellekaan, Minister for Energy and Mining, pursuant to section 29(7) of the above Act do hereby:</w:t>
      </w:r>
    </w:p>
    <w:p w:rsidR="00E26C8E" w:rsidRPr="00E26C8E" w:rsidRDefault="00E26C8E" w:rsidP="00E26C8E">
      <w:pPr>
        <w:ind w:left="142"/>
        <w:rPr>
          <w:rFonts w:eastAsia="Times New Roman"/>
          <w:spacing w:val="-2"/>
          <w:szCs w:val="17"/>
        </w:rPr>
      </w:pPr>
      <w:r w:rsidRPr="00E26C8E">
        <w:rPr>
          <w:rFonts w:eastAsia="Times New Roman"/>
          <w:spacing w:val="-2"/>
          <w:szCs w:val="17"/>
        </w:rPr>
        <w:t>DECLARE that the applicant is given thirty (30) days from issuance of an invoice to pay the fee payable under Section 31 of the above Act.</w:t>
      </w:r>
    </w:p>
    <w:p w:rsidR="00E26C8E" w:rsidRPr="00E26C8E" w:rsidRDefault="00E26C8E" w:rsidP="00E26C8E">
      <w:pPr>
        <w:rPr>
          <w:rFonts w:eastAsia="Times New Roman"/>
          <w:szCs w:val="17"/>
        </w:rPr>
      </w:pPr>
      <w:r w:rsidRPr="00E26C8E">
        <w:rPr>
          <w:rFonts w:eastAsia="Times New Roman"/>
          <w:szCs w:val="17"/>
        </w:rPr>
        <w:t>In accordance with Section 29A(7) of the</w:t>
      </w:r>
      <w:r w:rsidRPr="00E26C8E">
        <w:rPr>
          <w:rFonts w:eastAsia="Times New Roman"/>
          <w:i/>
          <w:szCs w:val="17"/>
        </w:rPr>
        <w:t xml:space="preserve"> Mining Act 1971,</w:t>
      </w:r>
      <w:r w:rsidRPr="00E26C8E">
        <w:rPr>
          <w:rFonts w:eastAsia="Times New Roman"/>
          <w:szCs w:val="17"/>
        </w:rPr>
        <w:t xml:space="preserve"> this notice will have effect from 1 January 2021.</w:t>
      </w:r>
    </w:p>
    <w:p w:rsidR="00E26C8E" w:rsidRPr="00E26C8E" w:rsidRDefault="00E26C8E" w:rsidP="00E26C8E">
      <w:pPr>
        <w:spacing w:after="0"/>
        <w:rPr>
          <w:rFonts w:eastAsia="Times New Roman"/>
          <w:szCs w:val="17"/>
        </w:rPr>
      </w:pPr>
      <w:r w:rsidRPr="00E26C8E">
        <w:rPr>
          <w:rFonts w:eastAsia="Times New Roman"/>
          <w:szCs w:val="17"/>
        </w:rPr>
        <w:t>Dated: 11 December 2020</w:t>
      </w:r>
    </w:p>
    <w:p w:rsidR="00E26C8E" w:rsidRPr="00E26C8E" w:rsidRDefault="00E26C8E" w:rsidP="00E26C8E">
      <w:pPr>
        <w:spacing w:after="0"/>
        <w:jc w:val="right"/>
        <w:rPr>
          <w:rFonts w:eastAsia="Times New Roman"/>
          <w:smallCaps/>
          <w:szCs w:val="20"/>
        </w:rPr>
      </w:pPr>
      <w:r w:rsidRPr="00E26C8E">
        <w:rPr>
          <w:rFonts w:eastAsia="Times New Roman"/>
          <w:smallCaps/>
          <w:szCs w:val="20"/>
        </w:rPr>
        <w:t>Hon. Daniel van Holst Pellekaan</w:t>
      </w:r>
    </w:p>
    <w:p w:rsidR="00E26C8E" w:rsidRPr="00E26C8E" w:rsidRDefault="00E26C8E" w:rsidP="00E26C8E">
      <w:pPr>
        <w:spacing w:after="0"/>
        <w:jc w:val="right"/>
        <w:rPr>
          <w:rFonts w:eastAsia="Times New Roman"/>
          <w:szCs w:val="17"/>
        </w:rPr>
      </w:pPr>
      <w:r w:rsidRPr="00E26C8E">
        <w:rPr>
          <w:rFonts w:eastAsia="Times New Roman"/>
          <w:szCs w:val="17"/>
        </w:rPr>
        <w:t>Minister for Energy and Mining</w:t>
      </w:r>
    </w:p>
    <w:p w:rsidR="00E26C8E" w:rsidRPr="00E26C8E" w:rsidRDefault="00E26C8E" w:rsidP="00E26C8E">
      <w:pPr>
        <w:pBdr>
          <w:top w:val="single" w:sz="4" w:space="1" w:color="auto"/>
        </w:pBdr>
        <w:spacing w:before="100" w:after="0" w:line="14" w:lineRule="exact"/>
        <w:jc w:val="center"/>
        <w:rPr>
          <w:rFonts w:eastAsia="Times New Roman"/>
          <w:szCs w:val="17"/>
        </w:rPr>
      </w:pPr>
    </w:p>
    <w:p w:rsidR="00E26C8E" w:rsidRPr="00E26C8E" w:rsidRDefault="00E26C8E" w:rsidP="00E26C8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E26C8E" w:rsidRPr="00E26C8E" w:rsidRDefault="00E26C8E" w:rsidP="00E26C8E">
      <w:pPr>
        <w:jc w:val="center"/>
        <w:rPr>
          <w:caps/>
          <w:szCs w:val="17"/>
        </w:rPr>
      </w:pPr>
      <w:r w:rsidRPr="00E26C8E">
        <w:rPr>
          <w:caps/>
          <w:szCs w:val="17"/>
        </w:rPr>
        <w:t>Mining Act 1971</w:t>
      </w:r>
    </w:p>
    <w:p w:rsidR="00E26C8E" w:rsidRPr="00E26C8E" w:rsidRDefault="00E26C8E" w:rsidP="008845EE">
      <w:pPr>
        <w:pStyle w:val="GG-Title3"/>
      </w:pPr>
      <w:r w:rsidRPr="00E26C8E">
        <w:t>Notice under Section 30AAA(10) of the Mining Act 1971</w:t>
      </w:r>
    </w:p>
    <w:p w:rsidR="00E26C8E" w:rsidRPr="00E26C8E" w:rsidRDefault="00E26C8E" w:rsidP="00E26C8E">
      <w:pPr>
        <w:rPr>
          <w:rFonts w:eastAsia="Times New Roman"/>
          <w:szCs w:val="17"/>
        </w:rPr>
      </w:pPr>
      <w:r w:rsidRPr="00E26C8E">
        <w:rPr>
          <w:rFonts w:eastAsia="Times New Roman"/>
          <w:szCs w:val="17"/>
        </w:rPr>
        <w:t>NOTICE is hereby given pursuant to the provision of section 30AAA(10) of the</w:t>
      </w:r>
      <w:r w:rsidRPr="00E26C8E">
        <w:rPr>
          <w:rFonts w:eastAsia="Times New Roman"/>
          <w:i/>
          <w:szCs w:val="17"/>
        </w:rPr>
        <w:t xml:space="preserve"> Mining Act 1971</w:t>
      </w:r>
      <w:r w:rsidRPr="00E26C8E">
        <w:rPr>
          <w:rFonts w:eastAsia="Times New Roman"/>
          <w:szCs w:val="17"/>
        </w:rPr>
        <w:t>, to specify the manner and extent of an application for an amalgamated expenditure arrangement (AEA).</w:t>
      </w:r>
    </w:p>
    <w:p w:rsidR="00E26C8E" w:rsidRPr="00E26C8E" w:rsidRDefault="00E26C8E" w:rsidP="00E26C8E">
      <w:pPr>
        <w:rPr>
          <w:rFonts w:eastAsia="Times New Roman"/>
          <w:szCs w:val="17"/>
        </w:rPr>
      </w:pPr>
      <w:r w:rsidRPr="00E26C8E">
        <w:rPr>
          <w:rFonts w:eastAsia="Times New Roman"/>
          <w:szCs w:val="17"/>
        </w:rPr>
        <w:t>In accordance with section 30AAA(10) of the</w:t>
      </w:r>
      <w:r w:rsidRPr="00E26C8E">
        <w:rPr>
          <w:rFonts w:eastAsia="Times New Roman"/>
          <w:i/>
          <w:szCs w:val="17"/>
        </w:rPr>
        <w:t xml:space="preserve"> Mining Act 1971</w:t>
      </w:r>
      <w:r w:rsidRPr="00E26C8E">
        <w:rPr>
          <w:rFonts w:eastAsia="Times New Roman"/>
          <w:szCs w:val="17"/>
        </w:rPr>
        <w:t xml:space="preserve"> this notice will have effect from 1 January 2021.</w:t>
      </w:r>
    </w:p>
    <w:p w:rsidR="00E26C8E" w:rsidRPr="00E26C8E" w:rsidRDefault="00E26C8E" w:rsidP="00E26C8E">
      <w:pPr>
        <w:rPr>
          <w:rFonts w:eastAsia="Times New Roman"/>
          <w:szCs w:val="17"/>
        </w:rPr>
      </w:pPr>
      <w:r w:rsidRPr="00E26C8E">
        <w:rPr>
          <w:rFonts w:eastAsia="Times New Roman"/>
          <w:szCs w:val="17"/>
        </w:rPr>
        <w:t>TAKE notice that I, Daniel van Holst Pellekaan, Minister for Energy and Mining, pursuant to section 30AAA(10) of the</w:t>
      </w:r>
      <w:r w:rsidRPr="00E26C8E">
        <w:rPr>
          <w:rFonts w:eastAsia="Times New Roman"/>
          <w:i/>
          <w:szCs w:val="17"/>
        </w:rPr>
        <w:t xml:space="preserve"> Mining Act 1971</w:t>
      </w:r>
      <w:r w:rsidRPr="00E26C8E">
        <w:rPr>
          <w:rFonts w:eastAsia="Times New Roman"/>
          <w:szCs w:val="17"/>
        </w:rPr>
        <w:t xml:space="preserve"> do hereby:</w:t>
      </w:r>
    </w:p>
    <w:p w:rsidR="00E26C8E" w:rsidRPr="00E26C8E" w:rsidRDefault="00E26C8E" w:rsidP="00E26C8E">
      <w:pPr>
        <w:ind w:left="142"/>
        <w:rPr>
          <w:rFonts w:eastAsia="Times New Roman"/>
          <w:szCs w:val="17"/>
        </w:rPr>
      </w:pPr>
      <w:r w:rsidRPr="00E26C8E">
        <w:rPr>
          <w:rFonts w:eastAsia="Times New Roman"/>
          <w:szCs w:val="17"/>
        </w:rPr>
        <w:t>DETERMINE that an application under section 30AAA(10) of the</w:t>
      </w:r>
      <w:r w:rsidRPr="00E26C8E">
        <w:rPr>
          <w:rFonts w:eastAsia="Times New Roman"/>
          <w:i/>
          <w:szCs w:val="17"/>
        </w:rPr>
        <w:t xml:space="preserve"> Mining Act 1971</w:t>
      </w:r>
      <w:r w:rsidRPr="00E26C8E">
        <w:rPr>
          <w:rFonts w:eastAsia="Times New Roman"/>
          <w:szCs w:val="17"/>
        </w:rPr>
        <w:t xml:space="preserve"> must be in the following manner and extent:</w:t>
      </w:r>
    </w:p>
    <w:p w:rsidR="00E26C8E" w:rsidRPr="00E26C8E" w:rsidRDefault="00E26C8E" w:rsidP="00E26C8E">
      <w:pPr>
        <w:ind w:left="567" w:hanging="283"/>
        <w:rPr>
          <w:rFonts w:eastAsia="Times New Roman"/>
          <w:szCs w:val="17"/>
        </w:rPr>
      </w:pPr>
      <w:r w:rsidRPr="00E26C8E">
        <w:rPr>
          <w:rFonts w:eastAsia="Times New Roman"/>
          <w:szCs w:val="17"/>
        </w:rPr>
        <w:t>1.</w:t>
      </w:r>
      <w:r w:rsidRPr="00E26C8E">
        <w:rPr>
          <w:rFonts w:eastAsia="Times New Roman"/>
          <w:szCs w:val="17"/>
        </w:rPr>
        <w:tab/>
        <w:t>Provide the exploration licence numbers;</w:t>
      </w:r>
    </w:p>
    <w:p w:rsidR="00E26C8E" w:rsidRPr="00E26C8E" w:rsidRDefault="00E26C8E" w:rsidP="00E26C8E">
      <w:pPr>
        <w:ind w:left="567" w:hanging="283"/>
        <w:rPr>
          <w:rFonts w:eastAsia="Times New Roman"/>
          <w:szCs w:val="17"/>
        </w:rPr>
      </w:pPr>
      <w:r w:rsidRPr="00E26C8E">
        <w:rPr>
          <w:rFonts w:eastAsia="Times New Roman"/>
          <w:szCs w:val="17"/>
        </w:rPr>
        <w:t>2.</w:t>
      </w:r>
      <w:r w:rsidRPr="00E26C8E">
        <w:rPr>
          <w:rFonts w:eastAsia="Times New Roman"/>
          <w:szCs w:val="17"/>
        </w:rPr>
        <w:tab/>
        <w:t>Provide the names of tenement holder (company or individual): list all tenement holders and their percentage share in the exploration licences, demonstrating the applicant has a majority interest in all exploration licences;</w:t>
      </w:r>
    </w:p>
    <w:p w:rsidR="00E26C8E" w:rsidRPr="00E26C8E" w:rsidRDefault="00E26C8E" w:rsidP="00E26C8E">
      <w:pPr>
        <w:ind w:left="567" w:hanging="283"/>
        <w:rPr>
          <w:rFonts w:eastAsia="Times New Roman"/>
          <w:szCs w:val="17"/>
        </w:rPr>
      </w:pPr>
      <w:r w:rsidRPr="00E26C8E">
        <w:rPr>
          <w:rFonts w:eastAsia="Times New Roman"/>
          <w:szCs w:val="17"/>
        </w:rPr>
        <w:t>3.</w:t>
      </w:r>
      <w:r w:rsidRPr="00E26C8E">
        <w:rPr>
          <w:rFonts w:eastAsia="Times New Roman"/>
          <w:szCs w:val="17"/>
        </w:rPr>
        <w:tab/>
        <w:t xml:space="preserve">Where the application includes exploration licences owned by two or more parties </w:t>
      </w:r>
      <w:r w:rsidRPr="00E26C8E">
        <w:rPr>
          <w:rFonts w:eastAsia="Times New Roman"/>
          <w:i/>
          <w:szCs w:val="17"/>
        </w:rPr>
        <w:t>-</w:t>
      </w:r>
      <w:r w:rsidRPr="00E26C8E">
        <w:rPr>
          <w:rFonts w:eastAsia="Times New Roman"/>
          <w:szCs w:val="17"/>
        </w:rPr>
        <w:t xml:space="preserve"> declare whether the parties are related body corporates under the </w:t>
      </w:r>
      <w:r w:rsidRPr="00E26C8E">
        <w:rPr>
          <w:rFonts w:eastAsia="Times New Roman"/>
          <w:i/>
          <w:szCs w:val="17"/>
        </w:rPr>
        <w:t>Corporations Act 2001 (Cth)</w:t>
      </w:r>
      <w:r w:rsidRPr="00E26C8E">
        <w:rPr>
          <w:rFonts w:eastAsia="Times New Roman"/>
          <w:szCs w:val="17"/>
        </w:rPr>
        <w:t>.</w:t>
      </w:r>
    </w:p>
    <w:p w:rsidR="00E26C8E" w:rsidRPr="00E26C8E" w:rsidRDefault="00E26C8E" w:rsidP="00E26C8E">
      <w:pPr>
        <w:ind w:left="567" w:hanging="283"/>
        <w:rPr>
          <w:rFonts w:eastAsia="Times New Roman"/>
          <w:szCs w:val="17"/>
        </w:rPr>
      </w:pPr>
      <w:r w:rsidRPr="00E26C8E">
        <w:rPr>
          <w:rFonts w:eastAsia="Times New Roman"/>
          <w:szCs w:val="17"/>
        </w:rPr>
        <w:t>4.</w:t>
      </w:r>
      <w:r w:rsidRPr="00E26C8E">
        <w:rPr>
          <w:rFonts w:eastAsia="Times New Roman"/>
          <w:szCs w:val="17"/>
        </w:rPr>
        <w:tab/>
        <w:t>Provide a statement outlining the exploration operations that the tenement holder(s) intend to carry out under the exploration licences subject to the proposed amalgamation of expenditure commitments;</w:t>
      </w:r>
    </w:p>
    <w:p w:rsidR="00E26C8E" w:rsidRPr="00E26C8E" w:rsidRDefault="00E26C8E" w:rsidP="00E26C8E">
      <w:pPr>
        <w:ind w:left="567" w:hanging="283"/>
        <w:rPr>
          <w:rFonts w:eastAsia="Times New Roman"/>
          <w:szCs w:val="17"/>
        </w:rPr>
      </w:pPr>
      <w:r w:rsidRPr="00E26C8E">
        <w:rPr>
          <w:rFonts w:eastAsia="Times New Roman"/>
          <w:szCs w:val="17"/>
        </w:rPr>
        <w:t>5.</w:t>
      </w:r>
      <w:r w:rsidRPr="00E26C8E">
        <w:rPr>
          <w:rFonts w:eastAsia="Times New Roman"/>
          <w:szCs w:val="17"/>
        </w:rPr>
        <w:tab/>
        <w:t>Details of contact person, including name, address, contact numbers, email address, authorisation from tenement holders if contact person is an agent or tenement manager, and demonstrate whether that person consents to receiving tenement related correspondence via electronic means</w:t>
      </w:r>
    </w:p>
    <w:p w:rsidR="00E26C8E" w:rsidRPr="00E26C8E" w:rsidRDefault="00E26C8E" w:rsidP="00E26C8E">
      <w:pPr>
        <w:spacing w:after="0"/>
        <w:rPr>
          <w:rFonts w:eastAsia="Times New Roman"/>
          <w:szCs w:val="17"/>
        </w:rPr>
      </w:pPr>
      <w:r w:rsidRPr="00E26C8E">
        <w:rPr>
          <w:rFonts w:eastAsia="Times New Roman"/>
          <w:szCs w:val="17"/>
        </w:rPr>
        <w:t>Dated: 11 December 2020</w:t>
      </w:r>
    </w:p>
    <w:p w:rsidR="00E26C8E" w:rsidRPr="00E26C8E" w:rsidRDefault="00E26C8E" w:rsidP="00E26C8E">
      <w:pPr>
        <w:spacing w:after="0"/>
        <w:jc w:val="right"/>
        <w:rPr>
          <w:rFonts w:eastAsia="Times New Roman"/>
          <w:smallCaps/>
          <w:szCs w:val="20"/>
        </w:rPr>
      </w:pPr>
      <w:r w:rsidRPr="00E26C8E">
        <w:rPr>
          <w:rFonts w:eastAsia="Times New Roman"/>
          <w:smallCaps/>
          <w:szCs w:val="20"/>
        </w:rPr>
        <w:t>Hon. Daniel van Holst Pellekaan</w:t>
      </w:r>
    </w:p>
    <w:p w:rsidR="00E26C8E" w:rsidRPr="00E26C8E" w:rsidRDefault="00E26C8E" w:rsidP="00E26C8E">
      <w:pPr>
        <w:spacing w:after="0"/>
        <w:jc w:val="right"/>
        <w:rPr>
          <w:rFonts w:eastAsia="Times New Roman"/>
          <w:szCs w:val="17"/>
        </w:rPr>
      </w:pPr>
      <w:r w:rsidRPr="00E26C8E">
        <w:rPr>
          <w:rFonts w:eastAsia="Times New Roman"/>
          <w:szCs w:val="17"/>
        </w:rPr>
        <w:t>Minister for Energy and Mining</w:t>
      </w:r>
    </w:p>
    <w:p w:rsidR="00E26C8E" w:rsidRPr="00E26C8E" w:rsidRDefault="00E26C8E" w:rsidP="00E26C8E">
      <w:pPr>
        <w:pBdr>
          <w:top w:val="single" w:sz="4" w:space="1" w:color="auto"/>
        </w:pBdr>
        <w:spacing w:before="100" w:after="0" w:line="14" w:lineRule="exact"/>
        <w:jc w:val="center"/>
        <w:rPr>
          <w:rFonts w:eastAsia="Times New Roman"/>
          <w:szCs w:val="17"/>
        </w:rPr>
      </w:pPr>
    </w:p>
    <w:p w:rsidR="00E26C8E" w:rsidRPr="00E26C8E" w:rsidRDefault="00E26C8E" w:rsidP="00E26C8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p>
    <w:p w:rsidR="00E26C8E" w:rsidRPr="00E26C8E" w:rsidRDefault="00E26C8E" w:rsidP="00E26C8E">
      <w:pPr>
        <w:jc w:val="center"/>
        <w:rPr>
          <w:caps/>
          <w:szCs w:val="17"/>
        </w:rPr>
      </w:pPr>
      <w:r w:rsidRPr="00E26C8E">
        <w:rPr>
          <w:caps/>
          <w:szCs w:val="17"/>
        </w:rPr>
        <w:t>Mining Act 1971</w:t>
      </w:r>
    </w:p>
    <w:p w:rsidR="00E26C8E" w:rsidRPr="00E26C8E" w:rsidRDefault="00E26C8E" w:rsidP="008845EE">
      <w:pPr>
        <w:pStyle w:val="GG-Title3"/>
      </w:pPr>
      <w:r w:rsidRPr="00E26C8E">
        <w:t>Notice under Section 9AA(2) of the Mining Act 1971</w:t>
      </w:r>
    </w:p>
    <w:p w:rsidR="00E26C8E" w:rsidRPr="00E26C8E" w:rsidRDefault="00E26C8E" w:rsidP="00E26C8E">
      <w:pPr>
        <w:rPr>
          <w:rFonts w:eastAsia="Times New Roman"/>
          <w:szCs w:val="17"/>
        </w:rPr>
      </w:pPr>
      <w:r w:rsidRPr="00E26C8E">
        <w:rPr>
          <w:rFonts w:eastAsia="Times New Roman"/>
          <w:szCs w:val="17"/>
        </w:rPr>
        <w:t>NOTICE is hereby given pursuant to the provision of section 9AA(2) of the</w:t>
      </w:r>
      <w:r w:rsidRPr="00E26C8E">
        <w:rPr>
          <w:rFonts w:eastAsia="Times New Roman"/>
          <w:i/>
          <w:szCs w:val="17"/>
        </w:rPr>
        <w:t xml:space="preserve"> Mining Act 1971</w:t>
      </w:r>
      <w:r w:rsidRPr="00E26C8E">
        <w:rPr>
          <w:rFonts w:eastAsia="Times New Roman"/>
          <w:szCs w:val="17"/>
        </w:rPr>
        <w:t>, to specify the manner and form of a notice to seek a waiver of exempt land by agreement under section 9AA(1) of the</w:t>
      </w:r>
      <w:r w:rsidRPr="00E26C8E">
        <w:rPr>
          <w:rFonts w:eastAsia="Times New Roman"/>
          <w:i/>
          <w:szCs w:val="17"/>
        </w:rPr>
        <w:t xml:space="preserve"> Mining Act 1971</w:t>
      </w:r>
      <w:r w:rsidRPr="00E26C8E">
        <w:rPr>
          <w:rFonts w:eastAsia="Times New Roman"/>
          <w:szCs w:val="17"/>
        </w:rPr>
        <w:t>.</w:t>
      </w:r>
    </w:p>
    <w:p w:rsidR="00E26C8E" w:rsidRPr="00E26C8E" w:rsidRDefault="00E26C8E" w:rsidP="00E26C8E">
      <w:pPr>
        <w:rPr>
          <w:rFonts w:eastAsia="Times New Roman"/>
          <w:szCs w:val="17"/>
        </w:rPr>
      </w:pPr>
      <w:r w:rsidRPr="00E26C8E">
        <w:rPr>
          <w:rFonts w:eastAsia="Times New Roman"/>
          <w:szCs w:val="17"/>
        </w:rPr>
        <w:t>In accordance with section 9AA(2) of the</w:t>
      </w:r>
      <w:r w:rsidRPr="00E26C8E">
        <w:rPr>
          <w:rFonts w:eastAsia="Times New Roman"/>
          <w:i/>
          <w:szCs w:val="17"/>
        </w:rPr>
        <w:t xml:space="preserve"> Mining Act 1971</w:t>
      </w:r>
      <w:r w:rsidRPr="00E26C8E">
        <w:rPr>
          <w:rFonts w:eastAsia="Times New Roman"/>
          <w:szCs w:val="17"/>
        </w:rPr>
        <w:t xml:space="preserve"> this notice will have effect from 1 January 2021.</w:t>
      </w:r>
    </w:p>
    <w:p w:rsidR="00E26C8E" w:rsidRPr="00E26C8E" w:rsidRDefault="00E26C8E" w:rsidP="00E26C8E">
      <w:pPr>
        <w:rPr>
          <w:rFonts w:eastAsia="Times New Roman"/>
          <w:szCs w:val="17"/>
        </w:rPr>
      </w:pPr>
      <w:r w:rsidRPr="00E26C8E">
        <w:rPr>
          <w:rFonts w:eastAsia="Times New Roman"/>
          <w:szCs w:val="17"/>
        </w:rPr>
        <w:t>TAKE notice that I, Daniel van Holst Pellekaan, Minister for Energy and Mining, pursuant to section 9AA(2) of the</w:t>
      </w:r>
      <w:r w:rsidRPr="00E26C8E">
        <w:rPr>
          <w:rFonts w:eastAsia="Times New Roman"/>
          <w:i/>
          <w:szCs w:val="17"/>
        </w:rPr>
        <w:t xml:space="preserve"> Mining Act 1971</w:t>
      </w:r>
      <w:r w:rsidRPr="00E26C8E">
        <w:rPr>
          <w:rFonts w:eastAsia="Times New Roman"/>
          <w:szCs w:val="17"/>
        </w:rPr>
        <w:t xml:space="preserve"> do hereby:</w:t>
      </w:r>
    </w:p>
    <w:p w:rsidR="00E26C8E" w:rsidRPr="00E26C8E" w:rsidRDefault="00E26C8E" w:rsidP="00E26C8E">
      <w:pPr>
        <w:ind w:left="142"/>
        <w:rPr>
          <w:rFonts w:eastAsia="Times New Roman"/>
          <w:szCs w:val="17"/>
        </w:rPr>
      </w:pPr>
      <w:r w:rsidRPr="00E26C8E">
        <w:rPr>
          <w:rFonts w:eastAsia="Times New Roman"/>
          <w:szCs w:val="17"/>
        </w:rPr>
        <w:t>DETERMINE that a notice to seek a waiver of exempt land by agreement under section 9AA(1) of the</w:t>
      </w:r>
      <w:r w:rsidRPr="00E26C8E">
        <w:rPr>
          <w:rFonts w:eastAsia="Times New Roman"/>
          <w:i/>
          <w:szCs w:val="17"/>
        </w:rPr>
        <w:t xml:space="preserve"> Mining Act 1971</w:t>
      </w:r>
      <w:r w:rsidRPr="00E26C8E">
        <w:rPr>
          <w:rFonts w:eastAsia="Times New Roman"/>
          <w:szCs w:val="17"/>
        </w:rPr>
        <w:t xml:space="preserve"> must be in the following manner and form:</w:t>
      </w:r>
    </w:p>
    <w:p w:rsidR="00E26C8E" w:rsidRPr="00E26C8E" w:rsidRDefault="00E26C8E" w:rsidP="00E26C8E">
      <w:pPr>
        <w:ind w:left="567" w:hanging="283"/>
        <w:rPr>
          <w:rFonts w:eastAsia="Times New Roman"/>
          <w:szCs w:val="17"/>
        </w:rPr>
      </w:pPr>
      <w:r w:rsidRPr="00E26C8E">
        <w:rPr>
          <w:rFonts w:eastAsia="Times New Roman"/>
          <w:szCs w:val="17"/>
        </w:rPr>
        <w:t>1.</w:t>
      </w:r>
      <w:r w:rsidRPr="00E26C8E">
        <w:rPr>
          <w:rFonts w:eastAsia="Times New Roman"/>
          <w:szCs w:val="17"/>
        </w:rPr>
        <w:tab/>
        <w:t>state the full name(s) and address(es), as well as the phone numbers and email addresses (if known) of the relevant owner of land;</w:t>
      </w:r>
    </w:p>
    <w:p w:rsidR="00E26C8E" w:rsidRPr="00E26C8E" w:rsidRDefault="00E26C8E" w:rsidP="00E26C8E">
      <w:pPr>
        <w:ind w:left="567" w:hanging="283"/>
        <w:rPr>
          <w:rFonts w:eastAsia="Times New Roman"/>
          <w:szCs w:val="17"/>
        </w:rPr>
      </w:pPr>
      <w:r w:rsidRPr="00E26C8E">
        <w:rPr>
          <w:rFonts w:eastAsia="Times New Roman"/>
          <w:szCs w:val="17"/>
        </w:rPr>
        <w:t>2.</w:t>
      </w:r>
      <w:r w:rsidRPr="00E26C8E">
        <w:rPr>
          <w:rFonts w:eastAsia="Times New Roman"/>
          <w:szCs w:val="17"/>
        </w:rPr>
        <w:tab/>
        <w:t>state the full name(s) and business address(es) of the tenement holder(s);</w:t>
      </w:r>
    </w:p>
    <w:p w:rsidR="00E26C8E" w:rsidRPr="00E26C8E" w:rsidRDefault="00E26C8E" w:rsidP="00E26C8E">
      <w:pPr>
        <w:ind w:left="567" w:hanging="283"/>
        <w:rPr>
          <w:rFonts w:eastAsia="Times New Roman"/>
          <w:szCs w:val="17"/>
        </w:rPr>
      </w:pPr>
      <w:r w:rsidRPr="00E26C8E">
        <w:rPr>
          <w:rFonts w:eastAsia="Times New Roman"/>
          <w:szCs w:val="17"/>
        </w:rPr>
        <w:t>3.</w:t>
      </w:r>
      <w:r w:rsidRPr="00E26C8E">
        <w:rPr>
          <w:rFonts w:eastAsia="Times New Roman"/>
          <w:szCs w:val="17"/>
        </w:rPr>
        <w:tab/>
        <w:t>provide a description of the land, including the title reference (CT or CL) and parcel references, relating to the notice;</w:t>
      </w:r>
    </w:p>
    <w:p w:rsidR="00E26C8E" w:rsidRPr="00E26C8E" w:rsidRDefault="00E26C8E" w:rsidP="00E26C8E">
      <w:pPr>
        <w:ind w:left="567" w:hanging="283"/>
        <w:rPr>
          <w:rFonts w:eastAsia="Times New Roman"/>
          <w:szCs w:val="17"/>
        </w:rPr>
      </w:pPr>
      <w:r w:rsidRPr="00E26C8E">
        <w:rPr>
          <w:rFonts w:eastAsia="Times New Roman"/>
          <w:szCs w:val="17"/>
        </w:rPr>
        <w:t>4.</w:t>
      </w:r>
      <w:r w:rsidRPr="00E26C8E">
        <w:rPr>
          <w:rFonts w:eastAsia="Times New Roman"/>
          <w:szCs w:val="17"/>
        </w:rPr>
        <w:tab/>
        <w:t>provide a copy of or a link to access the program for environment protection and rehabilitation (PEPR) (if approved) or provide a reasonable description of the type of operations proposed to be carried out on the land;</w:t>
      </w:r>
    </w:p>
    <w:p w:rsidR="00E26C8E" w:rsidRPr="00E26C8E" w:rsidRDefault="00E26C8E" w:rsidP="00E26C8E">
      <w:pPr>
        <w:ind w:left="567" w:hanging="283"/>
        <w:rPr>
          <w:rFonts w:eastAsia="Times New Roman"/>
          <w:szCs w:val="17"/>
        </w:rPr>
      </w:pPr>
      <w:r w:rsidRPr="00E26C8E">
        <w:rPr>
          <w:rFonts w:eastAsia="Times New Roman"/>
          <w:szCs w:val="17"/>
        </w:rPr>
        <w:t>5.</w:t>
      </w:r>
      <w:r w:rsidRPr="00E26C8E">
        <w:rPr>
          <w:rFonts w:eastAsia="Times New Roman"/>
          <w:szCs w:val="17"/>
        </w:rPr>
        <w:tab/>
        <w:t>provide the tenement numbers of the tenements related to the notice being served (tenement information can be found at map.sarig.sa.gov.au);</w:t>
      </w:r>
    </w:p>
    <w:p w:rsidR="00E26C8E" w:rsidRPr="00E26C8E" w:rsidRDefault="00E26C8E" w:rsidP="00E26C8E">
      <w:pPr>
        <w:ind w:left="567" w:hanging="283"/>
        <w:rPr>
          <w:rFonts w:eastAsia="Times New Roman"/>
          <w:szCs w:val="17"/>
        </w:rPr>
      </w:pPr>
      <w:r w:rsidRPr="00E26C8E">
        <w:rPr>
          <w:rFonts w:eastAsia="Times New Roman"/>
          <w:szCs w:val="17"/>
        </w:rPr>
        <w:t>6.</w:t>
      </w:r>
      <w:r w:rsidRPr="00E26C8E">
        <w:rPr>
          <w:rFonts w:eastAsia="Times New Roman"/>
          <w:szCs w:val="17"/>
        </w:rPr>
        <w:tab/>
        <w:t>be accompanied by an Information Sheet relating to:</w:t>
      </w:r>
    </w:p>
    <w:p w:rsidR="00E26C8E" w:rsidRPr="00E26C8E" w:rsidRDefault="00E26C8E" w:rsidP="00E26C8E">
      <w:pPr>
        <w:ind w:left="851" w:hanging="284"/>
        <w:rPr>
          <w:rFonts w:eastAsia="Times New Roman"/>
          <w:szCs w:val="17"/>
        </w:rPr>
      </w:pPr>
      <w:r w:rsidRPr="00E26C8E">
        <w:rPr>
          <w:rFonts w:eastAsia="Times New Roman"/>
          <w:szCs w:val="17"/>
        </w:rPr>
        <w:t>a.</w:t>
      </w:r>
      <w:r w:rsidRPr="00E26C8E">
        <w:rPr>
          <w:rFonts w:eastAsia="Times New Roman"/>
          <w:szCs w:val="17"/>
        </w:rPr>
        <w:tab/>
        <w:t>exempt land and the owner of land</w:t>
      </w:r>
      <w:r w:rsidRPr="00E26C8E">
        <w:rPr>
          <w:rFonts w:eastAsia="Times New Roman"/>
          <w:i/>
          <w:szCs w:val="17"/>
        </w:rPr>
        <w:t>’</w:t>
      </w:r>
      <w:r w:rsidRPr="00E26C8E">
        <w:rPr>
          <w:rFonts w:eastAsia="Times New Roman"/>
          <w:szCs w:val="17"/>
        </w:rPr>
        <w:t>s rights approved by the Minister and published on the website of the Department for Energy and Mining; and</w:t>
      </w:r>
    </w:p>
    <w:p w:rsidR="00E26C8E" w:rsidRPr="00E26C8E" w:rsidRDefault="00E26C8E" w:rsidP="00E26C8E">
      <w:pPr>
        <w:ind w:left="851" w:hanging="284"/>
        <w:rPr>
          <w:rFonts w:eastAsia="Times New Roman"/>
          <w:szCs w:val="17"/>
        </w:rPr>
      </w:pPr>
      <w:r w:rsidRPr="00E26C8E">
        <w:rPr>
          <w:rFonts w:eastAsia="Times New Roman"/>
          <w:szCs w:val="17"/>
        </w:rPr>
        <w:t>b.</w:t>
      </w:r>
      <w:r w:rsidRPr="00E26C8E">
        <w:rPr>
          <w:rFonts w:eastAsia="Times New Roman"/>
          <w:szCs w:val="17"/>
        </w:rPr>
        <w:tab/>
        <w:t>the owner of land</w:t>
      </w:r>
      <w:r w:rsidRPr="00E26C8E">
        <w:rPr>
          <w:rFonts w:eastAsia="Times New Roman"/>
          <w:i/>
          <w:szCs w:val="17"/>
        </w:rPr>
        <w:t>’</w:t>
      </w:r>
      <w:r w:rsidRPr="00E26C8E">
        <w:rPr>
          <w:rFonts w:eastAsia="Times New Roman"/>
          <w:szCs w:val="17"/>
        </w:rPr>
        <w:t>s rights to apply to the Small Business Commissioner approved by the Minister and published on the website of the Department for Energy and Mining.</w:t>
      </w:r>
    </w:p>
    <w:p w:rsidR="00E26C8E" w:rsidRPr="00E26C8E" w:rsidRDefault="00E26C8E" w:rsidP="00E26C8E">
      <w:pPr>
        <w:spacing w:after="0"/>
        <w:rPr>
          <w:rFonts w:eastAsia="Times New Roman"/>
          <w:szCs w:val="17"/>
        </w:rPr>
      </w:pPr>
      <w:r w:rsidRPr="00E26C8E">
        <w:rPr>
          <w:rFonts w:eastAsia="Times New Roman"/>
          <w:szCs w:val="17"/>
        </w:rPr>
        <w:t>Dated: 11 December 2020</w:t>
      </w:r>
    </w:p>
    <w:p w:rsidR="00E26C8E" w:rsidRPr="00E26C8E" w:rsidRDefault="00E26C8E" w:rsidP="00E26C8E">
      <w:pPr>
        <w:spacing w:after="0"/>
        <w:jc w:val="right"/>
        <w:rPr>
          <w:rFonts w:eastAsia="Times New Roman"/>
          <w:smallCaps/>
          <w:szCs w:val="20"/>
        </w:rPr>
      </w:pPr>
      <w:r w:rsidRPr="00E26C8E">
        <w:rPr>
          <w:rFonts w:eastAsia="Times New Roman"/>
          <w:smallCaps/>
          <w:szCs w:val="20"/>
        </w:rPr>
        <w:t>Hon. Daniel van Holst Pellekaan</w:t>
      </w:r>
    </w:p>
    <w:p w:rsidR="00E26C8E" w:rsidRPr="00E26C8E" w:rsidRDefault="00E26C8E" w:rsidP="00E26C8E">
      <w:pPr>
        <w:spacing w:after="0"/>
        <w:jc w:val="right"/>
        <w:rPr>
          <w:rFonts w:eastAsia="Times New Roman"/>
          <w:szCs w:val="17"/>
        </w:rPr>
      </w:pPr>
      <w:r w:rsidRPr="00E26C8E">
        <w:rPr>
          <w:rFonts w:eastAsia="Times New Roman"/>
          <w:szCs w:val="17"/>
        </w:rPr>
        <w:t>Minister for Energy and Mining</w:t>
      </w:r>
    </w:p>
    <w:p w:rsidR="00E26C8E" w:rsidRPr="00E26C8E" w:rsidRDefault="00E26C8E" w:rsidP="00E26C8E">
      <w:pPr>
        <w:pBdr>
          <w:top w:val="single" w:sz="4" w:space="1" w:color="auto"/>
        </w:pBdr>
        <w:spacing w:before="100" w:after="0" w:line="14" w:lineRule="exact"/>
        <w:jc w:val="center"/>
        <w:rPr>
          <w:rFonts w:eastAsia="Times New Roman"/>
          <w:szCs w:val="17"/>
        </w:rPr>
      </w:pPr>
    </w:p>
    <w:p w:rsidR="00E26C8E" w:rsidRPr="00E26C8E" w:rsidRDefault="00E26C8E" w:rsidP="00E26C8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E26C8E" w:rsidRPr="00E26C8E" w:rsidRDefault="00E26C8E" w:rsidP="00E26C8E">
      <w:pPr>
        <w:spacing w:after="60"/>
        <w:jc w:val="center"/>
        <w:rPr>
          <w:caps/>
          <w:szCs w:val="17"/>
        </w:rPr>
      </w:pPr>
      <w:r w:rsidRPr="00E26C8E">
        <w:rPr>
          <w:caps/>
          <w:szCs w:val="17"/>
        </w:rPr>
        <w:t>Mining Act 1971</w:t>
      </w:r>
    </w:p>
    <w:p w:rsidR="00E26C8E" w:rsidRPr="00E26C8E" w:rsidRDefault="00E26C8E" w:rsidP="00E26C8E">
      <w:pPr>
        <w:spacing w:after="60"/>
        <w:jc w:val="center"/>
        <w:rPr>
          <w:smallCaps/>
          <w:szCs w:val="17"/>
        </w:rPr>
      </w:pPr>
      <w:r w:rsidRPr="00E26C8E">
        <w:rPr>
          <w:smallCaps/>
          <w:szCs w:val="17"/>
        </w:rPr>
        <w:t>Regulation 79</w:t>
      </w:r>
    </w:p>
    <w:p w:rsidR="00E26C8E" w:rsidRPr="00E26C8E" w:rsidRDefault="00E26C8E" w:rsidP="008845EE">
      <w:pPr>
        <w:pStyle w:val="GG-Title3"/>
      </w:pPr>
      <w:r w:rsidRPr="00E26C8E">
        <w:t>Leading Indicator Report Template</w:t>
      </w:r>
    </w:p>
    <w:p w:rsidR="00E26C8E" w:rsidRPr="00E26C8E" w:rsidRDefault="00E26C8E" w:rsidP="00E26C8E">
      <w:pPr>
        <w:spacing w:after="60"/>
        <w:rPr>
          <w:rFonts w:eastAsia="Times New Roman"/>
          <w:szCs w:val="17"/>
        </w:rPr>
      </w:pPr>
      <w:r w:rsidRPr="00E26C8E">
        <w:rPr>
          <w:rFonts w:eastAsia="Times New Roman"/>
          <w:szCs w:val="17"/>
          <w:shd w:val="clear" w:color="auto" w:fill="FFFFFF"/>
        </w:rPr>
        <w:t xml:space="preserve">For the purposes of regulation 79(3) of the </w:t>
      </w:r>
      <w:r w:rsidRPr="00E26C8E">
        <w:rPr>
          <w:rFonts w:eastAsia="Times New Roman"/>
          <w:i/>
          <w:szCs w:val="17"/>
          <w:shd w:val="clear" w:color="auto" w:fill="FFFFFF"/>
        </w:rPr>
        <w:t>Mining Regulations 2020</w:t>
      </w:r>
      <w:r w:rsidRPr="00E26C8E">
        <w:rPr>
          <w:rFonts w:eastAsia="Times New Roman"/>
          <w:szCs w:val="17"/>
          <w:shd w:val="clear" w:color="auto" w:fill="FFFFFF"/>
        </w:rPr>
        <w:t>, the Minister for Energy and Mining determines that an incident report must be provided to the Minister in the manner and form and contain such information as set out in this template.</w:t>
      </w:r>
    </w:p>
    <w:p w:rsidR="00E26C8E" w:rsidRPr="00E26C8E" w:rsidRDefault="00E26C8E" w:rsidP="00E26C8E">
      <w:pPr>
        <w:spacing w:after="60"/>
        <w:rPr>
          <w:rFonts w:eastAsia="Times New Roman"/>
          <w:szCs w:val="17"/>
        </w:rPr>
      </w:pPr>
      <w:r w:rsidRPr="00E26C8E">
        <w:rPr>
          <w:rFonts w:eastAsia="Times New Roman"/>
          <w:szCs w:val="17"/>
        </w:rPr>
        <w:t xml:space="preserve">In accordance with regulation 79(3) of the </w:t>
      </w:r>
      <w:r w:rsidRPr="00E26C8E">
        <w:rPr>
          <w:rFonts w:eastAsia="Times New Roman"/>
          <w:i/>
          <w:szCs w:val="17"/>
        </w:rPr>
        <w:t>Mining Regulations 2020</w:t>
      </w:r>
      <w:r w:rsidRPr="00E26C8E">
        <w:rPr>
          <w:rFonts w:eastAsia="Times New Roman"/>
          <w:szCs w:val="17"/>
        </w:rPr>
        <w:t xml:space="preserve"> this template will have effect from 1 January 2021.</w:t>
      </w:r>
    </w:p>
    <w:p w:rsidR="00E26C8E" w:rsidRPr="00E26C8E" w:rsidRDefault="00E26C8E" w:rsidP="00E26C8E">
      <w:pPr>
        <w:spacing w:after="60"/>
        <w:rPr>
          <w:rFonts w:eastAsia="Times New Roman"/>
          <w:b/>
          <w:szCs w:val="17"/>
        </w:rPr>
      </w:pPr>
      <w:r w:rsidRPr="00E26C8E">
        <w:rPr>
          <w:rFonts w:eastAsia="Times New Roman"/>
          <w:b/>
          <w:szCs w:val="17"/>
        </w:rPr>
        <w:t>Instructions</w:t>
      </w:r>
    </w:p>
    <w:p w:rsidR="00E26C8E" w:rsidRPr="00E26C8E" w:rsidRDefault="00E26C8E" w:rsidP="00E26C8E">
      <w:pPr>
        <w:spacing w:after="60"/>
        <w:ind w:left="426" w:hanging="284"/>
        <w:rPr>
          <w:rFonts w:eastAsia="Times New Roman"/>
          <w:szCs w:val="17"/>
        </w:rPr>
      </w:pPr>
      <w:r w:rsidRPr="00E26C8E">
        <w:rPr>
          <w:rFonts w:eastAsia="Times New Roman"/>
          <w:szCs w:val="17"/>
        </w:rPr>
        <w:t>1.</w:t>
      </w:r>
      <w:r w:rsidRPr="00E26C8E">
        <w:rPr>
          <w:rFonts w:ascii="Arial" w:eastAsia="Times New Roman" w:hAnsi="Arial"/>
          <w:szCs w:val="17"/>
        </w:rPr>
        <w:tab/>
      </w:r>
      <w:r w:rsidRPr="00E26C8E">
        <w:rPr>
          <w:rFonts w:eastAsia="Times New Roman"/>
          <w:szCs w:val="17"/>
        </w:rPr>
        <w:t>This form should be completed accurately with as much detail as is available.</w:t>
      </w:r>
    </w:p>
    <w:p w:rsidR="00E26C8E" w:rsidRPr="00E26C8E" w:rsidRDefault="00E26C8E" w:rsidP="00E26C8E">
      <w:pPr>
        <w:spacing w:after="60"/>
        <w:ind w:left="426" w:hanging="284"/>
        <w:rPr>
          <w:rFonts w:eastAsia="Times New Roman"/>
          <w:szCs w:val="17"/>
        </w:rPr>
      </w:pPr>
      <w:r w:rsidRPr="00E26C8E">
        <w:rPr>
          <w:rFonts w:eastAsia="Times New Roman"/>
          <w:szCs w:val="17"/>
        </w:rPr>
        <w:t>2.</w:t>
      </w:r>
      <w:r w:rsidRPr="00E26C8E">
        <w:rPr>
          <w:rFonts w:ascii="Arial" w:eastAsia="Times New Roman" w:hAnsi="Arial"/>
          <w:szCs w:val="17"/>
        </w:rPr>
        <w:tab/>
      </w:r>
      <w:r w:rsidRPr="00E26C8E">
        <w:rPr>
          <w:rFonts w:eastAsia="Times New Roman"/>
          <w:szCs w:val="17"/>
        </w:rPr>
        <w:t xml:space="preserve">Submit this completed form online to the Department for Energy and Mining (DEM) website via </w:t>
      </w:r>
      <w:hyperlink r:id="rId129" w:anchor="/form/5ebcf5f5ad9c5c0a087bc25c" w:history="1">
        <w:r w:rsidRPr="00E26C8E">
          <w:rPr>
            <w:rFonts w:eastAsia="Times New Roman"/>
            <w:color w:val="0000FF"/>
            <w:szCs w:val="17"/>
            <w:lang w:eastAsia="en-AU"/>
          </w:rPr>
          <w:t>sa.gov.au</w:t>
        </w:r>
      </w:hyperlink>
      <w:r w:rsidRPr="00E26C8E">
        <w:rPr>
          <w:rFonts w:eastAsia="Times New Roman"/>
          <w:szCs w:val="17"/>
        </w:rPr>
        <w:t>.</w:t>
      </w:r>
    </w:p>
    <w:p w:rsidR="00E26C8E" w:rsidRPr="00E26C8E" w:rsidRDefault="00E26C8E" w:rsidP="00E26C8E">
      <w:pPr>
        <w:spacing w:after="60"/>
        <w:rPr>
          <w:rFonts w:eastAsia="Times New Roman"/>
          <w:b/>
          <w:szCs w:val="17"/>
        </w:rPr>
      </w:pPr>
      <w:r w:rsidRPr="00E26C8E">
        <w:rPr>
          <w:rFonts w:eastAsia="Times New Roman"/>
          <w:b/>
          <w:szCs w:val="17"/>
        </w:rPr>
        <w:t>Definitions</w:t>
      </w:r>
    </w:p>
    <w:tbl>
      <w:tblPr>
        <w:tblStyle w:val="TableGrid121"/>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2267"/>
        <w:gridCol w:w="7087"/>
      </w:tblGrid>
      <w:tr w:rsidR="00E26C8E" w:rsidRPr="00E26C8E" w:rsidTr="00046B75">
        <w:trPr>
          <w:trHeight w:val="2458"/>
        </w:trPr>
        <w:tc>
          <w:tcPr>
            <w:tcW w:w="1212" w:type="pct"/>
            <w:tcMar>
              <w:left w:w="0" w:type="dxa"/>
            </w:tcMar>
          </w:tcPr>
          <w:p w:rsidR="00E26C8E" w:rsidRPr="00E26C8E" w:rsidRDefault="00E26C8E" w:rsidP="00E26C8E">
            <w:pPr>
              <w:rPr>
                <w:bCs/>
                <w:szCs w:val="17"/>
              </w:rPr>
            </w:pPr>
            <w:r w:rsidRPr="00E26C8E">
              <w:rPr>
                <w:bCs/>
                <w:szCs w:val="17"/>
              </w:rPr>
              <w:t>Reportable incident</w:t>
            </w:r>
          </w:p>
        </w:tc>
        <w:tc>
          <w:tcPr>
            <w:tcW w:w="3788" w:type="pct"/>
          </w:tcPr>
          <w:p w:rsidR="00E26C8E" w:rsidRPr="00E26C8E" w:rsidRDefault="00E26C8E" w:rsidP="00E26C8E">
            <w:pPr>
              <w:ind w:left="368" w:hanging="368"/>
              <w:rPr>
                <w:szCs w:val="17"/>
              </w:rPr>
            </w:pPr>
            <w:r w:rsidRPr="00E26C8E">
              <w:rPr>
                <w:szCs w:val="17"/>
              </w:rPr>
              <w:t>(a)</w:t>
            </w:r>
            <w:r w:rsidRPr="00E26C8E">
              <w:rPr>
                <w:rFonts w:ascii="Arial" w:hAnsi="Arial"/>
                <w:szCs w:val="17"/>
              </w:rPr>
              <w:tab/>
            </w:r>
            <w:r w:rsidRPr="00E26C8E">
              <w:rPr>
                <w:szCs w:val="17"/>
              </w:rPr>
              <w:t>a contravention of, or a failure to comply with, a condition of a mineral tenement; or</w:t>
            </w:r>
          </w:p>
          <w:p w:rsidR="00E26C8E" w:rsidRPr="00E26C8E" w:rsidRDefault="00E26C8E" w:rsidP="00E26C8E">
            <w:pPr>
              <w:spacing w:after="40"/>
              <w:ind w:left="369" w:hanging="369"/>
              <w:rPr>
                <w:szCs w:val="17"/>
              </w:rPr>
            </w:pPr>
            <w:r w:rsidRPr="00E26C8E">
              <w:rPr>
                <w:szCs w:val="17"/>
              </w:rPr>
              <w:t>(b)</w:t>
            </w:r>
            <w:r w:rsidRPr="00E26C8E">
              <w:rPr>
                <w:rFonts w:ascii="Arial" w:hAnsi="Arial"/>
                <w:szCs w:val="17"/>
              </w:rPr>
              <w:tab/>
            </w:r>
            <w:r w:rsidRPr="00E26C8E">
              <w:rPr>
                <w:spacing w:val="-2"/>
                <w:szCs w:val="17"/>
              </w:rPr>
              <w:t>a failure to achieve, or a breach of, an outcome specified in a program under Part 10A of the Act; or</w:t>
            </w:r>
          </w:p>
          <w:p w:rsidR="00E26C8E" w:rsidRPr="00E26C8E" w:rsidRDefault="00E26C8E" w:rsidP="00E26C8E">
            <w:pPr>
              <w:spacing w:after="40"/>
              <w:ind w:left="369" w:hanging="369"/>
              <w:rPr>
                <w:szCs w:val="17"/>
              </w:rPr>
            </w:pPr>
            <w:r w:rsidRPr="00E26C8E">
              <w:rPr>
                <w:szCs w:val="17"/>
              </w:rPr>
              <w:t>(c)</w:t>
            </w:r>
            <w:r w:rsidRPr="00E26C8E">
              <w:rPr>
                <w:rFonts w:ascii="Arial" w:hAnsi="Arial"/>
                <w:szCs w:val="17"/>
              </w:rPr>
              <w:tab/>
            </w:r>
            <w:r w:rsidRPr="00E26C8E">
              <w:rPr>
                <w:szCs w:val="17"/>
              </w:rPr>
              <w:t>a contravention of, or a failure to comply with, a condition of a program under Part 10A of the Act; or</w:t>
            </w:r>
          </w:p>
          <w:p w:rsidR="00E26C8E" w:rsidRPr="00E26C8E" w:rsidRDefault="00E26C8E" w:rsidP="00E26C8E">
            <w:pPr>
              <w:spacing w:after="40"/>
              <w:ind w:left="369" w:hanging="369"/>
              <w:rPr>
                <w:szCs w:val="17"/>
              </w:rPr>
            </w:pPr>
            <w:r w:rsidRPr="00E26C8E">
              <w:rPr>
                <w:bCs/>
                <w:szCs w:val="17"/>
              </w:rPr>
              <w:t>(d)</w:t>
            </w:r>
            <w:r w:rsidRPr="00E26C8E">
              <w:rPr>
                <w:rFonts w:ascii="Arial" w:hAnsi="Arial"/>
                <w:szCs w:val="17"/>
              </w:rPr>
              <w:tab/>
            </w:r>
            <w:r w:rsidRPr="00E26C8E">
              <w:rPr>
                <w:bCs/>
                <w:szCs w:val="17"/>
              </w:rPr>
              <w:t>a triggering of any leading indicator criteria set out in a program under Part 10A of the Act</w:t>
            </w:r>
            <w:r w:rsidRPr="00E26C8E">
              <w:rPr>
                <w:szCs w:val="17"/>
              </w:rPr>
              <w:t>; or</w:t>
            </w:r>
          </w:p>
          <w:p w:rsidR="00E26C8E" w:rsidRPr="00E26C8E" w:rsidRDefault="00E26C8E" w:rsidP="00E26C8E">
            <w:pPr>
              <w:spacing w:after="40"/>
              <w:ind w:left="369" w:hanging="369"/>
              <w:rPr>
                <w:szCs w:val="17"/>
              </w:rPr>
            </w:pPr>
            <w:r w:rsidRPr="00E26C8E">
              <w:rPr>
                <w:szCs w:val="17"/>
              </w:rPr>
              <w:t>(e)</w:t>
            </w:r>
            <w:r w:rsidRPr="00E26C8E">
              <w:rPr>
                <w:rFonts w:ascii="Arial" w:hAnsi="Arial"/>
                <w:szCs w:val="17"/>
              </w:rPr>
              <w:tab/>
            </w:r>
            <w:r w:rsidRPr="00E26C8E">
              <w:rPr>
                <w:szCs w:val="17"/>
              </w:rPr>
              <w:t>action that causes undue damage to the environment in connection with any operations carried out under a mineral tenement; or</w:t>
            </w:r>
          </w:p>
          <w:p w:rsidR="00E26C8E" w:rsidRPr="00E26C8E" w:rsidRDefault="00E26C8E" w:rsidP="00E26C8E">
            <w:pPr>
              <w:spacing w:after="40"/>
              <w:ind w:left="369" w:hanging="369"/>
              <w:rPr>
                <w:szCs w:val="17"/>
              </w:rPr>
            </w:pPr>
            <w:r w:rsidRPr="00E26C8E">
              <w:rPr>
                <w:szCs w:val="17"/>
              </w:rPr>
              <w:t>(f)</w:t>
            </w:r>
            <w:r w:rsidRPr="00E26C8E">
              <w:rPr>
                <w:rFonts w:ascii="Arial" w:hAnsi="Arial"/>
                <w:szCs w:val="17"/>
              </w:rPr>
              <w:tab/>
            </w:r>
            <w:r w:rsidRPr="00E26C8E">
              <w:rPr>
                <w:szCs w:val="17"/>
              </w:rPr>
              <w:t>a failure to comply with a direction under Part 10B of the Act within the time allowed in the direction; or</w:t>
            </w:r>
          </w:p>
          <w:p w:rsidR="00E26C8E" w:rsidRPr="00E26C8E" w:rsidRDefault="00E26C8E" w:rsidP="00E26C8E">
            <w:pPr>
              <w:spacing w:after="40"/>
              <w:ind w:left="369" w:hanging="369"/>
              <w:rPr>
                <w:szCs w:val="17"/>
              </w:rPr>
            </w:pPr>
            <w:r w:rsidRPr="00E26C8E">
              <w:rPr>
                <w:szCs w:val="17"/>
              </w:rPr>
              <w:t>(g)</w:t>
            </w:r>
            <w:r w:rsidRPr="00E26C8E">
              <w:rPr>
                <w:rFonts w:ascii="Arial" w:hAnsi="Arial"/>
                <w:szCs w:val="17"/>
              </w:rPr>
              <w:tab/>
            </w:r>
            <w:r w:rsidRPr="00E26C8E">
              <w:rPr>
                <w:spacing w:val="-2"/>
                <w:szCs w:val="17"/>
              </w:rPr>
              <w:t>action that constitutes an authorised operation without being duly authorised by or under the Act; or</w:t>
            </w:r>
          </w:p>
          <w:p w:rsidR="00E26C8E" w:rsidRPr="00E26C8E" w:rsidRDefault="00E26C8E" w:rsidP="00E26C8E">
            <w:pPr>
              <w:spacing w:after="40"/>
              <w:ind w:left="369" w:hanging="369"/>
              <w:rPr>
                <w:szCs w:val="17"/>
              </w:rPr>
            </w:pPr>
            <w:r w:rsidRPr="00E26C8E">
              <w:rPr>
                <w:szCs w:val="17"/>
              </w:rPr>
              <w:t>(h)</w:t>
            </w:r>
            <w:r w:rsidRPr="00E26C8E">
              <w:rPr>
                <w:rFonts w:ascii="Arial" w:hAnsi="Arial"/>
                <w:szCs w:val="17"/>
              </w:rPr>
              <w:tab/>
            </w:r>
            <w:r w:rsidRPr="00E26C8E">
              <w:rPr>
                <w:szCs w:val="17"/>
              </w:rPr>
              <w:t>a failure to achieve, or a breach of, an outcome specified in a mine operations plan under Part 11B of the Act; or</w:t>
            </w:r>
          </w:p>
          <w:p w:rsidR="00E26C8E" w:rsidRPr="00E26C8E" w:rsidRDefault="00E26C8E" w:rsidP="00E26C8E">
            <w:pPr>
              <w:spacing w:after="40"/>
              <w:ind w:left="369" w:hanging="369"/>
              <w:rPr>
                <w:szCs w:val="17"/>
              </w:rPr>
            </w:pPr>
            <w:r w:rsidRPr="00E26C8E">
              <w:rPr>
                <w:szCs w:val="17"/>
              </w:rPr>
              <w:t>(i)</w:t>
            </w:r>
            <w:r w:rsidRPr="00E26C8E">
              <w:rPr>
                <w:rFonts w:ascii="Arial" w:hAnsi="Arial"/>
                <w:szCs w:val="17"/>
              </w:rPr>
              <w:tab/>
            </w:r>
            <w:r w:rsidRPr="00E26C8E">
              <w:rPr>
                <w:szCs w:val="17"/>
              </w:rPr>
              <w:t>a breach of the general duty under Part 11B of the Act; or </w:t>
            </w:r>
          </w:p>
          <w:p w:rsidR="00E26C8E" w:rsidRPr="00E26C8E" w:rsidRDefault="00E26C8E" w:rsidP="00E26C8E">
            <w:pPr>
              <w:spacing w:after="120"/>
              <w:ind w:left="369" w:hanging="369"/>
              <w:rPr>
                <w:szCs w:val="17"/>
              </w:rPr>
            </w:pPr>
            <w:r w:rsidRPr="00E26C8E">
              <w:rPr>
                <w:szCs w:val="17"/>
              </w:rPr>
              <w:t>(j)</w:t>
            </w:r>
            <w:r w:rsidRPr="00E26C8E">
              <w:rPr>
                <w:rFonts w:ascii="Arial" w:hAnsi="Arial"/>
                <w:szCs w:val="17"/>
              </w:rPr>
              <w:tab/>
            </w:r>
            <w:r w:rsidRPr="00E26C8E">
              <w:rPr>
                <w:szCs w:val="17"/>
              </w:rPr>
              <w:t>a failure to comply with an order under Part 11B of the Act within the time allowed in the order.</w:t>
            </w:r>
          </w:p>
        </w:tc>
      </w:tr>
      <w:tr w:rsidR="00E26C8E" w:rsidRPr="00E26C8E" w:rsidTr="00046B75">
        <w:trPr>
          <w:trHeight w:val="504"/>
        </w:trPr>
        <w:tc>
          <w:tcPr>
            <w:tcW w:w="1212" w:type="pct"/>
            <w:tcMar>
              <w:left w:w="0" w:type="dxa"/>
            </w:tcMar>
          </w:tcPr>
          <w:p w:rsidR="00E26C8E" w:rsidRPr="00E26C8E" w:rsidRDefault="00E26C8E" w:rsidP="00E26C8E">
            <w:pPr>
              <w:rPr>
                <w:bCs/>
                <w:szCs w:val="17"/>
              </w:rPr>
            </w:pPr>
            <w:r w:rsidRPr="00E26C8E">
              <w:rPr>
                <w:bCs/>
                <w:szCs w:val="17"/>
              </w:rPr>
              <w:t>Leading indicator criteria</w:t>
            </w:r>
          </w:p>
        </w:tc>
        <w:tc>
          <w:tcPr>
            <w:tcW w:w="3788" w:type="pct"/>
          </w:tcPr>
          <w:p w:rsidR="00E26C8E" w:rsidRPr="00E26C8E" w:rsidRDefault="00E26C8E" w:rsidP="00E26C8E">
            <w:pPr>
              <w:rPr>
                <w:szCs w:val="17"/>
              </w:rPr>
            </w:pPr>
            <w:r w:rsidRPr="00E26C8E">
              <w:rPr>
                <w:szCs w:val="17"/>
                <w:shd w:val="clear" w:color="auto" w:fill="FFFFFF"/>
              </w:rPr>
              <w:t>Criteria used to give an early warning that a control strategy in a program under Part 10A of the Act may fail or be failing.</w:t>
            </w:r>
          </w:p>
        </w:tc>
      </w:tr>
    </w:tbl>
    <w:p w:rsidR="00E26C8E" w:rsidRPr="00E26C8E" w:rsidRDefault="00E26C8E" w:rsidP="00E26C8E">
      <w:pPr>
        <w:spacing w:after="60"/>
        <w:rPr>
          <w:rFonts w:eastAsia="Times New Roman"/>
          <w:b/>
          <w:szCs w:val="17"/>
        </w:rPr>
      </w:pPr>
      <w:r w:rsidRPr="00E26C8E">
        <w:rPr>
          <w:rFonts w:eastAsia="Times New Roman"/>
          <w:b/>
          <w:szCs w:val="17"/>
        </w:rPr>
        <w:t>Acronyms</w:t>
      </w:r>
    </w:p>
    <w:p w:rsidR="00E26C8E" w:rsidRPr="00E26C8E" w:rsidRDefault="00E26C8E" w:rsidP="00E26C8E">
      <w:pPr>
        <w:spacing w:after="60"/>
        <w:ind w:left="851" w:hanging="851"/>
        <w:rPr>
          <w:rFonts w:eastAsia="Times New Roman"/>
          <w:szCs w:val="17"/>
        </w:rPr>
      </w:pPr>
      <w:r w:rsidRPr="00E26C8E">
        <w:rPr>
          <w:rFonts w:eastAsia="Times New Roman"/>
          <w:b/>
          <w:bCs/>
          <w:szCs w:val="17"/>
        </w:rPr>
        <w:t>SA EPA</w:t>
      </w:r>
      <w:r w:rsidRPr="00E26C8E">
        <w:rPr>
          <w:rFonts w:ascii="Arial" w:eastAsia="Times New Roman" w:hAnsi="Arial"/>
          <w:szCs w:val="17"/>
        </w:rPr>
        <w:tab/>
      </w:r>
      <w:r w:rsidRPr="00E26C8E">
        <w:rPr>
          <w:rFonts w:eastAsia="Times New Roman"/>
          <w:szCs w:val="17"/>
        </w:rPr>
        <w:t>South Australian Environment Protection Authority</w:t>
      </w:r>
    </w:p>
    <w:p w:rsidR="00E26C8E" w:rsidRPr="00E26C8E" w:rsidRDefault="00E26C8E" w:rsidP="00E26C8E">
      <w:pPr>
        <w:spacing w:after="60"/>
        <w:ind w:left="851" w:hanging="851"/>
        <w:rPr>
          <w:rFonts w:eastAsia="Times New Roman"/>
          <w:szCs w:val="17"/>
        </w:rPr>
      </w:pPr>
      <w:r w:rsidRPr="00E26C8E">
        <w:rPr>
          <w:rFonts w:eastAsia="Times New Roman"/>
          <w:b/>
          <w:bCs/>
          <w:szCs w:val="17"/>
        </w:rPr>
        <w:t>DEM</w:t>
      </w:r>
      <w:r w:rsidRPr="00E26C8E">
        <w:rPr>
          <w:rFonts w:ascii="Arial" w:eastAsia="Times New Roman" w:hAnsi="Arial"/>
          <w:szCs w:val="17"/>
        </w:rPr>
        <w:tab/>
      </w:r>
      <w:r w:rsidRPr="00E26C8E">
        <w:rPr>
          <w:rFonts w:eastAsia="Times New Roman"/>
          <w:szCs w:val="17"/>
        </w:rPr>
        <w:t>Department for Energy and Mining</w:t>
      </w:r>
    </w:p>
    <w:p w:rsidR="00E26C8E" w:rsidRPr="00E26C8E" w:rsidRDefault="00E26C8E" w:rsidP="00E26C8E">
      <w:pPr>
        <w:spacing w:after="60"/>
        <w:ind w:left="851" w:hanging="851"/>
        <w:rPr>
          <w:rFonts w:eastAsia="Times New Roman"/>
          <w:szCs w:val="17"/>
        </w:rPr>
      </w:pPr>
      <w:r w:rsidRPr="00E26C8E">
        <w:rPr>
          <w:rFonts w:eastAsia="Times New Roman"/>
          <w:b/>
          <w:bCs/>
          <w:szCs w:val="17"/>
        </w:rPr>
        <w:t>PEPR</w:t>
      </w:r>
      <w:r w:rsidRPr="00E26C8E">
        <w:rPr>
          <w:rFonts w:ascii="Arial" w:eastAsia="Times New Roman" w:hAnsi="Arial"/>
          <w:szCs w:val="17"/>
        </w:rPr>
        <w:tab/>
      </w:r>
      <w:r w:rsidRPr="00E26C8E">
        <w:rPr>
          <w:rFonts w:eastAsia="Times New Roman"/>
          <w:szCs w:val="17"/>
        </w:rPr>
        <w:t>Program for Environment Protection and Rehabilitation</w:t>
      </w:r>
    </w:p>
    <w:p w:rsidR="00E26C8E" w:rsidRPr="00E26C8E" w:rsidRDefault="00E26C8E" w:rsidP="00E26C8E">
      <w:pPr>
        <w:spacing w:after="160" w:line="259" w:lineRule="auto"/>
        <w:jc w:val="left"/>
        <w:rPr>
          <w:rFonts w:eastAsia="Times New Roman"/>
          <w:sz w:val="20"/>
          <w:szCs w:val="20"/>
        </w:rPr>
      </w:pPr>
      <w:r w:rsidRPr="00E26C8E">
        <w:rPr>
          <w:rFonts w:eastAsia="Times New Roman"/>
          <w:sz w:val="20"/>
          <w:szCs w:val="20"/>
        </w:rPr>
        <w:br w:type="page"/>
      </w:r>
    </w:p>
    <w:p w:rsidR="00E26C8E" w:rsidRPr="00E26C8E" w:rsidRDefault="00E26C8E" w:rsidP="00E26C8E">
      <w:pPr>
        <w:spacing w:before="240" w:after="100" w:line="420" w:lineRule="exact"/>
        <w:jc w:val="left"/>
        <w:rPr>
          <w:rFonts w:ascii="Arial" w:eastAsia="Times New Roman" w:hAnsi="Arial" w:cs="Arial"/>
          <w:b/>
          <w:color w:val="0070C0"/>
          <w:sz w:val="40"/>
          <w:szCs w:val="40"/>
        </w:rPr>
      </w:pPr>
      <w:bookmarkStart w:id="121" w:name="_Toc488250865"/>
      <w:r w:rsidRPr="00E26C8E">
        <w:rPr>
          <w:rFonts w:ascii="Arial" w:eastAsia="Times New Roman" w:hAnsi="Arial" w:cs="Arial"/>
          <w:b/>
          <w:color w:val="0070C0"/>
          <w:sz w:val="40"/>
          <w:szCs w:val="40"/>
        </w:rPr>
        <w:t>Leading indicator report</w:t>
      </w:r>
    </w:p>
    <w:p w:rsidR="00E26C8E" w:rsidRPr="00E26C8E" w:rsidRDefault="00E26C8E" w:rsidP="00E26C8E">
      <w:pPr>
        <w:keepNext/>
        <w:spacing w:before="240" w:after="120" w:line="240" w:lineRule="exact"/>
        <w:jc w:val="left"/>
        <w:outlineLvl w:val="1"/>
        <w:rPr>
          <w:rFonts w:ascii="Arial Bold" w:eastAsia="Times New Roman" w:hAnsi="Arial Bold" w:cs="Arial"/>
          <w:b/>
          <w:bCs/>
          <w:iCs/>
          <w:color w:val="0070C0"/>
          <w:sz w:val="22"/>
        </w:rPr>
      </w:pPr>
      <w:bookmarkStart w:id="122" w:name="_Toc59098617"/>
      <w:bookmarkStart w:id="123" w:name="_Toc59098742"/>
      <w:bookmarkStart w:id="124" w:name="_Toc59098955"/>
      <w:r w:rsidRPr="00E26C8E">
        <w:rPr>
          <w:rFonts w:ascii="Arial Bold" w:eastAsia="Times New Roman" w:hAnsi="Arial Bold" w:cs="Arial"/>
          <w:b/>
          <w:bCs/>
          <w:iCs/>
          <w:color w:val="0070C0"/>
          <w:sz w:val="22"/>
        </w:rPr>
        <w:t>TENEMENT HOLDER IDENTIFICATION DETAILS</w:t>
      </w:r>
      <w:bookmarkEnd w:id="122"/>
      <w:bookmarkEnd w:id="123"/>
      <w:bookmarkEnd w:id="124"/>
    </w:p>
    <w:sdt>
      <w:sdtPr>
        <w:rPr>
          <w:rFonts w:ascii="Arial" w:eastAsia="Calibri" w:hAnsi="Arial"/>
          <w:sz w:val="20"/>
          <w:szCs w:val="20"/>
        </w:rPr>
        <w:id w:val="-1243401498"/>
        <w15:repeatingSection/>
      </w:sdtPr>
      <w:sdtEndPr/>
      <w:sdtContent>
        <w:sdt>
          <w:sdtPr>
            <w:rPr>
              <w:rFonts w:ascii="Arial" w:eastAsia="Calibri" w:hAnsi="Arial"/>
              <w:sz w:val="20"/>
              <w:szCs w:val="20"/>
            </w:rPr>
            <w:id w:val="-1216733733"/>
            <w:placeholder>
              <w:docPart w:val="E7A99C49CF124105A3D820D75D537AD8"/>
            </w:placeholder>
            <w15:repeatingSectionItem/>
          </w:sdtPr>
          <w:sdtEndPr/>
          <w:sdtContent>
            <w:tbl>
              <w:tblPr>
                <w:tblStyle w:val="TableGrid121"/>
                <w:tblW w:w="5000" w:type="pct"/>
                <w:tblInd w:w="0" w:type="dxa"/>
                <w:tblCellMar>
                  <w:top w:w="28" w:type="dxa"/>
                  <w:left w:w="57" w:type="dxa"/>
                  <w:bottom w:w="28" w:type="dxa"/>
                  <w:right w:w="57" w:type="dxa"/>
                </w:tblCellMar>
                <w:tblLook w:val="04A0" w:firstRow="1" w:lastRow="0" w:firstColumn="1" w:lastColumn="0" w:noHBand="0" w:noVBand="1"/>
              </w:tblPr>
              <w:tblGrid>
                <w:gridCol w:w="2199"/>
                <w:gridCol w:w="825"/>
                <w:gridCol w:w="2750"/>
                <w:gridCol w:w="1311"/>
                <w:gridCol w:w="2264"/>
              </w:tblGrid>
              <w:tr w:rsidR="00E26C8E" w:rsidRPr="00E26C8E" w:rsidTr="00046B75">
                <w:trPr>
                  <w:trHeight w:val="340"/>
                </w:trPr>
                <w:tc>
                  <w:tcPr>
                    <w:tcW w:w="1176" w:type="pct"/>
                    <w:tcBorders>
                      <w:top w:val="nil"/>
                      <w:left w:val="nil"/>
                      <w:bottom w:val="nil"/>
                      <w:right w:val="single" w:sz="4" w:space="0" w:color="2765A2"/>
                    </w:tcBorders>
                    <w:tcMar>
                      <w:left w:w="0" w:type="dxa"/>
                    </w:tcMar>
                  </w:tcPr>
                  <w:p w:rsidR="00E26C8E" w:rsidRPr="00E26C8E" w:rsidRDefault="00E26C8E" w:rsidP="00E26C8E">
                    <w:pPr>
                      <w:spacing w:after="0" w:line="200" w:lineRule="exact"/>
                      <w:jc w:val="left"/>
                      <w:rPr>
                        <w:rFonts w:ascii="Arial" w:hAnsi="Arial"/>
                        <w:sz w:val="16"/>
                      </w:rPr>
                    </w:pPr>
                    <w:r w:rsidRPr="00E26C8E">
                      <w:rPr>
                        <w:rFonts w:ascii="Arial" w:hAnsi="Arial"/>
                        <w:sz w:val="16"/>
                      </w:rPr>
                      <w:t>Project/Mine name(s)</w:t>
                    </w:r>
                  </w:p>
                </w:tc>
                <w:tc>
                  <w:tcPr>
                    <w:tcW w:w="3824" w:type="pct"/>
                    <w:gridSpan w:val="4"/>
                    <w:tcBorders>
                      <w:top w:val="single" w:sz="4" w:space="0" w:color="2765A2"/>
                      <w:left w:val="single" w:sz="4" w:space="0" w:color="2765A2"/>
                      <w:bottom w:val="single" w:sz="4" w:space="0" w:color="2765A2"/>
                      <w:right w:val="single" w:sz="4" w:space="0" w:color="2765A2"/>
                    </w:tcBorders>
                  </w:tcPr>
                  <w:p w:rsidR="00E26C8E" w:rsidRPr="00E26C8E" w:rsidRDefault="00607847" w:rsidP="00E26C8E">
                    <w:pPr>
                      <w:spacing w:after="0" w:line="200" w:lineRule="exact"/>
                      <w:jc w:val="left"/>
                      <w:rPr>
                        <w:rFonts w:ascii="Arial" w:hAnsi="Arial"/>
                        <w:sz w:val="16"/>
                      </w:rPr>
                    </w:pPr>
                    <w:sdt>
                      <w:sdtPr>
                        <w:rPr>
                          <w:rFonts w:ascii="Arial" w:hAnsi="Arial"/>
                          <w:sz w:val="16"/>
                        </w:rPr>
                        <w:id w:val="-354345776"/>
                        <w:placeholder>
                          <w:docPart w:val="67835AB00EC84726B5AC8AAE8BA900EF"/>
                        </w:placeholder>
                        <w:showingPlcHdr/>
                        <w:text w:multiLine="1"/>
                      </w:sdtPr>
                      <w:sdtEndPr/>
                      <w:sdtContent>
                        <w:r w:rsidR="00E26C8E" w:rsidRPr="00E26C8E">
                          <w:rPr>
                            <w:rFonts w:ascii="Arial" w:hAnsi="Arial"/>
                            <w:color w:val="808080"/>
                            <w:sz w:val="16"/>
                          </w:rPr>
                          <w:t>Include the commonly used name of the exploration project or mine(s)</w:t>
                        </w:r>
                      </w:sdtContent>
                    </w:sdt>
                  </w:p>
                </w:tc>
              </w:tr>
              <w:tr w:rsidR="00E26C8E" w:rsidRPr="00E26C8E" w:rsidTr="00046B75">
                <w:trPr>
                  <w:trHeight w:val="340"/>
                </w:trPr>
                <w:tc>
                  <w:tcPr>
                    <w:tcW w:w="1176" w:type="pct"/>
                    <w:tcBorders>
                      <w:top w:val="nil"/>
                      <w:left w:val="nil"/>
                      <w:bottom w:val="nil"/>
                      <w:right w:val="single" w:sz="4" w:space="0" w:color="2765A2"/>
                    </w:tcBorders>
                    <w:tcMar>
                      <w:left w:w="0" w:type="dxa"/>
                    </w:tcMar>
                  </w:tcPr>
                  <w:p w:rsidR="00E26C8E" w:rsidRPr="00E26C8E" w:rsidRDefault="00E26C8E" w:rsidP="00E26C8E">
                    <w:pPr>
                      <w:spacing w:after="0" w:line="200" w:lineRule="exact"/>
                      <w:jc w:val="left"/>
                      <w:rPr>
                        <w:rFonts w:ascii="Arial" w:hAnsi="Arial"/>
                        <w:sz w:val="16"/>
                      </w:rPr>
                    </w:pPr>
                    <w:r w:rsidRPr="00E26C8E">
                      <w:rPr>
                        <w:rFonts w:ascii="Arial" w:hAnsi="Arial"/>
                        <w:sz w:val="16"/>
                      </w:rPr>
                      <w:t>Tenement holder(s)</w:t>
                    </w:r>
                  </w:p>
                </w:tc>
                <w:tc>
                  <w:tcPr>
                    <w:tcW w:w="3824" w:type="pct"/>
                    <w:gridSpan w:val="4"/>
                    <w:tcBorders>
                      <w:top w:val="single" w:sz="4" w:space="0" w:color="2765A2"/>
                      <w:left w:val="single" w:sz="4" w:space="0" w:color="2765A2"/>
                      <w:bottom w:val="single" w:sz="4" w:space="0" w:color="2765A2"/>
                      <w:right w:val="single" w:sz="4" w:space="0" w:color="2765A2"/>
                    </w:tcBorders>
                  </w:tcPr>
                  <w:p w:rsidR="00E26C8E" w:rsidRPr="00E26C8E" w:rsidRDefault="00607847" w:rsidP="00E26C8E">
                    <w:pPr>
                      <w:spacing w:after="0" w:line="200" w:lineRule="exact"/>
                      <w:jc w:val="left"/>
                      <w:rPr>
                        <w:rFonts w:ascii="Arial" w:hAnsi="Arial"/>
                        <w:sz w:val="16"/>
                      </w:rPr>
                    </w:pPr>
                    <w:sdt>
                      <w:sdtPr>
                        <w:rPr>
                          <w:rFonts w:ascii="Arial" w:hAnsi="Arial"/>
                          <w:sz w:val="16"/>
                        </w:rPr>
                        <w:id w:val="-1858188020"/>
                        <w:placeholder>
                          <w:docPart w:val="CFBFE560A69C41498FD0E411E45EA802"/>
                        </w:placeholder>
                        <w:showingPlcHdr/>
                        <w:text w:multiLine="1"/>
                      </w:sdtPr>
                      <w:sdtEndPr/>
                      <w:sdtContent>
                        <w:r w:rsidR="00E26C8E" w:rsidRPr="00E26C8E">
                          <w:rPr>
                            <w:rFonts w:ascii="Arial" w:hAnsi="Arial"/>
                            <w:color w:val="808080"/>
                            <w:sz w:val="16"/>
                          </w:rPr>
                          <w:t>Include the full name and business address of the holder of the mining tenement</w:t>
                        </w:r>
                      </w:sdtContent>
                    </w:sdt>
                  </w:p>
                </w:tc>
              </w:tr>
              <w:tr w:rsidR="00E26C8E" w:rsidRPr="00E26C8E" w:rsidTr="00046B75">
                <w:trPr>
                  <w:trHeight w:val="340"/>
                </w:trPr>
                <w:tc>
                  <w:tcPr>
                    <w:tcW w:w="1176" w:type="pct"/>
                    <w:tcBorders>
                      <w:top w:val="nil"/>
                      <w:left w:val="nil"/>
                      <w:bottom w:val="nil"/>
                      <w:right w:val="single" w:sz="4" w:space="0" w:color="2765A2"/>
                    </w:tcBorders>
                    <w:tcMar>
                      <w:left w:w="0" w:type="dxa"/>
                    </w:tcMar>
                  </w:tcPr>
                  <w:p w:rsidR="00E26C8E" w:rsidRPr="00E26C8E" w:rsidRDefault="00E26C8E" w:rsidP="00E26C8E">
                    <w:pPr>
                      <w:spacing w:after="0" w:line="200" w:lineRule="exact"/>
                      <w:jc w:val="left"/>
                      <w:rPr>
                        <w:rFonts w:ascii="Arial" w:hAnsi="Arial"/>
                        <w:sz w:val="16"/>
                      </w:rPr>
                    </w:pPr>
                    <w:r w:rsidRPr="00E26C8E">
                      <w:rPr>
                        <w:rFonts w:ascii="Arial" w:hAnsi="Arial"/>
                        <w:sz w:val="16"/>
                      </w:rPr>
                      <w:t>Operating company(s)</w:t>
                    </w:r>
                  </w:p>
                </w:tc>
                <w:tc>
                  <w:tcPr>
                    <w:tcW w:w="3824" w:type="pct"/>
                    <w:gridSpan w:val="4"/>
                    <w:tcBorders>
                      <w:top w:val="single" w:sz="4" w:space="0" w:color="2765A2"/>
                      <w:left w:val="single" w:sz="4" w:space="0" w:color="2765A2"/>
                      <w:bottom w:val="single" w:sz="4" w:space="0" w:color="2765A2"/>
                      <w:right w:val="single" w:sz="4" w:space="0" w:color="2765A2"/>
                    </w:tcBorders>
                  </w:tcPr>
                  <w:p w:rsidR="00E26C8E" w:rsidRPr="00E26C8E" w:rsidRDefault="00607847" w:rsidP="00E26C8E">
                    <w:pPr>
                      <w:spacing w:after="0" w:line="200" w:lineRule="exact"/>
                      <w:jc w:val="left"/>
                      <w:rPr>
                        <w:rFonts w:ascii="Arial" w:hAnsi="Arial"/>
                        <w:sz w:val="16"/>
                      </w:rPr>
                    </w:pPr>
                    <w:sdt>
                      <w:sdtPr>
                        <w:rPr>
                          <w:rFonts w:ascii="Arial" w:hAnsi="Arial"/>
                          <w:sz w:val="16"/>
                        </w:rPr>
                        <w:id w:val="-282882050"/>
                        <w:placeholder>
                          <w:docPart w:val="A1552B344C0641AD8C2204B636F0238E"/>
                        </w:placeholder>
                        <w:showingPlcHdr/>
                        <w:text w:multiLine="1"/>
                      </w:sdtPr>
                      <w:sdtEndPr/>
                      <w:sdtContent>
                        <w:r w:rsidR="00E26C8E" w:rsidRPr="00E26C8E">
                          <w:rPr>
                            <w:rFonts w:ascii="Arial" w:hAnsi="Arial"/>
                            <w:color w:val="808080"/>
                            <w:sz w:val="16"/>
                          </w:rPr>
                          <w:t>Include company name and address of company(s) that have worked on the listed tenements during the reporting period (other than the tenement holder)</w:t>
                        </w:r>
                      </w:sdtContent>
                    </w:sdt>
                  </w:p>
                </w:tc>
              </w:tr>
              <w:tr w:rsidR="00E26C8E" w:rsidRPr="00E26C8E" w:rsidTr="00046B75">
                <w:trPr>
                  <w:trHeight w:val="94"/>
                </w:trPr>
                <w:tc>
                  <w:tcPr>
                    <w:tcW w:w="1176" w:type="pct"/>
                    <w:vMerge w:val="restart"/>
                    <w:tcBorders>
                      <w:top w:val="nil"/>
                      <w:left w:val="nil"/>
                      <w:right w:val="single" w:sz="4" w:space="0" w:color="2765A2"/>
                    </w:tcBorders>
                    <w:tcMar>
                      <w:left w:w="0" w:type="dxa"/>
                    </w:tcMar>
                  </w:tcPr>
                  <w:p w:rsidR="00E26C8E" w:rsidRPr="00E26C8E" w:rsidRDefault="00E26C8E" w:rsidP="00E26C8E">
                    <w:pPr>
                      <w:spacing w:after="0" w:line="200" w:lineRule="exact"/>
                      <w:jc w:val="left"/>
                      <w:rPr>
                        <w:rFonts w:ascii="Arial" w:hAnsi="Arial"/>
                        <w:sz w:val="16"/>
                      </w:rPr>
                    </w:pPr>
                    <w:r w:rsidRPr="00E26C8E">
                      <w:rPr>
                        <w:rFonts w:ascii="Arial" w:hAnsi="Arial"/>
                        <w:sz w:val="16"/>
                      </w:rPr>
                      <w:t>Contact person</w:t>
                    </w:r>
                  </w:p>
                </w:tc>
                <w:tc>
                  <w:tcPr>
                    <w:tcW w:w="441" w:type="pct"/>
                    <w:tcBorders>
                      <w:top w:val="single" w:sz="4" w:space="0" w:color="2765A2"/>
                      <w:left w:val="single" w:sz="4" w:space="0" w:color="2765A2"/>
                      <w:bottom w:val="single" w:sz="4" w:space="0" w:color="2765A2"/>
                      <w:right w:val="single" w:sz="4" w:space="0" w:color="2765A2"/>
                    </w:tcBorders>
                  </w:tcPr>
                  <w:p w:rsidR="00E26C8E" w:rsidRPr="00E26C8E" w:rsidRDefault="00E26C8E" w:rsidP="00E26C8E">
                    <w:pPr>
                      <w:spacing w:after="0" w:line="200" w:lineRule="exact"/>
                      <w:jc w:val="left"/>
                      <w:rPr>
                        <w:rFonts w:ascii="Arial" w:hAnsi="Arial"/>
                        <w:sz w:val="16"/>
                      </w:rPr>
                    </w:pPr>
                    <w:r w:rsidRPr="00E26C8E">
                      <w:rPr>
                        <w:rFonts w:ascii="Arial" w:hAnsi="Arial"/>
                        <w:sz w:val="16"/>
                      </w:rPr>
                      <w:t>Name</w:t>
                    </w:r>
                  </w:p>
                </w:tc>
                <w:tc>
                  <w:tcPr>
                    <w:tcW w:w="3383" w:type="pct"/>
                    <w:gridSpan w:val="3"/>
                    <w:tcBorders>
                      <w:top w:val="single" w:sz="4" w:space="0" w:color="2765A2"/>
                      <w:left w:val="single" w:sz="4" w:space="0" w:color="2765A2"/>
                      <w:bottom w:val="single" w:sz="4" w:space="0" w:color="2765A2"/>
                      <w:right w:val="single" w:sz="4" w:space="0" w:color="2765A2"/>
                    </w:tcBorders>
                  </w:tcPr>
                  <w:p w:rsidR="00E26C8E" w:rsidRPr="00E26C8E" w:rsidRDefault="00607847" w:rsidP="00E26C8E">
                    <w:pPr>
                      <w:spacing w:after="0" w:line="200" w:lineRule="exact"/>
                      <w:jc w:val="left"/>
                      <w:rPr>
                        <w:rFonts w:ascii="Arial" w:hAnsi="Arial"/>
                        <w:sz w:val="16"/>
                      </w:rPr>
                    </w:pPr>
                    <w:sdt>
                      <w:sdtPr>
                        <w:rPr>
                          <w:rFonts w:ascii="Arial" w:hAnsi="Arial"/>
                          <w:sz w:val="16"/>
                        </w:rPr>
                        <w:id w:val="1949809697"/>
                        <w:placeholder>
                          <w:docPart w:val="8B30D8E593374A728C1228568D126EEE"/>
                        </w:placeholder>
                        <w:showingPlcHdr/>
                        <w:text w:multiLine="1"/>
                      </w:sdtPr>
                      <w:sdtEndPr/>
                      <w:sdtContent>
                        <w:r w:rsidR="00E26C8E" w:rsidRPr="00E26C8E">
                          <w:rPr>
                            <w:rFonts w:ascii="Arial" w:hAnsi="Arial"/>
                            <w:color w:val="808080"/>
                            <w:sz w:val="16"/>
                          </w:rPr>
                          <w:t>Click to enter text</w:t>
                        </w:r>
                      </w:sdtContent>
                    </w:sdt>
                  </w:p>
                </w:tc>
              </w:tr>
              <w:tr w:rsidR="00E26C8E" w:rsidRPr="00E26C8E" w:rsidTr="00046B75">
                <w:trPr>
                  <w:trHeight w:val="93"/>
                </w:trPr>
                <w:tc>
                  <w:tcPr>
                    <w:tcW w:w="1176" w:type="pct"/>
                    <w:vMerge/>
                    <w:tcBorders>
                      <w:left w:val="nil"/>
                      <w:right w:val="single" w:sz="4" w:space="0" w:color="2765A2"/>
                    </w:tcBorders>
                    <w:tcMar>
                      <w:left w:w="0" w:type="dxa"/>
                    </w:tcMar>
                  </w:tcPr>
                  <w:p w:rsidR="00E26C8E" w:rsidRPr="00E26C8E" w:rsidRDefault="00E26C8E" w:rsidP="00E26C8E">
                    <w:pPr>
                      <w:spacing w:after="0" w:line="200" w:lineRule="exact"/>
                      <w:jc w:val="left"/>
                      <w:rPr>
                        <w:rFonts w:ascii="Arial" w:hAnsi="Arial"/>
                        <w:sz w:val="16"/>
                      </w:rPr>
                    </w:pPr>
                  </w:p>
                </w:tc>
                <w:tc>
                  <w:tcPr>
                    <w:tcW w:w="441" w:type="pct"/>
                    <w:tcBorders>
                      <w:top w:val="single" w:sz="4" w:space="0" w:color="2765A2"/>
                      <w:left w:val="single" w:sz="4" w:space="0" w:color="2765A2"/>
                      <w:bottom w:val="single" w:sz="4" w:space="0" w:color="2765A2"/>
                      <w:right w:val="single" w:sz="4" w:space="0" w:color="2765A2"/>
                    </w:tcBorders>
                  </w:tcPr>
                  <w:p w:rsidR="00E26C8E" w:rsidRPr="00E26C8E" w:rsidRDefault="00E26C8E" w:rsidP="00E26C8E">
                    <w:pPr>
                      <w:spacing w:after="0" w:line="200" w:lineRule="exact"/>
                      <w:jc w:val="left"/>
                      <w:rPr>
                        <w:rFonts w:ascii="Arial" w:hAnsi="Arial"/>
                        <w:sz w:val="16"/>
                      </w:rPr>
                    </w:pPr>
                    <w:r w:rsidRPr="00E26C8E">
                      <w:rPr>
                        <w:rFonts w:ascii="Arial" w:hAnsi="Arial"/>
                        <w:sz w:val="16"/>
                      </w:rPr>
                      <w:t>Email</w:t>
                    </w:r>
                  </w:p>
                </w:tc>
                <w:tc>
                  <w:tcPr>
                    <w:tcW w:w="3383" w:type="pct"/>
                    <w:gridSpan w:val="3"/>
                    <w:tcBorders>
                      <w:top w:val="single" w:sz="4" w:space="0" w:color="2765A2"/>
                      <w:left w:val="single" w:sz="4" w:space="0" w:color="2765A2"/>
                      <w:bottom w:val="single" w:sz="4" w:space="0" w:color="2765A2"/>
                      <w:right w:val="single" w:sz="4" w:space="0" w:color="2765A2"/>
                    </w:tcBorders>
                  </w:tcPr>
                  <w:p w:rsidR="00E26C8E" w:rsidRPr="00E26C8E" w:rsidRDefault="00607847" w:rsidP="00E26C8E">
                    <w:pPr>
                      <w:spacing w:after="0" w:line="200" w:lineRule="exact"/>
                      <w:jc w:val="left"/>
                      <w:rPr>
                        <w:rFonts w:ascii="Arial" w:hAnsi="Arial"/>
                        <w:sz w:val="16"/>
                      </w:rPr>
                    </w:pPr>
                    <w:sdt>
                      <w:sdtPr>
                        <w:rPr>
                          <w:rFonts w:ascii="Arial" w:hAnsi="Arial"/>
                          <w:sz w:val="16"/>
                        </w:rPr>
                        <w:id w:val="565774812"/>
                        <w:placeholder>
                          <w:docPart w:val="84E70333D07B48718DF2C7D07CA84D01"/>
                        </w:placeholder>
                        <w:showingPlcHdr/>
                        <w:text w:multiLine="1"/>
                      </w:sdtPr>
                      <w:sdtEndPr/>
                      <w:sdtContent>
                        <w:r w:rsidR="00E26C8E" w:rsidRPr="00E26C8E">
                          <w:rPr>
                            <w:rFonts w:ascii="Arial" w:hAnsi="Arial"/>
                            <w:color w:val="808080"/>
                            <w:sz w:val="16"/>
                          </w:rPr>
                          <w:t>Click to enter text</w:t>
                        </w:r>
                      </w:sdtContent>
                    </w:sdt>
                  </w:p>
                </w:tc>
              </w:tr>
              <w:tr w:rsidR="00E26C8E" w:rsidRPr="00E26C8E" w:rsidTr="00046B75">
                <w:trPr>
                  <w:trHeight w:val="93"/>
                </w:trPr>
                <w:tc>
                  <w:tcPr>
                    <w:tcW w:w="1176" w:type="pct"/>
                    <w:vMerge/>
                    <w:tcBorders>
                      <w:left w:val="nil"/>
                      <w:bottom w:val="nil"/>
                      <w:right w:val="single" w:sz="4" w:space="0" w:color="2765A2"/>
                    </w:tcBorders>
                    <w:tcMar>
                      <w:left w:w="0" w:type="dxa"/>
                    </w:tcMar>
                  </w:tcPr>
                  <w:p w:rsidR="00E26C8E" w:rsidRPr="00E26C8E" w:rsidRDefault="00E26C8E" w:rsidP="00E26C8E">
                    <w:pPr>
                      <w:spacing w:after="0" w:line="200" w:lineRule="exact"/>
                      <w:jc w:val="left"/>
                      <w:rPr>
                        <w:rFonts w:ascii="Arial" w:hAnsi="Arial"/>
                        <w:sz w:val="16"/>
                      </w:rPr>
                    </w:pPr>
                  </w:p>
                </w:tc>
                <w:tc>
                  <w:tcPr>
                    <w:tcW w:w="441" w:type="pct"/>
                    <w:tcBorders>
                      <w:top w:val="single" w:sz="4" w:space="0" w:color="2765A2"/>
                      <w:left w:val="single" w:sz="4" w:space="0" w:color="2765A2"/>
                      <w:bottom w:val="single" w:sz="4" w:space="0" w:color="2765A2"/>
                      <w:right w:val="single" w:sz="4" w:space="0" w:color="2765A2"/>
                    </w:tcBorders>
                  </w:tcPr>
                  <w:p w:rsidR="00E26C8E" w:rsidRPr="00E26C8E" w:rsidRDefault="00E26C8E" w:rsidP="00E26C8E">
                    <w:pPr>
                      <w:spacing w:after="0" w:line="200" w:lineRule="exact"/>
                      <w:jc w:val="left"/>
                      <w:rPr>
                        <w:rFonts w:ascii="Arial" w:hAnsi="Arial"/>
                        <w:sz w:val="16"/>
                      </w:rPr>
                    </w:pPr>
                    <w:r w:rsidRPr="00E26C8E">
                      <w:rPr>
                        <w:rFonts w:ascii="Arial" w:hAnsi="Arial"/>
                        <w:sz w:val="16"/>
                      </w:rPr>
                      <w:t>Phone</w:t>
                    </w:r>
                  </w:p>
                </w:tc>
                <w:tc>
                  <w:tcPr>
                    <w:tcW w:w="3383" w:type="pct"/>
                    <w:gridSpan w:val="3"/>
                    <w:tcBorders>
                      <w:top w:val="single" w:sz="4" w:space="0" w:color="2765A2"/>
                      <w:left w:val="single" w:sz="4" w:space="0" w:color="2765A2"/>
                      <w:bottom w:val="single" w:sz="4" w:space="0" w:color="2765A2"/>
                      <w:right w:val="single" w:sz="4" w:space="0" w:color="2765A2"/>
                    </w:tcBorders>
                  </w:tcPr>
                  <w:p w:rsidR="00E26C8E" w:rsidRPr="00E26C8E" w:rsidRDefault="00607847" w:rsidP="00E26C8E">
                    <w:pPr>
                      <w:spacing w:after="0" w:line="200" w:lineRule="exact"/>
                      <w:jc w:val="left"/>
                      <w:rPr>
                        <w:rFonts w:ascii="Arial" w:hAnsi="Arial"/>
                        <w:sz w:val="16"/>
                      </w:rPr>
                    </w:pPr>
                    <w:sdt>
                      <w:sdtPr>
                        <w:rPr>
                          <w:rFonts w:ascii="Arial" w:hAnsi="Arial"/>
                          <w:sz w:val="16"/>
                        </w:rPr>
                        <w:id w:val="650645803"/>
                        <w:placeholder>
                          <w:docPart w:val="EF80F1B2AF554A458FD004AFD5054A18"/>
                        </w:placeholder>
                        <w:showingPlcHdr/>
                        <w:text w:multiLine="1"/>
                      </w:sdtPr>
                      <w:sdtEndPr/>
                      <w:sdtContent>
                        <w:r w:rsidR="00E26C8E" w:rsidRPr="00E26C8E">
                          <w:rPr>
                            <w:rFonts w:ascii="Arial" w:hAnsi="Arial"/>
                            <w:color w:val="808080"/>
                            <w:sz w:val="16"/>
                          </w:rPr>
                          <w:t>Click to enter text</w:t>
                        </w:r>
                      </w:sdtContent>
                    </w:sdt>
                  </w:p>
                </w:tc>
              </w:tr>
              <w:tr w:rsidR="00E26C8E" w:rsidRPr="00E26C8E" w:rsidTr="00046B75">
                <w:trPr>
                  <w:trHeight w:val="340"/>
                </w:trPr>
                <w:tc>
                  <w:tcPr>
                    <w:tcW w:w="1176" w:type="pct"/>
                    <w:tcBorders>
                      <w:top w:val="nil"/>
                      <w:left w:val="nil"/>
                      <w:bottom w:val="nil"/>
                      <w:right w:val="single" w:sz="4" w:space="0" w:color="2765A2"/>
                    </w:tcBorders>
                    <w:tcMar>
                      <w:left w:w="0" w:type="dxa"/>
                    </w:tcMar>
                  </w:tcPr>
                  <w:p w:rsidR="00E26C8E" w:rsidRPr="00E26C8E" w:rsidRDefault="00E26C8E" w:rsidP="00E26C8E">
                    <w:pPr>
                      <w:spacing w:after="0" w:line="200" w:lineRule="exact"/>
                      <w:jc w:val="left"/>
                      <w:rPr>
                        <w:rFonts w:ascii="Arial" w:hAnsi="Arial"/>
                        <w:sz w:val="16"/>
                      </w:rPr>
                    </w:pPr>
                    <w:r w:rsidRPr="00E26C8E">
                      <w:rPr>
                        <w:rFonts w:ascii="Arial" w:hAnsi="Arial"/>
                        <w:sz w:val="16"/>
                      </w:rPr>
                      <w:t>Tenement number(s)</w:t>
                    </w:r>
                  </w:p>
                </w:tc>
                <w:tc>
                  <w:tcPr>
                    <w:tcW w:w="3824" w:type="pct"/>
                    <w:gridSpan w:val="4"/>
                    <w:tcBorders>
                      <w:top w:val="single" w:sz="4" w:space="0" w:color="2765A2"/>
                      <w:left w:val="single" w:sz="4" w:space="0" w:color="2765A2"/>
                      <w:bottom w:val="single" w:sz="4" w:space="0" w:color="2765A2"/>
                      <w:right w:val="single" w:sz="4" w:space="0" w:color="2765A2"/>
                    </w:tcBorders>
                  </w:tcPr>
                  <w:p w:rsidR="00E26C8E" w:rsidRPr="00E26C8E" w:rsidRDefault="00607847" w:rsidP="00E26C8E">
                    <w:pPr>
                      <w:spacing w:after="0" w:line="200" w:lineRule="exact"/>
                      <w:jc w:val="left"/>
                      <w:rPr>
                        <w:rFonts w:ascii="Arial" w:hAnsi="Arial"/>
                        <w:sz w:val="16"/>
                      </w:rPr>
                    </w:pPr>
                    <w:sdt>
                      <w:sdtPr>
                        <w:rPr>
                          <w:rFonts w:ascii="Arial" w:hAnsi="Arial"/>
                          <w:sz w:val="16"/>
                        </w:rPr>
                        <w:id w:val="-336697253"/>
                        <w:placeholder>
                          <w:docPart w:val="49111D6A300B47F29494987D6D14DDE7"/>
                        </w:placeholder>
                        <w:showingPlcHdr/>
                        <w:text w:multiLine="1"/>
                      </w:sdtPr>
                      <w:sdtEndPr/>
                      <w:sdtContent>
                        <w:r w:rsidR="00E26C8E" w:rsidRPr="00E26C8E">
                          <w:rPr>
                            <w:rFonts w:ascii="Arial" w:hAnsi="Arial"/>
                            <w:color w:val="808080"/>
                            <w:sz w:val="16"/>
                          </w:rPr>
                          <w:t>Click to enter text</w:t>
                        </w:r>
                      </w:sdtContent>
                    </w:sdt>
                  </w:p>
                </w:tc>
              </w:tr>
              <w:tr w:rsidR="00E26C8E" w:rsidRPr="00E26C8E" w:rsidTr="00046B75">
                <w:trPr>
                  <w:trHeight w:val="165"/>
                </w:trPr>
                <w:tc>
                  <w:tcPr>
                    <w:tcW w:w="1176" w:type="pct"/>
                    <w:vMerge w:val="restart"/>
                    <w:tcBorders>
                      <w:top w:val="nil"/>
                      <w:left w:val="nil"/>
                      <w:right w:val="single" w:sz="4" w:space="0" w:color="2765A2"/>
                    </w:tcBorders>
                    <w:tcMar>
                      <w:left w:w="0" w:type="dxa"/>
                    </w:tcMar>
                  </w:tcPr>
                  <w:p w:rsidR="00E26C8E" w:rsidRPr="00E26C8E" w:rsidRDefault="00E26C8E" w:rsidP="00E26C8E">
                    <w:pPr>
                      <w:spacing w:after="0" w:line="200" w:lineRule="exact"/>
                      <w:jc w:val="left"/>
                      <w:rPr>
                        <w:rFonts w:ascii="Arial" w:hAnsi="Arial"/>
                        <w:sz w:val="16"/>
                      </w:rPr>
                    </w:pPr>
                    <w:r w:rsidRPr="00E26C8E">
                      <w:rPr>
                        <w:rFonts w:ascii="Arial" w:hAnsi="Arial"/>
                        <w:sz w:val="16"/>
                      </w:rPr>
                      <w:t>PEPR/MOP document</w:t>
                    </w:r>
                  </w:p>
                </w:tc>
                <w:tc>
                  <w:tcPr>
                    <w:tcW w:w="1912" w:type="pct"/>
                    <w:gridSpan w:val="2"/>
                    <w:vMerge w:val="restart"/>
                    <w:tcBorders>
                      <w:top w:val="single" w:sz="4" w:space="0" w:color="2765A2"/>
                      <w:left w:val="single" w:sz="4" w:space="0" w:color="2765A2"/>
                      <w:bottom w:val="single" w:sz="4" w:space="0" w:color="2765A2"/>
                      <w:right w:val="single" w:sz="4" w:space="0" w:color="2765A2"/>
                    </w:tcBorders>
                  </w:tcPr>
                  <w:p w:rsidR="00E26C8E" w:rsidRPr="00E26C8E" w:rsidRDefault="00607847" w:rsidP="00E26C8E">
                    <w:pPr>
                      <w:spacing w:after="0" w:line="200" w:lineRule="exact"/>
                      <w:jc w:val="left"/>
                      <w:rPr>
                        <w:rFonts w:ascii="Arial" w:hAnsi="Arial"/>
                        <w:sz w:val="16"/>
                      </w:rPr>
                    </w:pPr>
                    <w:sdt>
                      <w:sdtPr>
                        <w:rPr>
                          <w:rFonts w:ascii="Arial" w:hAnsi="Arial"/>
                          <w:sz w:val="16"/>
                        </w:rPr>
                        <w:id w:val="-844621539"/>
                        <w:placeholder>
                          <w:docPart w:val="16CD179361954BCD9B94D961BFAAC80E"/>
                        </w:placeholder>
                        <w:text w:multiLine="1"/>
                      </w:sdtPr>
                      <w:sdtEndPr/>
                      <w:sdtContent>
                        <w:r w:rsidR="00E26C8E" w:rsidRPr="00E26C8E">
                          <w:rPr>
                            <w:rFonts w:ascii="Arial" w:hAnsi="Arial"/>
                            <w:sz w:val="16"/>
                          </w:rPr>
                          <w:t>Provide the name, version and submission date of the approved PEPR/MOP document</w:t>
                        </w:r>
                      </w:sdtContent>
                    </w:sdt>
                  </w:p>
                </w:tc>
                <w:tc>
                  <w:tcPr>
                    <w:tcW w:w="701" w:type="pct"/>
                    <w:tcBorders>
                      <w:top w:val="single" w:sz="4" w:space="0" w:color="2765A2"/>
                      <w:left w:val="single" w:sz="4" w:space="0" w:color="2765A2"/>
                      <w:bottom w:val="single" w:sz="4" w:space="0" w:color="2765A2"/>
                      <w:right w:val="single" w:sz="4" w:space="0" w:color="2765A2"/>
                    </w:tcBorders>
                  </w:tcPr>
                  <w:p w:rsidR="00E26C8E" w:rsidRPr="00E26C8E" w:rsidRDefault="00E26C8E" w:rsidP="00E26C8E">
                    <w:pPr>
                      <w:spacing w:after="0" w:line="200" w:lineRule="exact"/>
                      <w:jc w:val="left"/>
                      <w:rPr>
                        <w:rFonts w:ascii="Arial" w:hAnsi="Arial"/>
                        <w:sz w:val="16"/>
                      </w:rPr>
                    </w:pPr>
                    <w:r w:rsidRPr="00E26C8E">
                      <w:rPr>
                        <w:rFonts w:ascii="Arial" w:hAnsi="Arial"/>
                        <w:sz w:val="16"/>
                      </w:rPr>
                      <w:t>PEPR/MOP No.</w:t>
                    </w:r>
                  </w:p>
                </w:tc>
                <w:tc>
                  <w:tcPr>
                    <w:tcW w:w="1212" w:type="pct"/>
                    <w:tcBorders>
                      <w:top w:val="single" w:sz="4" w:space="0" w:color="2765A2"/>
                      <w:left w:val="single" w:sz="4" w:space="0" w:color="2765A2"/>
                      <w:bottom w:val="single" w:sz="4" w:space="0" w:color="2765A2"/>
                      <w:right w:val="single" w:sz="4" w:space="0" w:color="2765A2"/>
                    </w:tcBorders>
                  </w:tcPr>
                  <w:p w:rsidR="00E26C8E" w:rsidRPr="00E26C8E" w:rsidRDefault="00607847" w:rsidP="00E26C8E">
                    <w:pPr>
                      <w:spacing w:after="0" w:line="200" w:lineRule="exact"/>
                      <w:jc w:val="left"/>
                      <w:rPr>
                        <w:rFonts w:ascii="Arial" w:hAnsi="Arial" w:cs="Arial"/>
                        <w:sz w:val="16"/>
                        <w:szCs w:val="16"/>
                      </w:rPr>
                    </w:pPr>
                    <w:sdt>
                      <w:sdtPr>
                        <w:rPr>
                          <w:rFonts w:ascii="Arial" w:hAnsi="Arial" w:cs="Arial"/>
                          <w:sz w:val="16"/>
                          <w:szCs w:val="16"/>
                        </w:rPr>
                        <w:id w:val="-965744425"/>
                        <w:placeholder>
                          <w:docPart w:val="AE10CB7913A04E7E97FFF48B3C703E87"/>
                        </w:placeholder>
                        <w:showingPlcHdr/>
                        <w:text w:multiLine="1"/>
                      </w:sdtPr>
                      <w:sdtEndPr/>
                      <w:sdtContent>
                        <w:r w:rsidR="00E26C8E" w:rsidRPr="00E26C8E">
                          <w:rPr>
                            <w:rFonts w:ascii="Arial" w:hAnsi="Arial" w:cs="Arial"/>
                            <w:color w:val="808080"/>
                            <w:sz w:val="16"/>
                            <w:szCs w:val="16"/>
                          </w:rPr>
                          <w:t>Click to enter text</w:t>
                        </w:r>
                      </w:sdtContent>
                    </w:sdt>
                  </w:p>
                </w:tc>
              </w:tr>
              <w:tr w:rsidR="00E26C8E" w:rsidRPr="00E26C8E" w:rsidTr="00046B75">
                <w:trPr>
                  <w:trHeight w:val="165"/>
                </w:trPr>
                <w:tc>
                  <w:tcPr>
                    <w:tcW w:w="1176" w:type="pct"/>
                    <w:vMerge/>
                    <w:tcBorders>
                      <w:left w:val="nil"/>
                      <w:bottom w:val="nil"/>
                      <w:right w:val="single" w:sz="4" w:space="0" w:color="2765A2"/>
                    </w:tcBorders>
                    <w:tcMar>
                      <w:left w:w="0" w:type="dxa"/>
                    </w:tcMar>
                  </w:tcPr>
                  <w:p w:rsidR="00E26C8E" w:rsidRPr="00E26C8E" w:rsidRDefault="00E26C8E" w:rsidP="00E26C8E">
                    <w:pPr>
                      <w:spacing w:after="0" w:line="200" w:lineRule="exact"/>
                      <w:jc w:val="left"/>
                      <w:rPr>
                        <w:rFonts w:ascii="Arial" w:hAnsi="Arial"/>
                        <w:sz w:val="16"/>
                      </w:rPr>
                    </w:pPr>
                  </w:p>
                </w:tc>
                <w:tc>
                  <w:tcPr>
                    <w:tcW w:w="1912" w:type="pct"/>
                    <w:gridSpan w:val="2"/>
                    <w:vMerge/>
                    <w:tcBorders>
                      <w:top w:val="single" w:sz="4" w:space="0" w:color="2765A2"/>
                      <w:left w:val="single" w:sz="4" w:space="0" w:color="2765A2"/>
                      <w:bottom w:val="single" w:sz="4" w:space="0" w:color="2765A2"/>
                      <w:right w:val="single" w:sz="4" w:space="0" w:color="2765A2"/>
                    </w:tcBorders>
                  </w:tcPr>
                  <w:p w:rsidR="00E26C8E" w:rsidRPr="00E26C8E" w:rsidRDefault="00E26C8E" w:rsidP="00E26C8E">
                    <w:pPr>
                      <w:spacing w:after="0" w:line="200" w:lineRule="exact"/>
                      <w:jc w:val="left"/>
                      <w:rPr>
                        <w:rFonts w:ascii="Arial" w:hAnsi="Arial"/>
                        <w:sz w:val="16"/>
                      </w:rPr>
                    </w:pPr>
                  </w:p>
                </w:tc>
                <w:tc>
                  <w:tcPr>
                    <w:tcW w:w="701" w:type="pct"/>
                    <w:tcBorders>
                      <w:top w:val="single" w:sz="4" w:space="0" w:color="2765A2"/>
                      <w:left w:val="single" w:sz="4" w:space="0" w:color="2765A2"/>
                      <w:bottom w:val="single" w:sz="4" w:space="0" w:color="2765A2"/>
                      <w:right w:val="single" w:sz="4" w:space="0" w:color="2765A2"/>
                    </w:tcBorders>
                  </w:tcPr>
                  <w:p w:rsidR="00E26C8E" w:rsidRPr="00E26C8E" w:rsidRDefault="00E26C8E" w:rsidP="00E26C8E">
                    <w:pPr>
                      <w:spacing w:after="0" w:line="200" w:lineRule="exact"/>
                      <w:jc w:val="left"/>
                      <w:rPr>
                        <w:rFonts w:ascii="Arial" w:hAnsi="Arial"/>
                        <w:sz w:val="16"/>
                      </w:rPr>
                    </w:pPr>
                    <w:r w:rsidRPr="00E26C8E">
                      <w:rPr>
                        <w:rFonts w:ascii="Arial" w:hAnsi="Arial"/>
                        <w:sz w:val="16"/>
                      </w:rPr>
                      <w:t>PEPR/MOP approval date</w:t>
                    </w:r>
                  </w:p>
                </w:tc>
                <w:tc>
                  <w:tcPr>
                    <w:tcW w:w="1212" w:type="pct"/>
                    <w:tcBorders>
                      <w:top w:val="single" w:sz="4" w:space="0" w:color="2765A2"/>
                      <w:left w:val="single" w:sz="4" w:space="0" w:color="2765A2"/>
                      <w:bottom w:val="single" w:sz="4" w:space="0" w:color="2765A2"/>
                      <w:right w:val="single" w:sz="4" w:space="0" w:color="2765A2"/>
                    </w:tcBorders>
                  </w:tcPr>
                  <w:p w:rsidR="00E26C8E" w:rsidRPr="00E26C8E" w:rsidRDefault="00607847" w:rsidP="00E26C8E">
                    <w:pPr>
                      <w:spacing w:after="0" w:line="200" w:lineRule="exact"/>
                      <w:jc w:val="left"/>
                      <w:rPr>
                        <w:rFonts w:ascii="Arial" w:hAnsi="Arial"/>
                        <w:sz w:val="16"/>
                      </w:rPr>
                    </w:pPr>
                    <w:sdt>
                      <w:sdtPr>
                        <w:rPr>
                          <w:rFonts w:ascii="Arial" w:hAnsi="Arial"/>
                          <w:sz w:val="16"/>
                        </w:rPr>
                        <w:id w:val="-265619381"/>
                        <w:placeholder>
                          <w:docPart w:val="E59A1E74699642BB9F5F9967F63C44A1"/>
                        </w:placeholder>
                        <w:showingPlcHdr/>
                        <w:date w:fullDate="2020-03-05T00:00:00Z">
                          <w:dateFormat w:val="d/MM/yyyy"/>
                          <w:lid w:val="en-AU"/>
                          <w:storeMappedDataAs w:val="dateTime"/>
                          <w:calendar w:val="gregorian"/>
                        </w:date>
                      </w:sdtPr>
                      <w:sdtEndPr/>
                      <w:sdtContent>
                        <w:r w:rsidR="00E26C8E" w:rsidRPr="00E26C8E">
                          <w:rPr>
                            <w:rFonts w:ascii="Arial" w:hAnsi="Arial"/>
                            <w:color w:val="808080"/>
                            <w:sz w:val="16"/>
                          </w:rPr>
                          <w:t>Click to enter a date</w:t>
                        </w:r>
                      </w:sdtContent>
                    </w:sdt>
                  </w:p>
                </w:tc>
              </w:tr>
            </w:tbl>
            <w:p w:rsidR="00E26C8E" w:rsidRPr="00E26C8E" w:rsidRDefault="00E26C8E" w:rsidP="00E26C8E">
              <w:pPr>
                <w:spacing w:after="120" w:line="240" w:lineRule="exact"/>
                <w:jc w:val="left"/>
                <w:rPr>
                  <w:rFonts w:ascii="Arial" w:eastAsia="Times New Roman" w:hAnsi="Arial"/>
                  <w:sz w:val="20"/>
                  <w:szCs w:val="20"/>
                </w:rPr>
              </w:pPr>
              <w:r w:rsidRPr="00E26C8E">
                <w:rPr>
                  <w:rFonts w:ascii="Arial" w:eastAsia="Times New Roman" w:hAnsi="Arial"/>
                  <w:i/>
                  <w:color w:val="7F7F7F"/>
                  <w:sz w:val="16"/>
                </w:rPr>
                <w:t>Enter text as required and click the + at right to add another row</w:t>
              </w:r>
            </w:p>
          </w:sdtContent>
        </w:sdt>
      </w:sdtContent>
    </w:sdt>
    <w:p w:rsidR="00E26C8E" w:rsidRPr="00E26C8E" w:rsidRDefault="00E26C8E" w:rsidP="00E26C8E">
      <w:pPr>
        <w:keepNext/>
        <w:spacing w:before="240" w:after="120" w:line="240" w:lineRule="exact"/>
        <w:jc w:val="left"/>
        <w:outlineLvl w:val="1"/>
        <w:rPr>
          <w:rFonts w:ascii="Arial Bold" w:eastAsia="Times New Roman" w:hAnsi="Arial Bold" w:cs="Arial"/>
          <w:b/>
          <w:bCs/>
          <w:iCs/>
          <w:color w:val="0070C0"/>
          <w:sz w:val="22"/>
        </w:rPr>
      </w:pPr>
      <w:bookmarkStart w:id="125" w:name="_Toc59098618"/>
      <w:bookmarkStart w:id="126" w:name="_Toc59098743"/>
      <w:bookmarkStart w:id="127" w:name="_Toc59098956"/>
      <w:r w:rsidRPr="00E26C8E">
        <w:rPr>
          <w:rFonts w:ascii="Arial Bold" w:eastAsia="Times New Roman" w:hAnsi="Arial Bold" w:cs="Arial"/>
          <w:b/>
          <w:bCs/>
          <w:iCs/>
          <w:color w:val="0070C0"/>
          <w:sz w:val="22"/>
        </w:rPr>
        <w:t>LEADING INDICATOR REPORT DETAILS</w:t>
      </w:r>
      <w:bookmarkEnd w:id="125"/>
      <w:bookmarkEnd w:id="126"/>
      <w:bookmarkEnd w:id="127"/>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32"/>
        <w:gridCol w:w="3557"/>
        <w:gridCol w:w="3557"/>
      </w:tblGrid>
      <w:tr w:rsidR="00E26C8E" w:rsidRPr="00E26C8E" w:rsidTr="00046B75">
        <w:trPr>
          <w:trHeight w:val="330"/>
        </w:trPr>
        <w:tc>
          <w:tcPr>
            <w:tcW w:w="1194" w:type="pct"/>
            <w:tcBorders>
              <w:top w:val="nil"/>
              <w:left w:val="nil"/>
              <w:bottom w:val="nil"/>
              <w:right w:val="single" w:sz="6" w:space="0" w:color="2765A2"/>
            </w:tcBorders>
            <w:shd w:val="clear" w:color="auto" w:fill="auto"/>
            <w:hideMark/>
          </w:tcPr>
          <w:p w:rsidR="00E26C8E" w:rsidRPr="00E26C8E" w:rsidRDefault="00E26C8E" w:rsidP="00E26C8E">
            <w:pPr>
              <w:spacing w:after="0" w:line="240" w:lineRule="auto"/>
              <w:jc w:val="left"/>
              <w:textAlignment w:val="baseline"/>
              <w:rPr>
                <w:rFonts w:ascii="Segoe UI" w:eastAsia="Times New Roman" w:hAnsi="Segoe UI" w:cs="Segoe UI"/>
                <w:sz w:val="18"/>
                <w:szCs w:val="18"/>
                <w:lang w:eastAsia="en-AU"/>
              </w:rPr>
            </w:pPr>
            <w:r w:rsidRPr="00E26C8E">
              <w:rPr>
                <w:rFonts w:ascii="Arial" w:eastAsia="Times New Roman" w:hAnsi="Arial" w:cs="Arial"/>
                <w:sz w:val="16"/>
                <w:szCs w:val="16"/>
                <w:lang w:eastAsia="en-AU"/>
              </w:rPr>
              <w:t xml:space="preserve">Date and time leading </w:t>
            </w:r>
            <w:r w:rsidRPr="00E26C8E">
              <w:rPr>
                <w:rFonts w:ascii="Arial" w:eastAsia="Times New Roman" w:hAnsi="Arial" w:cs="Arial"/>
                <w:sz w:val="16"/>
                <w:szCs w:val="16"/>
                <w:lang w:eastAsia="en-AU"/>
              </w:rPr>
              <w:br/>
              <w:t>indicator triggered </w:t>
            </w:r>
          </w:p>
        </w:tc>
        <w:tc>
          <w:tcPr>
            <w:tcW w:w="3806" w:type="pct"/>
            <w:gridSpan w:val="2"/>
            <w:tcBorders>
              <w:top w:val="single" w:sz="6" w:space="0" w:color="2765A2"/>
              <w:left w:val="nil"/>
              <w:bottom w:val="single" w:sz="6" w:space="0" w:color="2765A2"/>
              <w:right w:val="single" w:sz="6" w:space="0" w:color="2765A2"/>
            </w:tcBorders>
            <w:shd w:val="clear" w:color="auto" w:fill="auto"/>
            <w:hideMark/>
          </w:tcPr>
          <w:p w:rsidR="00E26C8E" w:rsidRPr="00E26C8E" w:rsidRDefault="00E26C8E" w:rsidP="00E26C8E">
            <w:pPr>
              <w:spacing w:after="0" w:line="240" w:lineRule="auto"/>
              <w:jc w:val="left"/>
              <w:textAlignment w:val="baseline"/>
              <w:rPr>
                <w:rFonts w:ascii="Segoe UI" w:eastAsia="Times New Roman" w:hAnsi="Segoe UI" w:cs="Segoe UI"/>
                <w:sz w:val="18"/>
                <w:szCs w:val="18"/>
                <w:lang w:eastAsia="en-AU"/>
              </w:rPr>
            </w:pPr>
            <w:r w:rsidRPr="00E26C8E">
              <w:rPr>
                <w:rFonts w:ascii="Arial" w:eastAsia="Times New Roman" w:hAnsi="Arial" w:cs="Arial"/>
                <w:sz w:val="16"/>
                <w:szCs w:val="16"/>
                <w:lang w:eastAsia="en-AU"/>
              </w:rPr>
              <w:t>​​</w:t>
            </w:r>
            <w:r w:rsidRPr="00E26C8E">
              <w:rPr>
                <w:rFonts w:ascii="Arial" w:eastAsia="Times New Roman" w:hAnsi="Arial" w:cs="Arial"/>
                <w:color w:val="808080"/>
                <w:sz w:val="16"/>
                <w:szCs w:val="16"/>
                <w:lang w:eastAsia="en-AU"/>
              </w:rPr>
              <w:t>Click to enter text</w:t>
            </w:r>
            <w:r w:rsidRPr="00E26C8E">
              <w:rPr>
                <w:rFonts w:ascii="Arial" w:eastAsia="Times New Roman" w:hAnsi="Arial" w:cs="Arial"/>
                <w:sz w:val="16"/>
                <w:szCs w:val="16"/>
                <w:lang w:eastAsia="en-AU"/>
              </w:rPr>
              <w:t>​ </w:t>
            </w:r>
          </w:p>
        </w:tc>
      </w:tr>
      <w:tr w:rsidR="00E26C8E" w:rsidRPr="00E26C8E" w:rsidTr="00046B75">
        <w:trPr>
          <w:trHeight w:val="330"/>
        </w:trPr>
        <w:tc>
          <w:tcPr>
            <w:tcW w:w="1194" w:type="pct"/>
            <w:tcBorders>
              <w:top w:val="nil"/>
              <w:left w:val="nil"/>
              <w:bottom w:val="nil"/>
              <w:right w:val="single" w:sz="6" w:space="0" w:color="2765A2"/>
            </w:tcBorders>
            <w:shd w:val="clear" w:color="auto" w:fill="auto"/>
            <w:hideMark/>
          </w:tcPr>
          <w:p w:rsidR="00E26C8E" w:rsidRPr="00E26C8E" w:rsidRDefault="00E26C8E" w:rsidP="00E26C8E">
            <w:pPr>
              <w:spacing w:after="0" w:line="240" w:lineRule="auto"/>
              <w:jc w:val="left"/>
              <w:textAlignment w:val="baseline"/>
              <w:rPr>
                <w:rFonts w:ascii="Segoe UI" w:eastAsia="Times New Roman" w:hAnsi="Segoe UI" w:cs="Segoe UI"/>
                <w:sz w:val="18"/>
                <w:szCs w:val="18"/>
                <w:lang w:eastAsia="en-AU"/>
              </w:rPr>
            </w:pPr>
            <w:r w:rsidRPr="00E26C8E">
              <w:rPr>
                <w:rFonts w:ascii="Arial" w:eastAsia="Times New Roman" w:hAnsi="Arial" w:cs="Arial"/>
                <w:sz w:val="16"/>
                <w:szCs w:val="16"/>
                <w:lang w:eastAsia="en-AU"/>
              </w:rPr>
              <w:t xml:space="preserve">Date triggered leading </w:t>
            </w:r>
            <w:r w:rsidRPr="00E26C8E">
              <w:rPr>
                <w:rFonts w:ascii="Arial" w:eastAsia="Times New Roman" w:hAnsi="Arial" w:cs="Arial"/>
                <w:sz w:val="16"/>
                <w:szCs w:val="16"/>
                <w:lang w:eastAsia="en-AU"/>
              </w:rPr>
              <w:br/>
              <w:t>indicator reported to DEM </w:t>
            </w:r>
          </w:p>
        </w:tc>
        <w:tc>
          <w:tcPr>
            <w:tcW w:w="3806" w:type="pct"/>
            <w:gridSpan w:val="2"/>
            <w:tcBorders>
              <w:top w:val="nil"/>
              <w:left w:val="nil"/>
              <w:bottom w:val="single" w:sz="6" w:space="0" w:color="2765A2"/>
              <w:right w:val="single" w:sz="6" w:space="0" w:color="2765A2"/>
            </w:tcBorders>
            <w:shd w:val="clear" w:color="auto" w:fill="auto"/>
            <w:hideMark/>
          </w:tcPr>
          <w:p w:rsidR="00E26C8E" w:rsidRPr="00E26C8E" w:rsidRDefault="00E26C8E" w:rsidP="00E26C8E">
            <w:pPr>
              <w:spacing w:after="0" w:line="240" w:lineRule="auto"/>
              <w:jc w:val="left"/>
              <w:textAlignment w:val="baseline"/>
              <w:rPr>
                <w:rFonts w:ascii="Segoe UI" w:eastAsia="Times New Roman" w:hAnsi="Segoe UI" w:cs="Segoe UI"/>
                <w:sz w:val="18"/>
                <w:szCs w:val="18"/>
                <w:lang w:eastAsia="en-AU"/>
              </w:rPr>
            </w:pPr>
            <w:r w:rsidRPr="00E26C8E">
              <w:rPr>
                <w:rFonts w:ascii="Calibri" w:eastAsia="Times New Roman" w:hAnsi="Calibri" w:cs="Calibri"/>
                <w:sz w:val="16"/>
                <w:szCs w:val="16"/>
                <w:lang w:eastAsia="en-AU"/>
              </w:rPr>
              <w:t>​​</w:t>
            </w:r>
            <w:r w:rsidRPr="00E26C8E">
              <w:rPr>
                <w:rFonts w:ascii="Arial" w:eastAsia="Times New Roman" w:hAnsi="Arial" w:cs="Arial"/>
                <w:color w:val="808080"/>
                <w:sz w:val="16"/>
                <w:szCs w:val="16"/>
                <w:lang w:eastAsia="en-AU"/>
              </w:rPr>
              <w:t>Click to enter a date</w:t>
            </w:r>
            <w:r w:rsidRPr="00E26C8E">
              <w:rPr>
                <w:rFonts w:ascii="Calibri" w:eastAsia="Times New Roman" w:hAnsi="Calibri" w:cs="Calibri"/>
                <w:sz w:val="16"/>
                <w:szCs w:val="16"/>
                <w:lang w:eastAsia="en-AU"/>
              </w:rPr>
              <w:t>​</w:t>
            </w:r>
            <w:r w:rsidRPr="00E26C8E">
              <w:rPr>
                <w:rFonts w:ascii="Arial" w:eastAsia="Times New Roman" w:hAnsi="Arial" w:cs="Arial"/>
                <w:sz w:val="16"/>
                <w:szCs w:val="16"/>
                <w:lang w:eastAsia="en-AU"/>
              </w:rPr>
              <w:t> </w:t>
            </w:r>
          </w:p>
        </w:tc>
      </w:tr>
      <w:tr w:rsidR="00E26C8E" w:rsidRPr="00E26C8E" w:rsidTr="00046B75">
        <w:trPr>
          <w:trHeight w:val="300"/>
        </w:trPr>
        <w:tc>
          <w:tcPr>
            <w:tcW w:w="1194" w:type="pct"/>
            <w:vMerge w:val="restart"/>
            <w:tcBorders>
              <w:top w:val="nil"/>
              <w:left w:val="nil"/>
              <w:bottom w:val="nil"/>
              <w:right w:val="single" w:sz="6" w:space="0" w:color="2765A2"/>
            </w:tcBorders>
            <w:shd w:val="clear" w:color="auto" w:fill="auto"/>
            <w:hideMark/>
          </w:tcPr>
          <w:p w:rsidR="00E26C8E" w:rsidRPr="00E26C8E" w:rsidRDefault="00E26C8E" w:rsidP="00E26C8E">
            <w:pPr>
              <w:spacing w:after="0" w:line="240" w:lineRule="auto"/>
              <w:jc w:val="left"/>
              <w:textAlignment w:val="baseline"/>
              <w:rPr>
                <w:rFonts w:ascii="Segoe UI" w:eastAsia="Times New Roman" w:hAnsi="Segoe UI" w:cs="Segoe UI"/>
                <w:sz w:val="18"/>
                <w:szCs w:val="18"/>
                <w:lang w:eastAsia="en-AU"/>
              </w:rPr>
            </w:pPr>
            <w:r w:rsidRPr="00E26C8E">
              <w:rPr>
                <w:rFonts w:ascii="Arial" w:eastAsia="Times New Roman" w:hAnsi="Arial" w:cs="Arial"/>
                <w:sz w:val="16"/>
                <w:szCs w:val="16"/>
                <w:lang w:eastAsia="en-AU"/>
              </w:rPr>
              <w:t xml:space="preserve">Select other authorities </w:t>
            </w:r>
            <w:r w:rsidRPr="00E26C8E">
              <w:rPr>
                <w:rFonts w:ascii="Arial" w:eastAsia="Times New Roman" w:hAnsi="Arial" w:cs="Arial"/>
                <w:sz w:val="16"/>
                <w:szCs w:val="16"/>
                <w:lang w:eastAsia="en-AU"/>
              </w:rPr>
              <w:br/>
              <w:t xml:space="preserve">notified and date of </w:t>
            </w:r>
            <w:r w:rsidRPr="00E26C8E">
              <w:rPr>
                <w:rFonts w:ascii="Arial" w:eastAsia="Times New Roman" w:hAnsi="Arial" w:cs="Arial"/>
                <w:sz w:val="16"/>
                <w:szCs w:val="16"/>
                <w:lang w:eastAsia="en-AU"/>
              </w:rPr>
              <w:br/>
              <w:t>notification (if applicable) </w:t>
            </w:r>
          </w:p>
        </w:tc>
        <w:tc>
          <w:tcPr>
            <w:tcW w:w="1903" w:type="pct"/>
            <w:tcBorders>
              <w:top w:val="nil"/>
              <w:left w:val="nil"/>
              <w:bottom w:val="single" w:sz="6" w:space="0" w:color="2765A2"/>
              <w:right w:val="single" w:sz="6" w:space="0" w:color="2765A2"/>
            </w:tcBorders>
            <w:shd w:val="clear" w:color="auto" w:fill="auto"/>
            <w:hideMark/>
          </w:tcPr>
          <w:p w:rsidR="00E26C8E" w:rsidRPr="00E26C8E" w:rsidRDefault="00E26C8E" w:rsidP="00E26C8E">
            <w:pPr>
              <w:spacing w:after="0" w:line="240" w:lineRule="auto"/>
              <w:jc w:val="left"/>
              <w:textAlignment w:val="baseline"/>
              <w:rPr>
                <w:rFonts w:ascii="Segoe UI" w:eastAsia="Times New Roman" w:hAnsi="Segoe UI" w:cs="Segoe UI"/>
                <w:sz w:val="18"/>
                <w:szCs w:val="18"/>
                <w:lang w:eastAsia="en-AU"/>
              </w:rPr>
            </w:pPr>
            <w:r w:rsidRPr="00E26C8E">
              <w:rPr>
                <w:rFonts w:ascii="Calibri" w:eastAsia="Times New Roman" w:hAnsi="Calibri" w:cs="Calibri"/>
                <w:sz w:val="16"/>
                <w:szCs w:val="16"/>
                <w:lang w:eastAsia="en-AU"/>
              </w:rPr>
              <w:t>​​</w:t>
            </w:r>
            <w:r w:rsidRPr="00E26C8E">
              <w:rPr>
                <w:rFonts w:ascii="MS Gothic" w:eastAsia="MS Gothic" w:hAnsi="MS Gothic" w:cs="Segoe UI" w:hint="eastAsia"/>
                <w:sz w:val="16"/>
                <w:szCs w:val="16"/>
                <w:lang w:eastAsia="en-AU"/>
              </w:rPr>
              <w:t>☐</w:t>
            </w:r>
            <w:r w:rsidRPr="00E26C8E">
              <w:rPr>
                <w:rFonts w:ascii="Calibri" w:eastAsia="Times New Roman" w:hAnsi="Calibri" w:cs="Calibri"/>
                <w:sz w:val="16"/>
                <w:szCs w:val="16"/>
                <w:lang w:eastAsia="en-AU"/>
              </w:rPr>
              <w:t>​</w:t>
            </w:r>
            <w:r w:rsidRPr="00E26C8E">
              <w:rPr>
                <w:rFonts w:ascii="Arial" w:eastAsia="Times New Roman" w:hAnsi="Arial" w:cs="Arial"/>
                <w:sz w:val="16"/>
                <w:szCs w:val="16"/>
                <w:lang w:eastAsia="en-AU"/>
              </w:rPr>
              <w:t>   SA EPA </w:t>
            </w:r>
          </w:p>
        </w:tc>
        <w:tc>
          <w:tcPr>
            <w:tcW w:w="1903" w:type="pct"/>
            <w:tcBorders>
              <w:top w:val="nil"/>
              <w:left w:val="nil"/>
              <w:bottom w:val="single" w:sz="6" w:space="0" w:color="2765A2"/>
              <w:right w:val="single" w:sz="6" w:space="0" w:color="2765A2"/>
            </w:tcBorders>
            <w:shd w:val="clear" w:color="auto" w:fill="auto"/>
            <w:hideMark/>
          </w:tcPr>
          <w:p w:rsidR="00E26C8E" w:rsidRPr="00E26C8E" w:rsidRDefault="00E26C8E" w:rsidP="00E26C8E">
            <w:pPr>
              <w:spacing w:after="0" w:line="240" w:lineRule="auto"/>
              <w:jc w:val="left"/>
              <w:textAlignment w:val="baseline"/>
              <w:rPr>
                <w:rFonts w:ascii="Segoe UI" w:eastAsia="Times New Roman" w:hAnsi="Segoe UI" w:cs="Segoe UI"/>
                <w:sz w:val="18"/>
                <w:szCs w:val="18"/>
                <w:lang w:eastAsia="en-AU"/>
              </w:rPr>
            </w:pPr>
            <w:r w:rsidRPr="00E26C8E">
              <w:rPr>
                <w:rFonts w:ascii="Calibri" w:eastAsia="Times New Roman" w:hAnsi="Calibri" w:cs="Calibri"/>
                <w:sz w:val="16"/>
                <w:szCs w:val="16"/>
                <w:lang w:eastAsia="en-AU"/>
              </w:rPr>
              <w:t>​​</w:t>
            </w:r>
            <w:r w:rsidRPr="00E26C8E">
              <w:rPr>
                <w:rFonts w:ascii="Arial" w:eastAsia="Times New Roman" w:hAnsi="Arial" w:cs="Arial"/>
                <w:color w:val="808080"/>
                <w:sz w:val="16"/>
                <w:szCs w:val="16"/>
                <w:lang w:eastAsia="en-AU"/>
              </w:rPr>
              <w:t>Click to enter a date</w:t>
            </w:r>
            <w:r w:rsidRPr="00E26C8E">
              <w:rPr>
                <w:rFonts w:ascii="Calibri" w:eastAsia="Times New Roman" w:hAnsi="Calibri" w:cs="Calibri"/>
                <w:sz w:val="16"/>
                <w:szCs w:val="16"/>
                <w:lang w:eastAsia="en-AU"/>
              </w:rPr>
              <w:t>​</w:t>
            </w:r>
            <w:r w:rsidRPr="00E26C8E">
              <w:rPr>
                <w:rFonts w:ascii="Arial" w:eastAsia="Times New Roman" w:hAnsi="Arial" w:cs="Arial"/>
                <w:sz w:val="16"/>
                <w:szCs w:val="16"/>
                <w:lang w:eastAsia="en-AU"/>
              </w:rPr>
              <w:t> </w:t>
            </w:r>
          </w:p>
        </w:tc>
      </w:tr>
      <w:tr w:rsidR="00E26C8E" w:rsidRPr="00E26C8E" w:rsidTr="00046B75">
        <w:trPr>
          <w:trHeight w:val="300"/>
        </w:trPr>
        <w:tc>
          <w:tcPr>
            <w:tcW w:w="1194" w:type="pct"/>
            <w:vMerge/>
            <w:tcBorders>
              <w:top w:val="nil"/>
              <w:left w:val="nil"/>
              <w:bottom w:val="nil"/>
              <w:right w:val="single" w:sz="6" w:space="0" w:color="2765A2"/>
            </w:tcBorders>
            <w:shd w:val="clear" w:color="auto" w:fill="auto"/>
            <w:vAlign w:val="center"/>
            <w:hideMark/>
          </w:tcPr>
          <w:p w:rsidR="00E26C8E" w:rsidRPr="00E26C8E" w:rsidRDefault="00E26C8E" w:rsidP="00E26C8E">
            <w:pPr>
              <w:spacing w:after="0" w:line="240" w:lineRule="auto"/>
              <w:jc w:val="left"/>
              <w:rPr>
                <w:rFonts w:ascii="Segoe UI" w:eastAsia="Times New Roman" w:hAnsi="Segoe UI" w:cs="Segoe UI"/>
                <w:sz w:val="18"/>
                <w:szCs w:val="18"/>
                <w:lang w:eastAsia="en-AU"/>
              </w:rPr>
            </w:pPr>
          </w:p>
        </w:tc>
        <w:tc>
          <w:tcPr>
            <w:tcW w:w="1903" w:type="pct"/>
            <w:tcBorders>
              <w:top w:val="nil"/>
              <w:left w:val="nil"/>
              <w:bottom w:val="single" w:sz="6" w:space="0" w:color="2765A2"/>
              <w:right w:val="single" w:sz="6" w:space="0" w:color="2765A2"/>
            </w:tcBorders>
            <w:shd w:val="clear" w:color="auto" w:fill="auto"/>
            <w:hideMark/>
          </w:tcPr>
          <w:p w:rsidR="00E26C8E" w:rsidRPr="00E26C8E" w:rsidRDefault="00E26C8E" w:rsidP="00E26C8E">
            <w:pPr>
              <w:spacing w:after="0" w:line="240" w:lineRule="auto"/>
              <w:jc w:val="left"/>
              <w:textAlignment w:val="baseline"/>
              <w:rPr>
                <w:rFonts w:ascii="Segoe UI" w:eastAsia="Times New Roman" w:hAnsi="Segoe UI" w:cs="Segoe UI"/>
                <w:sz w:val="18"/>
                <w:szCs w:val="18"/>
                <w:lang w:eastAsia="en-AU"/>
              </w:rPr>
            </w:pPr>
            <w:r w:rsidRPr="00E26C8E">
              <w:rPr>
                <w:rFonts w:ascii="Calibri" w:eastAsia="Times New Roman" w:hAnsi="Calibri" w:cs="Calibri"/>
                <w:sz w:val="16"/>
                <w:szCs w:val="16"/>
                <w:lang w:eastAsia="en-AU"/>
              </w:rPr>
              <w:t>​​</w:t>
            </w:r>
            <w:r w:rsidRPr="00E26C8E">
              <w:rPr>
                <w:rFonts w:ascii="MS Gothic" w:eastAsia="MS Gothic" w:hAnsi="MS Gothic" w:cs="Segoe UI" w:hint="eastAsia"/>
                <w:sz w:val="16"/>
                <w:szCs w:val="16"/>
                <w:lang w:eastAsia="en-AU"/>
              </w:rPr>
              <w:t>☐</w:t>
            </w:r>
            <w:r w:rsidRPr="00E26C8E">
              <w:rPr>
                <w:rFonts w:ascii="Calibri" w:eastAsia="Times New Roman" w:hAnsi="Calibri" w:cs="Calibri"/>
                <w:sz w:val="16"/>
                <w:szCs w:val="16"/>
                <w:lang w:eastAsia="en-AU"/>
              </w:rPr>
              <w:t>​</w:t>
            </w:r>
            <w:r w:rsidRPr="00E26C8E">
              <w:rPr>
                <w:rFonts w:ascii="Arial" w:eastAsia="Times New Roman" w:hAnsi="Arial" w:cs="Arial"/>
                <w:sz w:val="16"/>
                <w:szCs w:val="16"/>
                <w:lang w:eastAsia="en-AU"/>
              </w:rPr>
              <w:t>   SafeWork SA </w:t>
            </w:r>
          </w:p>
        </w:tc>
        <w:tc>
          <w:tcPr>
            <w:tcW w:w="1903" w:type="pct"/>
            <w:tcBorders>
              <w:top w:val="nil"/>
              <w:left w:val="nil"/>
              <w:bottom w:val="single" w:sz="6" w:space="0" w:color="2765A2"/>
              <w:right w:val="single" w:sz="6" w:space="0" w:color="2765A2"/>
            </w:tcBorders>
            <w:shd w:val="clear" w:color="auto" w:fill="auto"/>
            <w:hideMark/>
          </w:tcPr>
          <w:p w:rsidR="00E26C8E" w:rsidRPr="00E26C8E" w:rsidRDefault="00E26C8E" w:rsidP="00E26C8E">
            <w:pPr>
              <w:spacing w:after="0" w:line="240" w:lineRule="auto"/>
              <w:jc w:val="left"/>
              <w:textAlignment w:val="baseline"/>
              <w:rPr>
                <w:rFonts w:ascii="Segoe UI" w:eastAsia="Times New Roman" w:hAnsi="Segoe UI" w:cs="Segoe UI"/>
                <w:sz w:val="18"/>
                <w:szCs w:val="18"/>
                <w:lang w:eastAsia="en-AU"/>
              </w:rPr>
            </w:pPr>
            <w:r w:rsidRPr="00E26C8E">
              <w:rPr>
                <w:rFonts w:ascii="Calibri" w:eastAsia="Times New Roman" w:hAnsi="Calibri" w:cs="Calibri"/>
                <w:sz w:val="16"/>
                <w:szCs w:val="16"/>
                <w:lang w:eastAsia="en-AU"/>
              </w:rPr>
              <w:t>​​</w:t>
            </w:r>
            <w:r w:rsidRPr="00E26C8E">
              <w:rPr>
                <w:rFonts w:ascii="Arial" w:eastAsia="Times New Roman" w:hAnsi="Arial" w:cs="Arial"/>
                <w:color w:val="808080"/>
                <w:sz w:val="16"/>
                <w:szCs w:val="16"/>
                <w:lang w:eastAsia="en-AU"/>
              </w:rPr>
              <w:t>Click to enter a date</w:t>
            </w:r>
            <w:r w:rsidRPr="00E26C8E">
              <w:rPr>
                <w:rFonts w:ascii="Calibri" w:eastAsia="Times New Roman" w:hAnsi="Calibri" w:cs="Calibri"/>
                <w:sz w:val="16"/>
                <w:szCs w:val="16"/>
                <w:lang w:eastAsia="en-AU"/>
              </w:rPr>
              <w:t>​</w:t>
            </w:r>
            <w:r w:rsidRPr="00E26C8E">
              <w:rPr>
                <w:rFonts w:ascii="Arial" w:eastAsia="Times New Roman" w:hAnsi="Arial" w:cs="Arial"/>
                <w:sz w:val="16"/>
                <w:szCs w:val="16"/>
                <w:lang w:eastAsia="en-AU"/>
              </w:rPr>
              <w:t> </w:t>
            </w:r>
          </w:p>
        </w:tc>
      </w:tr>
      <w:tr w:rsidR="00E26C8E" w:rsidRPr="00E26C8E" w:rsidTr="00046B75">
        <w:trPr>
          <w:trHeight w:val="300"/>
        </w:trPr>
        <w:tc>
          <w:tcPr>
            <w:tcW w:w="1194" w:type="pct"/>
            <w:vMerge/>
            <w:tcBorders>
              <w:top w:val="nil"/>
              <w:left w:val="nil"/>
              <w:bottom w:val="nil"/>
              <w:right w:val="single" w:sz="6" w:space="0" w:color="2765A2"/>
            </w:tcBorders>
            <w:shd w:val="clear" w:color="auto" w:fill="auto"/>
            <w:vAlign w:val="center"/>
            <w:hideMark/>
          </w:tcPr>
          <w:p w:rsidR="00E26C8E" w:rsidRPr="00E26C8E" w:rsidRDefault="00E26C8E" w:rsidP="00E26C8E">
            <w:pPr>
              <w:spacing w:after="0" w:line="240" w:lineRule="auto"/>
              <w:jc w:val="left"/>
              <w:rPr>
                <w:rFonts w:ascii="Segoe UI" w:eastAsia="Times New Roman" w:hAnsi="Segoe UI" w:cs="Segoe UI"/>
                <w:sz w:val="18"/>
                <w:szCs w:val="18"/>
                <w:lang w:eastAsia="en-AU"/>
              </w:rPr>
            </w:pPr>
          </w:p>
        </w:tc>
        <w:tc>
          <w:tcPr>
            <w:tcW w:w="1903" w:type="pct"/>
            <w:tcBorders>
              <w:top w:val="nil"/>
              <w:left w:val="nil"/>
              <w:bottom w:val="single" w:sz="6" w:space="0" w:color="2765A2"/>
              <w:right w:val="single" w:sz="6" w:space="0" w:color="2765A2"/>
            </w:tcBorders>
            <w:shd w:val="clear" w:color="auto" w:fill="auto"/>
            <w:hideMark/>
          </w:tcPr>
          <w:p w:rsidR="00E26C8E" w:rsidRPr="00E26C8E" w:rsidRDefault="00E26C8E" w:rsidP="00E26C8E">
            <w:pPr>
              <w:spacing w:after="0" w:line="240" w:lineRule="auto"/>
              <w:jc w:val="left"/>
              <w:textAlignment w:val="baseline"/>
              <w:rPr>
                <w:rFonts w:ascii="Segoe UI" w:eastAsia="Times New Roman" w:hAnsi="Segoe UI" w:cs="Segoe UI"/>
                <w:sz w:val="18"/>
                <w:szCs w:val="18"/>
                <w:lang w:eastAsia="en-AU"/>
              </w:rPr>
            </w:pPr>
            <w:r w:rsidRPr="00E26C8E">
              <w:rPr>
                <w:rFonts w:ascii="Calibri" w:eastAsia="Times New Roman" w:hAnsi="Calibri" w:cs="Calibri"/>
                <w:sz w:val="16"/>
                <w:szCs w:val="16"/>
                <w:lang w:eastAsia="en-AU"/>
              </w:rPr>
              <w:t>​​</w:t>
            </w:r>
            <w:r w:rsidRPr="00E26C8E">
              <w:rPr>
                <w:rFonts w:ascii="MS Gothic" w:eastAsia="MS Gothic" w:hAnsi="MS Gothic" w:cs="Segoe UI" w:hint="eastAsia"/>
                <w:sz w:val="16"/>
                <w:szCs w:val="16"/>
                <w:lang w:eastAsia="en-AU"/>
              </w:rPr>
              <w:t>☐</w:t>
            </w:r>
            <w:r w:rsidRPr="00E26C8E">
              <w:rPr>
                <w:rFonts w:ascii="Calibri" w:eastAsia="Times New Roman" w:hAnsi="Calibri" w:cs="Calibri"/>
                <w:sz w:val="16"/>
                <w:szCs w:val="16"/>
                <w:lang w:eastAsia="en-AU"/>
              </w:rPr>
              <w:t>​</w:t>
            </w:r>
            <w:r w:rsidRPr="00E26C8E">
              <w:rPr>
                <w:rFonts w:ascii="Arial" w:eastAsia="Times New Roman" w:hAnsi="Arial" w:cs="Arial"/>
                <w:sz w:val="16"/>
                <w:szCs w:val="16"/>
                <w:lang w:eastAsia="en-AU"/>
              </w:rPr>
              <w:t>   Other </w:t>
            </w:r>
          </w:p>
        </w:tc>
        <w:tc>
          <w:tcPr>
            <w:tcW w:w="1903" w:type="pct"/>
            <w:tcBorders>
              <w:top w:val="nil"/>
              <w:left w:val="nil"/>
              <w:bottom w:val="single" w:sz="6" w:space="0" w:color="2765A2"/>
              <w:right w:val="single" w:sz="6" w:space="0" w:color="2765A2"/>
            </w:tcBorders>
            <w:shd w:val="clear" w:color="auto" w:fill="auto"/>
            <w:hideMark/>
          </w:tcPr>
          <w:p w:rsidR="00E26C8E" w:rsidRPr="00E26C8E" w:rsidRDefault="00E26C8E" w:rsidP="00E26C8E">
            <w:pPr>
              <w:spacing w:after="0" w:line="240" w:lineRule="auto"/>
              <w:jc w:val="left"/>
              <w:textAlignment w:val="baseline"/>
              <w:rPr>
                <w:rFonts w:ascii="Segoe UI" w:eastAsia="Times New Roman" w:hAnsi="Segoe UI" w:cs="Segoe UI"/>
                <w:sz w:val="18"/>
                <w:szCs w:val="18"/>
                <w:lang w:eastAsia="en-AU"/>
              </w:rPr>
            </w:pPr>
            <w:r w:rsidRPr="00E26C8E">
              <w:rPr>
                <w:rFonts w:ascii="Calibri" w:eastAsia="Times New Roman" w:hAnsi="Calibri" w:cs="Calibri"/>
                <w:sz w:val="16"/>
                <w:szCs w:val="16"/>
                <w:lang w:eastAsia="en-AU"/>
              </w:rPr>
              <w:t>​​</w:t>
            </w:r>
            <w:r w:rsidRPr="00E26C8E">
              <w:rPr>
                <w:rFonts w:ascii="Arial" w:eastAsia="Times New Roman" w:hAnsi="Arial" w:cs="Arial"/>
                <w:color w:val="808080"/>
                <w:sz w:val="16"/>
                <w:szCs w:val="16"/>
                <w:lang w:eastAsia="en-AU"/>
              </w:rPr>
              <w:t>Click to enter a date</w:t>
            </w:r>
            <w:r w:rsidRPr="00E26C8E">
              <w:rPr>
                <w:rFonts w:ascii="Calibri" w:eastAsia="Times New Roman" w:hAnsi="Calibri" w:cs="Calibri"/>
                <w:sz w:val="16"/>
                <w:szCs w:val="16"/>
                <w:lang w:eastAsia="en-AU"/>
              </w:rPr>
              <w:t>​</w:t>
            </w:r>
            <w:r w:rsidRPr="00E26C8E">
              <w:rPr>
                <w:rFonts w:ascii="Arial" w:eastAsia="Times New Roman" w:hAnsi="Arial" w:cs="Arial"/>
                <w:sz w:val="16"/>
                <w:szCs w:val="16"/>
                <w:lang w:eastAsia="en-AU"/>
              </w:rPr>
              <w:t> </w:t>
            </w:r>
          </w:p>
        </w:tc>
      </w:tr>
      <w:tr w:rsidR="00E26C8E" w:rsidRPr="00E26C8E" w:rsidTr="00046B75">
        <w:trPr>
          <w:trHeight w:val="450"/>
        </w:trPr>
        <w:tc>
          <w:tcPr>
            <w:tcW w:w="1194" w:type="pct"/>
            <w:tcBorders>
              <w:top w:val="nil"/>
              <w:left w:val="nil"/>
              <w:bottom w:val="nil"/>
              <w:right w:val="single" w:sz="6" w:space="0" w:color="2765A2"/>
            </w:tcBorders>
            <w:shd w:val="clear" w:color="auto" w:fill="auto"/>
            <w:hideMark/>
          </w:tcPr>
          <w:p w:rsidR="00E26C8E" w:rsidRPr="00E26C8E" w:rsidRDefault="00E26C8E" w:rsidP="00E26C8E">
            <w:pPr>
              <w:spacing w:after="0" w:line="240" w:lineRule="auto"/>
              <w:jc w:val="left"/>
              <w:textAlignment w:val="baseline"/>
              <w:rPr>
                <w:rFonts w:ascii="Segoe UI" w:eastAsia="Times New Roman" w:hAnsi="Segoe UI" w:cs="Segoe UI"/>
                <w:sz w:val="18"/>
                <w:szCs w:val="18"/>
                <w:lang w:eastAsia="en-AU"/>
              </w:rPr>
            </w:pPr>
            <w:r w:rsidRPr="00E26C8E">
              <w:rPr>
                <w:rFonts w:ascii="Arial" w:eastAsia="Times New Roman" w:hAnsi="Arial" w:cs="Arial"/>
                <w:sz w:val="16"/>
                <w:szCs w:val="16"/>
                <w:lang w:eastAsia="en-AU"/>
              </w:rPr>
              <w:t>Location </w:t>
            </w:r>
          </w:p>
        </w:tc>
        <w:tc>
          <w:tcPr>
            <w:tcW w:w="3806" w:type="pct"/>
            <w:gridSpan w:val="2"/>
            <w:tcBorders>
              <w:top w:val="nil"/>
              <w:left w:val="nil"/>
              <w:bottom w:val="single" w:sz="6" w:space="0" w:color="2765A2"/>
              <w:right w:val="single" w:sz="6" w:space="0" w:color="2765A2"/>
            </w:tcBorders>
            <w:shd w:val="clear" w:color="auto" w:fill="auto"/>
            <w:hideMark/>
          </w:tcPr>
          <w:p w:rsidR="00E26C8E" w:rsidRPr="00E26C8E" w:rsidRDefault="00E26C8E" w:rsidP="00E26C8E">
            <w:pPr>
              <w:spacing w:after="0" w:line="240" w:lineRule="auto"/>
              <w:jc w:val="left"/>
              <w:textAlignment w:val="baseline"/>
              <w:rPr>
                <w:rFonts w:ascii="Segoe UI" w:eastAsia="Times New Roman" w:hAnsi="Segoe UI" w:cs="Segoe UI"/>
                <w:sz w:val="18"/>
                <w:szCs w:val="18"/>
                <w:lang w:eastAsia="en-AU"/>
              </w:rPr>
            </w:pPr>
            <w:r w:rsidRPr="00E26C8E">
              <w:rPr>
                <w:rFonts w:ascii="Arial" w:eastAsia="Times New Roman" w:hAnsi="Arial" w:cs="Arial"/>
                <w:sz w:val="16"/>
                <w:szCs w:val="16"/>
                <w:lang w:eastAsia="en-AU"/>
              </w:rPr>
              <w:t>​​</w:t>
            </w:r>
            <w:r w:rsidRPr="00E26C8E">
              <w:rPr>
                <w:rFonts w:ascii="Arial" w:eastAsia="Times New Roman" w:hAnsi="Arial" w:cs="Arial"/>
                <w:color w:val="808080"/>
                <w:sz w:val="16"/>
                <w:szCs w:val="16"/>
                <w:lang w:eastAsia="en-AU"/>
              </w:rPr>
              <w:t>Provide details of the location of the leading indicator triggered.</w:t>
            </w:r>
          </w:p>
        </w:tc>
      </w:tr>
      <w:tr w:rsidR="00E26C8E" w:rsidRPr="00E26C8E" w:rsidTr="00046B75">
        <w:trPr>
          <w:trHeight w:val="1125"/>
        </w:trPr>
        <w:tc>
          <w:tcPr>
            <w:tcW w:w="1194" w:type="pct"/>
            <w:tcBorders>
              <w:top w:val="nil"/>
              <w:left w:val="nil"/>
              <w:bottom w:val="nil"/>
              <w:right w:val="single" w:sz="6" w:space="0" w:color="2765A2"/>
            </w:tcBorders>
            <w:shd w:val="clear" w:color="auto" w:fill="auto"/>
            <w:hideMark/>
          </w:tcPr>
          <w:p w:rsidR="00E26C8E" w:rsidRPr="00E26C8E" w:rsidRDefault="00E26C8E" w:rsidP="00E26C8E">
            <w:pPr>
              <w:spacing w:after="0" w:line="240" w:lineRule="auto"/>
              <w:jc w:val="left"/>
              <w:textAlignment w:val="baseline"/>
              <w:rPr>
                <w:rFonts w:ascii="Segoe UI" w:eastAsia="Times New Roman" w:hAnsi="Segoe UI" w:cs="Segoe UI"/>
                <w:sz w:val="18"/>
                <w:szCs w:val="18"/>
                <w:lang w:eastAsia="en-AU"/>
              </w:rPr>
            </w:pPr>
            <w:r w:rsidRPr="00E26C8E">
              <w:rPr>
                <w:rFonts w:ascii="Arial" w:eastAsia="Times New Roman" w:hAnsi="Arial" w:cs="Arial"/>
                <w:sz w:val="16"/>
                <w:szCs w:val="16"/>
                <w:lang w:eastAsia="en-AU"/>
              </w:rPr>
              <w:t>State all relevant leading indicator criteria triggered </w:t>
            </w:r>
          </w:p>
        </w:tc>
        <w:tc>
          <w:tcPr>
            <w:tcW w:w="3806" w:type="pct"/>
            <w:gridSpan w:val="2"/>
            <w:tcBorders>
              <w:top w:val="nil"/>
              <w:left w:val="nil"/>
              <w:bottom w:val="single" w:sz="6" w:space="0" w:color="2765A2"/>
              <w:right w:val="single" w:sz="6" w:space="0" w:color="2765A2"/>
            </w:tcBorders>
            <w:shd w:val="clear" w:color="auto" w:fill="auto"/>
            <w:hideMark/>
          </w:tcPr>
          <w:p w:rsidR="00E26C8E" w:rsidRPr="00E26C8E" w:rsidRDefault="00E26C8E" w:rsidP="00E26C8E">
            <w:pPr>
              <w:shd w:val="clear" w:color="auto" w:fill="FFFFFF"/>
              <w:spacing w:after="0" w:line="240" w:lineRule="auto"/>
              <w:jc w:val="left"/>
              <w:textAlignment w:val="baseline"/>
              <w:rPr>
                <w:rFonts w:ascii="Segoe UI" w:eastAsia="Times New Roman" w:hAnsi="Segoe UI" w:cs="Segoe UI"/>
                <w:sz w:val="18"/>
                <w:szCs w:val="18"/>
                <w:lang w:eastAsia="en-AU"/>
              </w:rPr>
            </w:pPr>
            <w:r w:rsidRPr="00E26C8E">
              <w:rPr>
                <w:rFonts w:ascii="Arial" w:eastAsia="Times New Roman" w:hAnsi="Arial" w:cs="Arial"/>
                <w:color w:val="808080"/>
                <w:sz w:val="16"/>
                <w:szCs w:val="16"/>
                <w:lang w:eastAsia="en-AU"/>
              </w:rPr>
              <w:t>​​Click to enter text​ </w:t>
            </w:r>
          </w:p>
        </w:tc>
      </w:tr>
      <w:tr w:rsidR="00E26C8E" w:rsidRPr="00E26C8E" w:rsidTr="00046B75">
        <w:trPr>
          <w:trHeight w:val="945"/>
        </w:trPr>
        <w:tc>
          <w:tcPr>
            <w:tcW w:w="1194" w:type="pct"/>
            <w:tcBorders>
              <w:top w:val="nil"/>
              <w:left w:val="nil"/>
              <w:bottom w:val="nil"/>
              <w:right w:val="single" w:sz="6" w:space="0" w:color="2765A2"/>
            </w:tcBorders>
            <w:shd w:val="clear" w:color="auto" w:fill="auto"/>
            <w:hideMark/>
          </w:tcPr>
          <w:p w:rsidR="00E26C8E" w:rsidRPr="00E26C8E" w:rsidRDefault="00E26C8E" w:rsidP="00E26C8E">
            <w:pPr>
              <w:spacing w:after="0" w:line="240" w:lineRule="auto"/>
              <w:jc w:val="left"/>
              <w:textAlignment w:val="baseline"/>
              <w:rPr>
                <w:rFonts w:ascii="Segoe UI" w:eastAsia="Times New Roman" w:hAnsi="Segoe UI" w:cs="Segoe UI"/>
                <w:sz w:val="18"/>
                <w:szCs w:val="18"/>
                <w:lang w:eastAsia="en-AU"/>
              </w:rPr>
            </w:pPr>
            <w:r w:rsidRPr="00E26C8E">
              <w:rPr>
                <w:rFonts w:ascii="Arial" w:eastAsia="Times New Roman" w:hAnsi="Arial" w:cs="Arial"/>
                <w:sz w:val="16"/>
                <w:szCs w:val="16"/>
                <w:lang w:eastAsia="en-AU"/>
              </w:rPr>
              <w:t xml:space="preserve">State the environmental outcome/objectives(s) </w:t>
            </w:r>
            <w:r w:rsidRPr="00E26C8E">
              <w:rPr>
                <w:rFonts w:ascii="Arial" w:eastAsia="Times New Roman" w:hAnsi="Arial" w:cs="Arial"/>
                <w:sz w:val="16"/>
                <w:szCs w:val="16"/>
                <w:lang w:eastAsia="en-AU"/>
              </w:rPr>
              <w:br/>
              <w:t xml:space="preserve">relevant to the leading </w:t>
            </w:r>
            <w:r w:rsidRPr="00E26C8E">
              <w:rPr>
                <w:rFonts w:ascii="Arial" w:eastAsia="Times New Roman" w:hAnsi="Arial" w:cs="Arial"/>
                <w:sz w:val="16"/>
                <w:szCs w:val="16"/>
                <w:lang w:eastAsia="en-AU"/>
              </w:rPr>
              <w:br/>
              <w:t>indicator criteria </w:t>
            </w:r>
          </w:p>
        </w:tc>
        <w:tc>
          <w:tcPr>
            <w:tcW w:w="3806" w:type="pct"/>
            <w:gridSpan w:val="2"/>
            <w:tcBorders>
              <w:top w:val="nil"/>
              <w:left w:val="nil"/>
              <w:bottom w:val="single" w:sz="6" w:space="0" w:color="2765A2"/>
              <w:right w:val="single" w:sz="6" w:space="0" w:color="2765A2"/>
            </w:tcBorders>
            <w:shd w:val="clear" w:color="auto" w:fill="auto"/>
            <w:hideMark/>
          </w:tcPr>
          <w:p w:rsidR="00E26C8E" w:rsidRPr="00E26C8E" w:rsidRDefault="00E26C8E" w:rsidP="00E26C8E">
            <w:pPr>
              <w:shd w:val="clear" w:color="auto" w:fill="FFFFFF"/>
              <w:spacing w:after="0" w:line="240" w:lineRule="auto"/>
              <w:jc w:val="left"/>
              <w:textAlignment w:val="baseline"/>
              <w:rPr>
                <w:rFonts w:ascii="Segoe UI" w:eastAsia="Times New Roman" w:hAnsi="Segoe UI" w:cs="Segoe UI"/>
                <w:sz w:val="18"/>
                <w:szCs w:val="18"/>
                <w:lang w:eastAsia="en-AU"/>
              </w:rPr>
            </w:pPr>
            <w:r w:rsidRPr="00E26C8E">
              <w:rPr>
                <w:rFonts w:ascii="Arial" w:eastAsia="Times New Roman" w:hAnsi="Arial" w:cs="Arial"/>
                <w:sz w:val="16"/>
                <w:szCs w:val="16"/>
                <w:lang w:eastAsia="en-AU"/>
              </w:rPr>
              <w:t>​​</w:t>
            </w:r>
            <w:r w:rsidRPr="00E26C8E">
              <w:rPr>
                <w:rFonts w:ascii="Arial" w:eastAsia="Times New Roman" w:hAnsi="Arial" w:cs="Arial"/>
                <w:color w:val="808080"/>
                <w:sz w:val="16"/>
                <w:szCs w:val="16"/>
                <w:lang w:eastAsia="en-AU"/>
              </w:rPr>
              <w:t>Click to enter text</w:t>
            </w:r>
            <w:r w:rsidRPr="00E26C8E">
              <w:rPr>
                <w:rFonts w:ascii="Arial" w:eastAsia="Times New Roman" w:hAnsi="Arial" w:cs="Arial"/>
                <w:sz w:val="16"/>
                <w:szCs w:val="16"/>
                <w:lang w:eastAsia="en-AU"/>
              </w:rPr>
              <w:t>​ </w:t>
            </w:r>
          </w:p>
        </w:tc>
      </w:tr>
      <w:tr w:rsidR="00E26C8E" w:rsidRPr="00E26C8E" w:rsidTr="00046B75">
        <w:trPr>
          <w:trHeight w:val="1035"/>
        </w:trPr>
        <w:tc>
          <w:tcPr>
            <w:tcW w:w="1194" w:type="pct"/>
            <w:tcBorders>
              <w:top w:val="nil"/>
              <w:left w:val="nil"/>
              <w:bottom w:val="nil"/>
              <w:right w:val="single" w:sz="6" w:space="0" w:color="2765A2"/>
            </w:tcBorders>
            <w:shd w:val="clear" w:color="auto" w:fill="auto"/>
            <w:hideMark/>
          </w:tcPr>
          <w:p w:rsidR="00E26C8E" w:rsidRPr="00E26C8E" w:rsidRDefault="00E26C8E" w:rsidP="00E26C8E">
            <w:pPr>
              <w:spacing w:after="0" w:line="240" w:lineRule="auto"/>
              <w:jc w:val="left"/>
              <w:textAlignment w:val="baseline"/>
              <w:rPr>
                <w:rFonts w:ascii="Segoe UI" w:eastAsia="Times New Roman" w:hAnsi="Segoe UI" w:cs="Segoe UI"/>
                <w:sz w:val="18"/>
                <w:szCs w:val="18"/>
                <w:lang w:eastAsia="en-AU"/>
              </w:rPr>
            </w:pPr>
            <w:r w:rsidRPr="00E26C8E">
              <w:rPr>
                <w:rFonts w:ascii="Arial" w:eastAsia="Times New Roman" w:hAnsi="Arial" w:cs="Arial"/>
                <w:sz w:val="16"/>
                <w:szCs w:val="16"/>
                <w:lang w:eastAsia="en-AU"/>
              </w:rPr>
              <w:t xml:space="preserve">State all measurement </w:t>
            </w:r>
            <w:r w:rsidRPr="00E26C8E">
              <w:rPr>
                <w:rFonts w:ascii="Arial" w:eastAsia="Times New Roman" w:hAnsi="Arial" w:cs="Arial"/>
                <w:sz w:val="16"/>
                <w:szCs w:val="16"/>
                <w:lang w:eastAsia="en-AU"/>
              </w:rPr>
              <w:br/>
              <w:t xml:space="preserve">criteria relevant to the </w:t>
            </w:r>
            <w:r w:rsidRPr="00E26C8E">
              <w:rPr>
                <w:rFonts w:ascii="Arial" w:eastAsia="Times New Roman" w:hAnsi="Arial" w:cs="Arial"/>
                <w:sz w:val="16"/>
                <w:szCs w:val="16"/>
                <w:lang w:eastAsia="en-AU"/>
              </w:rPr>
              <w:br/>
              <w:t>leading indicator criteria </w:t>
            </w:r>
          </w:p>
        </w:tc>
        <w:tc>
          <w:tcPr>
            <w:tcW w:w="3806" w:type="pct"/>
            <w:gridSpan w:val="2"/>
            <w:tcBorders>
              <w:top w:val="nil"/>
              <w:left w:val="nil"/>
              <w:bottom w:val="single" w:sz="6" w:space="0" w:color="2765A2"/>
              <w:right w:val="single" w:sz="6" w:space="0" w:color="2765A2"/>
            </w:tcBorders>
            <w:shd w:val="clear" w:color="auto" w:fill="auto"/>
            <w:hideMark/>
          </w:tcPr>
          <w:p w:rsidR="00E26C8E" w:rsidRPr="00E26C8E" w:rsidRDefault="00E26C8E" w:rsidP="00E26C8E">
            <w:pPr>
              <w:shd w:val="clear" w:color="auto" w:fill="FFFFFF"/>
              <w:spacing w:after="0" w:line="240" w:lineRule="auto"/>
              <w:jc w:val="left"/>
              <w:textAlignment w:val="baseline"/>
              <w:rPr>
                <w:rFonts w:ascii="Segoe UI" w:eastAsia="Times New Roman" w:hAnsi="Segoe UI" w:cs="Segoe UI"/>
                <w:sz w:val="18"/>
                <w:szCs w:val="18"/>
                <w:lang w:eastAsia="en-AU"/>
              </w:rPr>
            </w:pPr>
            <w:r w:rsidRPr="00E26C8E">
              <w:rPr>
                <w:rFonts w:ascii="Arial" w:eastAsia="Times New Roman" w:hAnsi="Arial" w:cs="Arial"/>
                <w:sz w:val="16"/>
                <w:szCs w:val="16"/>
                <w:lang w:eastAsia="en-AU"/>
              </w:rPr>
              <w:t>​​</w:t>
            </w:r>
            <w:r w:rsidRPr="00E26C8E">
              <w:rPr>
                <w:rFonts w:ascii="Arial" w:eastAsia="Times New Roman" w:hAnsi="Arial" w:cs="Arial"/>
                <w:color w:val="808080"/>
                <w:sz w:val="16"/>
                <w:szCs w:val="16"/>
                <w:lang w:eastAsia="en-AU"/>
              </w:rPr>
              <w:t>Click to enter text</w:t>
            </w:r>
            <w:r w:rsidRPr="00E26C8E">
              <w:rPr>
                <w:rFonts w:ascii="Arial" w:eastAsia="Times New Roman" w:hAnsi="Arial" w:cs="Arial"/>
                <w:sz w:val="16"/>
                <w:szCs w:val="16"/>
                <w:lang w:eastAsia="en-AU"/>
              </w:rPr>
              <w:t>​ </w:t>
            </w:r>
          </w:p>
        </w:tc>
      </w:tr>
      <w:tr w:rsidR="00E26C8E" w:rsidRPr="00E26C8E" w:rsidTr="00046B75">
        <w:trPr>
          <w:trHeight w:val="915"/>
        </w:trPr>
        <w:tc>
          <w:tcPr>
            <w:tcW w:w="1194" w:type="pct"/>
            <w:tcBorders>
              <w:top w:val="nil"/>
              <w:left w:val="nil"/>
              <w:bottom w:val="nil"/>
              <w:right w:val="single" w:sz="6" w:space="0" w:color="2765A2"/>
            </w:tcBorders>
            <w:shd w:val="clear" w:color="auto" w:fill="auto"/>
            <w:hideMark/>
          </w:tcPr>
          <w:p w:rsidR="00E26C8E" w:rsidRPr="00E26C8E" w:rsidRDefault="00E26C8E" w:rsidP="00E26C8E">
            <w:pPr>
              <w:spacing w:after="0" w:line="240" w:lineRule="auto"/>
              <w:jc w:val="left"/>
              <w:textAlignment w:val="baseline"/>
              <w:rPr>
                <w:rFonts w:ascii="Segoe UI" w:eastAsia="Times New Roman" w:hAnsi="Segoe UI" w:cs="Segoe UI"/>
                <w:sz w:val="18"/>
                <w:szCs w:val="18"/>
                <w:lang w:eastAsia="en-AU"/>
              </w:rPr>
            </w:pPr>
            <w:r w:rsidRPr="00E26C8E">
              <w:rPr>
                <w:rFonts w:ascii="Arial" w:eastAsia="Times New Roman" w:hAnsi="Arial" w:cs="Arial"/>
                <w:sz w:val="16"/>
                <w:szCs w:val="16"/>
                <w:lang w:eastAsia="en-AU"/>
              </w:rPr>
              <w:t>Probable cause </w:t>
            </w:r>
          </w:p>
        </w:tc>
        <w:tc>
          <w:tcPr>
            <w:tcW w:w="3806" w:type="pct"/>
            <w:gridSpan w:val="2"/>
            <w:tcBorders>
              <w:top w:val="nil"/>
              <w:left w:val="nil"/>
              <w:bottom w:val="single" w:sz="6" w:space="0" w:color="2765A2"/>
              <w:right w:val="single" w:sz="6" w:space="0" w:color="2765A2"/>
            </w:tcBorders>
            <w:shd w:val="clear" w:color="auto" w:fill="auto"/>
            <w:hideMark/>
          </w:tcPr>
          <w:p w:rsidR="00E26C8E" w:rsidRPr="00E26C8E" w:rsidRDefault="00E26C8E" w:rsidP="00E26C8E">
            <w:pPr>
              <w:shd w:val="clear" w:color="auto" w:fill="FFFFFF"/>
              <w:spacing w:after="0" w:line="240" w:lineRule="auto"/>
              <w:jc w:val="left"/>
              <w:textAlignment w:val="baseline"/>
              <w:rPr>
                <w:rFonts w:ascii="Segoe UI" w:eastAsia="Times New Roman" w:hAnsi="Segoe UI" w:cs="Segoe UI"/>
                <w:sz w:val="18"/>
                <w:szCs w:val="18"/>
                <w:lang w:eastAsia="en-AU"/>
              </w:rPr>
            </w:pPr>
            <w:r w:rsidRPr="00E26C8E">
              <w:rPr>
                <w:rFonts w:ascii="Arial" w:eastAsia="Times New Roman" w:hAnsi="Arial" w:cs="Arial"/>
                <w:color w:val="808080"/>
                <w:sz w:val="16"/>
                <w:szCs w:val="16"/>
                <w:lang w:eastAsia="en-AU"/>
              </w:rPr>
              <w:t>​​Describe circumstances that lead to the leading indicator criteria being triggered.​ </w:t>
            </w:r>
          </w:p>
        </w:tc>
      </w:tr>
      <w:tr w:rsidR="00E26C8E" w:rsidRPr="00E26C8E" w:rsidTr="00046B75">
        <w:trPr>
          <w:trHeight w:val="1350"/>
        </w:trPr>
        <w:tc>
          <w:tcPr>
            <w:tcW w:w="1194" w:type="pct"/>
            <w:tcBorders>
              <w:top w:val="nil"/>
              <w:left w:val="nil"/>
              <w:bottom w:val="nil"/>
              <w:right w:val="single" w:sz="6" w:space="0" w:color="2765A2"/>
            </w:tcBorders>
            <w:shd w:val="clear" w:color="auto" w:fill="auto"/>
            <w:hideMark/>
          </w:tcPr>
          <w:p w:rsidR="00E26C8E" w:rsidRPr="00E26C8E" w:rsidRDefault="00E26C8E" w:rsidP="00E26C8E">
            <w:pPr>
              <w:spacing w:after="0" w:line="240" w:lineRule="auto"/>
              <w:jc w:val="left"/>
              <w:textAlignment w:val="baseline"/>
              <w:rPr>
                <w:rFonts w:ascii="Segoe UI" w:eastAsia="Times New Roman" w:hAnsi="Segoe UI" w:cs="Segoe UI"/>
                <w:sz w:val="18"/>
                <w:szCs w:val="18"/>
                <w:lang w:eastAsia="en-AU"/>
              </w:rPr>
            </w:pPr>
            <w:r w:rsidRPr="00E26C8E">
              <w:rPr>
                <w:rFonts w:ascii="Arial" w:eastAsia="Times New Roman" w:hAnsi="Arial" w:cs="Arial"/>
                <w:sz w:val="16"/>
                <w:szCs w:val="16"/>
                <w:lang w:eastAsia="en-AU"/>
              </w:rPr>
              <w:t xml:space="preserve">Immediate management </w:t>
            </w:r>
            <w:r w:rsidRPr="00E26C8E">
              <w:rPr>
                <w:rFonts w:ascii="Arial" w:eastAsia="Times New Roman" w:hAnsi="Arial" w:cs="Arial"/>
                <w:sz w:val="16"/>
                <w:szCs w:val="16"/>
                <w:lang w:eastAsia="en-AU"/>
              </w:rPr>
              <w:br/>
              <w:t xml:space="preserve">action or intervention </w:t>
            </w:r>
            <w:r w:rsidRPr="00E26C8E">
              <w:rPr>
                <w:rFonts w:ascii="Arial" w:eastAsia="Times New Roman" w:hAnsi="Arial" w:cs="Arial"/>
                <w:sz w:val="16"/>
                <w:szCs w:val="16"/>
                <w:lang w:eastAsia="en-AU"/>
              </w:rPr>
              <w:br/>
              <w:t>(taken or planned) </w:t>
            </w:r>
          </w:p>
        </w:tc>
        <w:tc>
          <w:tcPr>
            <w:tcW w:w="3806" w:type="pct"/>
            <w:gridSpan w:val="2"/>
            <w:tcBorders>
              <w:top w:val="nil"/>
              <w:left w:val="nil"/>
              <w:bottom w:val="single" w:sz="6" w:space="0" w:color="2765A2"/>
              <w:right w:val="single" w:sz="6" w:space="0" w:color="2765A2"/>
            </w:tcBorders>
            <w:shd w:val="clear" w:color="auto" w:fill="auto"/>
            <w:hideMark/>
          </w:tcPr>
          <w:p w:rsidR="00E26C8E" w:rsidRPr="00E26C8E" w:rsidRDefault="00E26C8E" w:rsidP="00E26C8E">
            <w:pPr>
              <w:shd w:val="clear" w:color="auto" w:fill="FFFFFF"/>
              <w:spacing w:after="0" w:line="240" w:lineRule="auto"/>
              <w:jc w:val="left"/>
              <w:textAlignment w:val="baseline"/>
              <w:rPr>
                <w:rFonts w:ascii="Segoe UI" w:eastAsia="Times New Roman" w:hAnsi="Segoe UI" w:cs="Segoe UI"/>
                <w:sz w:val="18"/>
                <w:szCs w:val="18"/>
                <w:lang w:eastAsia="en-AU"/>
              </w:rPr>
            </w:pPr>
            <w:r w:rsidRPr="00E26C8E">
              <w:rPr>
                <w:rFonts w:ascii="Arial" w:eastAsia="Times New Roman" w:hAnsi="Arial" w:cs="Arial"/>
                <w:color w:val="808080"/>
                <w:sz w:val="16"/>
                <w:szCs w:val="16"/>
                <w:lang w:eastAsia="en-AU"/>
              </w:rPr>
              <w:t>Click to enter text</w:t>
            </w:r>
            <w:r w:rsidRPr="00E26C8E">
              <w:rPr>
                <w:rFonts w:ascii="Arial" w:eastAsia="Times New Roman" w:hAnsi="Arial" w:cs="Arial"/>
                <w:sz w:val="16"/>
                <w:szCs w:val="16"/>
                <w:lang w:eastAsia="en-AU"/>
              </w:rPr>
              <w:t> </w:t>
            </w:r>
          </w:p>
        </w:tc>
      </w:tr>
    </w:tbl>
    <w:p w:rsidR="00E26C8E" w:rsidRPr="00E26C8E" w:rsidRDefault="00E26C8E" w:rsidP="00E26C8E">
      <w:pPr>
        <w:spacing w:after="0" w:line="240" w:lineRule="auto"/>
        <w:jc w:val="left"/>
        <w:rPr>
          <w:rFonts w:ascii="Arial" w:eastAsia="Times New Roman" w:hAnsi="Arial"/>
          <w:sz w:val="20"/>
          <w:szCs w:val="20"/>
        </w:rPr>
      </w:pPr>
      <w:r w:rsidRPr="00E26C8E">
        <w:rPr>
          <w:rFonts w:ascii="Arial" w:eastAsia="Times New Roman" w:hAnsi="Arial"/>
          <w:sz w:val="20"/>
          <w:szCs w:val="20"/>
        </w:rPr>
        <w:br w:type="page"/>
        <w:t>SUPPORTING INFORMATION</w:t>
      </w:r>
    </w:p>
    <w:tbl>
      <w:tblPr>
        <w:tblStyle w:val="TableGrid121"/>
        <w:tblW w:w="5000" w:type="pct"/>
        <w:tblInd w:w="0" w:type="dxa"/>
        <w:tblCellMar>
          <w:top w:w="28" w:type="dxa"/>
          <w:left w:w="57" w:type="dxa"/>
          <w:bottom w:w="28" w:type="dxa"/>
          <w:right w:w="57" w:type="dxa"/>
        </w:tblCellMar>
        <w:tblLook w:val="04A0" w:firstRow="1" w:lastRow="0" w:firstColumn="1" w:lastColumn="0" w:noHBand="0" w:noVBand="1"/>
      </w:tblPr>
      <w:tblGrid>
        <w:gridCol w:w="2199"/>
        <w:gridCol w:w="7150"/>
      </w:tblGrid>
      <w:tr w:rsidR="00E26C8E" w:rsidRPr="00E26C8E" w:rsidTr="00046B75">
        <w:trPr>
          <w:trHeight w:val="340"/>
        </w:trPr>
        <w:tc>
          <w:tcPr>
            <w:tcW w:w="1176" w:type="pct"/>
            <w:tcBorders>
              <w:top w:val="nil"/>
              <w:left w:val="nil"/>
              <w:bottom w:val="nil"/>
              <w:right w:val="single" w:sz="4" w:space="0" w:color="2765A2"/>
            </w:tcBorders>
            <w:tcMar>
              <w:left w:w="0" w:type="dxa"/>
            </w:tcMar>
          </w:tcPr>
          <w:bookmarkEnd w:id="121"/>
          <w:p w:rsidR="00E26C8E" w:rsidRPr="00E26C8E" w:rsidRDefault="00E26C8E" w:rsidP="00E26C8E">
            <w:pPr>
              <w:spacing w:after="0" w:line="200" w:lineRule="exact"/>
              <w:jc w:val="left"/>
              <w:rPr>
                <w:rFonts w:ascii="Arial" w:hAnsi="Arial"/>
                <w:sz w:val="16"/>
              </w:rPr>
            </w:pPr>
            <w:r w:rsidRPr="00E26C8E">
              <w:rPr>
                <w:rFonts w:ascii="Arial" w:hAnsi="Arial"/>
                <w:sz w:val="16"/>
              </w:rPr>
              <w:t>Additional information</w:t>
            </w:r>
          </w:p>
        </w:tc>
        <w:tc>
          <w:tcPr>
            <w:tcW w:w="3824" w:type="pct"/>
            <w:tcBorders>
              <w:top w:val="single" w:sz="4" w:space="0" w:color="2765A2"/>
              <w:left w:val="single" w:sz="4" w:space="0" w:color="2765A2"/>
              <w:bottom w:val="single" w:sz="4" w:space="0" w:color="2E74B5" w:themeColor="accent1" w:themeShade="BF"/>
              <w:right w:val="single" w:sz="4" w:space="0" w:color="2765A2"/>
            </w:tcBorders>
          </w:tcPr>
          <w:p w:rsidR="00E26C8E" w:rsidRPr="00E26C8E" w:rsidRDefault="00607847" w:rsidP="00E26C8E">
            <w:pPr>
              <w:spacing w:after="0" w:line="200" w:lineRule="exact"/>
              <w:jc w:val="left"/>
              <w:rPr>
                <w:rFonts w:ascii="Arial" w:hAnsi="Arial"/>
                <w:sz w:val="16"/>
              </w:rPr>
            </w:pPr>
            <w:sdt>
              <w:sdtPr>
                <w:rPr>
                  <w:rFonts w:ascii="Arial" w:hAnsi="Arial" w:cs="Arial"/>
                  <w:color w:val="808080"/>
                  <w:sz w:val="18"/>
                  <w:szCs w:val="18"/>
                  <w:shd w:val="clear" w:color="auto" w:fill="FFFFFF"/>
                </w:rPr>
                <w:id w:val="-135420727"/>
                <w:placeholder>
                  <w:docPart w:val="8E9FBF293C5E4E1495E0B5C56755072A"/>
                </w:placeholder>
                <w:text w:multiLine="1"/>
              </w:sdtPr>
              <w:sdtEndPr/>
              <w:sdtContent>
                <w:r w:rsidR="00E26C8E" w:rsidRPr="00E26C8E">
                  <w:rPr>
                    <w:rFonts w:ascii="Arial" w:hAnsi="Arial" w:cs="Arial"/>
                    <w:color w:val="808080"/>
                    <w:sz w:val="18"/>
                    <w:szCs w:val="18"/>
                    <w:shd w:val="clear" w:color="auto" w:fill="FFFFFF"/>
                  </w:rPr>
                  <w:t>Provide any additional information or any data relevant to the leading indicator criteria being triggered</w:t>
                </w:r>
                <w:r w:rsidR="00E26C8E" w:rsidRPr="00E26C8E">
                  <w:rPr>
                    <w:rFonts w:ascii="Arial" w:hAnsi="Arial" w:cs="Arial"/>
                    <w:color w:val="808080"/>
                    <w:sz w:val="18"/>
                    <w:szCs w:val="18"/>
                    <w:shd w:val="clear" w:color="auto" w:fill="FFFFFF"/>
                  </w:rPr>
                  <w:br/>
                </w:r>
                <w:r w:rsidR="00E26C8E" w:rsidRPr="00E26C8E">
                  <w:rPr>
                    <w:rFonts w:ascii="Arial" w:hAnsi="Arial" w:cs="Arial"/>
                    <w:color w:val="808080"/>
                    <w:sz w:val="18"/>
                    <w:szCs w:val="18"/>
                    <w:shd w:val="clear" w:color="auto" w:fill="FFFFFF"/>
                  </w:rPr>
                  <w:br/>
                </w:r>
                <w:r w:rsidR="00E26C8E" w:rsidRPr="00E26C8E">
                  <w:rPr>
                    <w:rFonts w:ascii="Arial" w:hAnsi="Arial" w:cs="Arial"/>
                    <w:color w:val="808080"/>
                    <w:sz w:val="18"/>
                    <w:szCs w:val="18"/>
                    <w:shd w:val="clear" w:color="auto" w:fill="FFFFFF"/>
                  </w:rPr>
                  <w:br/>
                </w:r>
                <w:r w:rsidR="00E26C8E" w:rsidRPr="00E26C8E">
                  <w:rPr>
                    <w:rFonts w:ascii="Arial" w:hAnsi="Arial" w:cs="Arial"/>
                    <w:color w:val="808080"/>
                    <w:sz w:val="18"/>
                    <w:szCs w:val="18"/>
                    <w:shd w:val="clear" w:color="auto" w:fill="FFFFFF"/>
                  </w:rPr>
                  <w:br/>
                </w:r>
                <w:r w:rsidR="00E26C8E" w:rsidRPr="00E26C8E">
                  <w:rPr>
                    <w:rFonts w:ascii="Arial" w:hAnsi="Arial" w:cs="Arial"/>
                    <w:color w:val="808080"/>
                    <w:sz w:val="18"/>
                    <w:szCs w:val="18"/>
                    <w:shd w:val="clear" w:color="auto" w:fill="FFFFFF"/>
                  </w:rPr>
                  <w:br/>
                </w:r>
                <w:r w:rsidR="00E26C8E" w:rsidRPr="00E26C8E">
                  <w:rPr>
                    <w:rFonts w:ascii="Arial" w:hAnsi="Arial" w:cs="Arial"/>
                    <w:color w:val="808080"/>
                    <w:sz w:val="18"/>
                    <w:szCs w:val="18"/>
                    <w:shd w:val="clear" w:color="auto" w:fill="FFFFFF"/>
                  </w:rPr>
                  <w:br/>
                </w:r>
                <w:r w:rsidR="00E26C8E" w:rsidRPr="00E26C8E">
                  <w:rPr>
                    <w:rFonts w:ascii="Arial" w:hAnsi="Arial" w:cs="Arial"/>
                    <w:color w:val="808080"/>
                    <w:sz w:val="18"/>
                    <w:szCs w:val="18"/>
                    <w:shd w:val="clear" w:color="auto" w:fill="FFFFFF"/>
                  </w:rPr>
                  <w:br/>
                </w:r>
                <w:r w:rsidR="00E26C8E" w:rsidRPr="00E26C8E">
                  <w:rPr>
                    <w:rFonts w:ascii="Arial" w:hAnsi="Arial" w:cs="Arial"/>
                    <w:color w:val="808080"/>
                    <w:sz w:val="18"/>
                    <w:szCs w:val="18"/>
                    <w:shd w:val="clear" w:color="auto" w:fill="FFFFFF"/>
                  </w:rPr>
                  <w:br/>
                </w:r>
                <w:r w:rsidR="00E26C8E" w:rsidRPr="00E26C8E">
                  <w:rPr>
                    <w:rFonts w:ascii="Arial" w:hAnsi="Arial" w:cs="Arial"/>
                    <w:color w:val="808080"/>
                    <w:sz w:val="18"/>
                    <w:szCs w:val="18"/>
                    <w:shd w:val="clear" w:color="auto" w:fill="FFFFFF"/>
                  </w:rPr>
                  <w:br/>
                </w:r>
                <w:r w:rsidR="00E26C8E" w:rsidRPr="00E26C8E">
                  <w:rPr>
                    <w:rFonts w:ascii="Arial" w:hAnsi="Arial" w:cs="Arial"/>
                    <w:color w:val="808080"/>
                    <w:sz w:val="18"/>
                    <w:szCs w:val="18"/>
                    <w:shd w:val="clear" w:color="auto" w:fill="FFFFFF"/>
                  </w:rPr>
                  <w:br/>
                </w:r>
                <w:r w:rsidR="00E26C8E" w:rsidRPr="00E26C8E">
                  <w:rPr>
                    <w:rFonts w:ascii="Arial" w:hAnsi="Arial" w:cs="Arial"/>
                    <w:color w:val="808080"/>
                    <w:sz w:val="18"/>
                    <w:szCs w:val="18"/>
                    <w:shd w:val="clear" w:color="auto" w:fill="FFFFFF"/>
                  </w:rPr>
                  <w:br/>
                </w:r>
                <w:r w:rsidR="00E26C8E" w:rsidRPr="00E26C8E">
                  <w:rPr>
                    <w:rFonts w:ascii="Arial" w:hAnsi="Arial" w:cs="Arial"/>
                    <w:color w:val="808080"/>
                    <w:sz w:val="18"/>
                    <w:szCs w:val="18"/>
                    <w:shd w:val="clear" w:color="auto" w:fill="FFFFFF"/>
                  </w:rPr>
                  <w:br/>
                </w:r>
                <w:r w:rsidR="00E26C8E" w:rsidRPr="00E26C8E">
                  <w:rPr>
                    <w:rFonts w:ascii="Arial" w:hAnsi="Arial" w:cs="Arial"/>
                    <w:color w:val="808080"/>
                    <w:sz w:val="18"/>
                    <w:szCs w:val="18"/>
                    <w:shd w:val="clear" w:color="auto" w:fill="FFFFFF"/>
                  </w:rPr>
                  <w:br/>
                </w:r>
              </w:sdtContent>
            </w:sdt>
          </w:p>
        </w:tc>
      </w:tr>
      <w:tr w:rsidR="00E26C8E" w:rsidRPr="00E26C8E" w:rsidTr="00046B75">
        <w:trPr>
          <w:trHeight w:val="29"/>
        </w:trPr>
        <w:tc>
          <w:tcPr>
            <w:tcW w:w="1176" w:type="pct"/>
            <w:tcBorders>
              <w:top w:val="nil"/>
              <w:left w:val="nil"/>
              <w:bottom w:val="nil"/>
              <w:right w:val="nil"/>
            </w:tcBorders>
            <w:tcMar>
              <w:left w:w="0" w:type="dxa"/>
            </w:tcMar>
          </w:tcPr>
          <w:p w:rsidR="00E26C8E" w:rsidRPr="00E26C8E" w:rsidRDefault="00E26C8E" w:rsidP="00E26C8E">
            <w:pPr>
              <w:spacing w:after="0" w:line="200" w:lineRule="exact"/>
              <w:jc w:val="left"/>
              <w:rPr>
                <w:rFonts w:ascii="Arial" w:hAnsi="Arial"/>
                <w:sz w:val="16"/>
              </w:rPr>
            </w:pPr>
          </w:p>
        </w:tc>
        <w:tc>
          <w:tcPr>
            <w:tcW w:w="3824" w:type="pct"/>
            <w:tcBorders>
              <w:top w:val="single" w:sz="4" w:space="0" w:color="2E74B5" w:themeColor="accent1" w:themeShade="BF"/>
              <w:left w:val="nil"/>
              <w:bottom w:val="nil"/>
              <w:right w:val="nil"/>
            </w:tcBorders>
          </w:tcPr>
          <w:p w:rsidR="00E26C8E" w:rsidRPr="00E26C8E" w:rsidRDefault="00E26C8E" w:rsidP="00E26C8E">
            <w:pPr>
              <w:spacing w:after="0" w:line="200" w:lineRule="exact"/>
              <w:jc w:val="left"/>
              <w:rPr>
                <w:rFonts w:ascii="Arial" w:hAnsi="Arial" w:cs="Arial"/>
                <w:color w:val="808080"/>
                <w:sz w:val="18"/>
                <w:szCs w:val="18"/>
                <w:shd w:val="clear" w:color="auto" w:fill="FFFFFF"/>
              </w:rPr>
            </w:pPr>
          </w:p>
        </w:tc>
      </w:tr>
    </w:tbl>
    <w:p w:rsidR="00E26C8E" w:rsidRPr="00E26C8E" w:rsidRDefault="00E26C8E" w:rsidP="00E26C8E">
      <w:pPr>
        <w:spacing w:after="0"/>
        <w:rPr>
          <w:rFonts w:eastAsia="Times New Roman"/>
          <w:szCs w:val="17"/>
        </w:rPr>
      </w:pPr>
      <w:r w:rsidRPr="00E26C8E">
        <w:rPr>
          <w:rFonts w:eastAsia="Times New Roman"/>
          <w:szCs w:val="17"/>
        </w:rPr>
        <w:t>Dated: 11 December 2020</w:t>
      </w:r>
    </w:p>
    <w:p w:rsidR="00E26C8E" w:rsidRPr="00E26C8E" w:rsidRDefault="00E26C8E" w:rsidP="00E26C8E">
      <w:pPr>
        <w:spacing w:after="0"/>
        <w:jc w:val="right"/>
        <w:rPr>
          <w:rFonts w:eastAsia="Times New Roman"/>
          <w:smallCaps/>
          <w:szCs w:val="20"/>
        </w:rPr>
      </w:pPr>
      <w:r w:rsidRPr="00E26C8E">
        <w:rPr>
          <w:rFonts w:eastAsia="Times New Roman"/>
          <w:smallCaps/>
          <w:szCs w:val="20"/>
        </w:rPr>
        <w:t>Hon. Daniel van Holst Pellekaan</w:t>
      </w:r>
    </w:p>
    <w:p w:rsidR="00E26C8E" w:rsidRPr="00E26C8E" w:rsidRDefault="00E26C8E" w:rsidP="00E26C8E">
      <w:pPr>
        <w:spacing w:after="0"/>
        <w:jc w:val="right"/>
        <w:rPr>
          <w:rFonts w:eastAsia="Times New Roman"/>
          <w:szCs w:val="17"/>
        </w:rPr>
      </w:pPr>
      <w:r w:rsidRPr="00E26C8E">
        <w:rPr>
          <w:rFonts w:eastAsia="Times New Roman"/>
          <w:szCs w:val="17"/>
        </w:rPr>
        <w:t>Minister for Energy and Mining</w:t>
      </w:r>
    </w:p>
    <w:p w:rsidR="00E26C8E" w:rsidRPr="00E26C8E" w:rsidRDefault="00E26C8E" w:rsidP="00E26C8E">
      <w:pPr>
        <w:pBdr>
          <w:top w:val="single" w:sz="4" w:space="1" w:color="auto"/>
        </w:pBdr>
        <w:spacing w:before="100" w:after="0" w:line="14" w:lineRule="exact"/>
        <w:jc w:val="center"/>
        <w:rPr>
          <w:rFonts w:eastAsia="Times New Roman"/>
          <w:szCs w:val="17"/>
        </w:rPr>
      </w:pPr>
    </w:p>
    <w:p w:rsidR="00E26C8E" w:rsidRPr="00E26C8E" w:rsidRDefault="00E26C8E" w:rsidP="00E26C8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E26C8E" w:rsidRPr="00E26C8E" w:rsidRDefault="00E26C8E" w:rsidP="00E26C8E">
      <w:pPr>
        <w:jc w:val="center"/>
        <w:rPr>
          <w:caps/>
          <w:szCs w:val="17"/>
        </w:rPr>
      </w:pPr>
      <w:r w:rsidRPr="00E26C8E">
        <w:rPr>
          <w:caps/>
          <w:szCs w:val="17"/>
        </w:rPr>
        <w:t>Mining Act 1971</w:t>
      </w:r>
    </w:p>
    <w:p w:rsidR="00E26C8E" w:rsidRPr="00E26C8E" w:rsidRDefault="00E26C8E" w:rsidP="00E26C8E">
      <w:pPr>
        <w:jc w:val="center"/>
        <w:rPr>
          <w:smallCaps/>
          <w:szCs w:val="17"/>
        </w:rPr>
      </w:pPr>
      <w:r w:rsidRPr="00E26C8E">
        <w:rPr>
          <w:smallCaps/>
          <w:szCs w:val="17"/>
        </w:rPr>
        <w:t>Section 29A</w:t>
      </w:r>
    </w:p>
    <w:p w:rsidR="00E26C8E" w:rsidRPr="00E26C8E" w:rsidRDefault="00E26C8E" w:rsidP="00E26C8E">
      <w:pPr>
        <w:jc w:val="center"/>
        <w:rPr>
          <w:i/>
          <w:szCs w:val="17"/>
        </w:rPr>
      </w:pPr>
      <w:r w:rsidRPr="00E26C8E">
        <w:rPr>
          <w:i/>
          <w:szCs w:val="17"/>
        </w:rPr>
        <w:t>Terms of Reference for Exploration Licence Applications</w:t>
      </w:r>
    </w:p>
    <w:p w:rsidR="00E26C8E" w:rsidRPr="00E26C8E" w:rsidRDefault="00E26C8E" w:rsidP="00E26C8E">
      <w:pPr>
        <w:rPr>
          <w:rFonts w:eastAsia="Times New Roman"/>
          <w:szCs w:val="20"/>
        </w:rPr>
      </w:pPr>
      <w:r w:rsidRPr="00E26C8E">
        <w:rPr>
          <w:rFonts w:eastAsia="Times New Roman"/>
          <w:szCs w:val="20"/>
        </w:rPr>
        <w:t>An application for an exploration licence (EL) over open ground or relinquished ground must be accompanied by:</w:t>
      </w:r>
    </w:p>
    <w:p w:rsidR="00E26C8E" w:rsidRPr="00E26C8E" w:rsidRDefault="00E26C8E" w:rsidP="00E26C8E">
      <w:pPr>
        <w:ind w:left="426" w:hanging="284"/>
        <w:rPr>
          <w:rFonts w:eastAsia="Times New Roman"/>
          <w:szCs w:val="20"/>
        </w:rPr>
      </w:pPr>
      <w:r w:rsidRPr="00E26C8E">
        <w:rPr>
          <w:rFonts w:eastAsia="Times New Roman"/>
          <w:szCs w:val="20"/>
        </w:rPr>
        <w:t>•</w:t>
      </w:r>
      <w:r w:rsidRPr="00E26C8E">
        <w:rPr>
          <w:rFonts w:eastAsia="Times New Roman"/>
          <w:szCs w:val="20"/>
        </w:rPr>
        <w:tab/>
        <w:t xml:space="preserve">an application that complies with section 29A(1) of the </w:t>
      </w:r>
      <w:r w:rsidRPr="00E26C8E">
        <w:rPr>
          <w:rFonts w:eastAsia="Times New Roman"/>
          <w:i/>
          <w:szCs w:val="20"/>
        </w:rPr>
        <w:t>Mining Act 1971</w:t>
      </w:r>
      <w:r w:rsidRPr="00E26C8E">
        <w:rPr>
          <w:rFonts w:eastAsia="Times New Roman"/>
          <w:szCs w:val="20"/>
        </w:rPr>
        <w:t xml:space="preserve"> (the Mining Act) and any determinations set out in this Terms of Reference</w:t>
      </w:r>
    </w:p>
    <w:p w:rsidR="00E26C8E" w:rsidRPr="00E26C8E" w:rsidRDefault="00E26C8E" w:rsidP="00E26C8E">
      <w:pPr>
        <w:ind w:left="426" w:hanging="284"/>
        <w:rPr>
          <w:rFonts w:eastAsia="Times New Roman"/>
          <w:szCs w:val="20"/>
        </w:rPr>
      </w:pPr>
      <w:r w:rsidRPr="00E26C8E">
        <w:rPr>
          <w:rFonts w:eastAsia="Times New Roman"/>
          <w:szCs w:val="20"/>
        </w:rPr>
        <w:t>•</w:t>
      </w:r>
      <w:r w:rsidRPr="00E26C8E">
        <w:rPr>
          <w:rFonts w:eastAsia="Times New Roman"/>
          <w:szCs w:val="20"/>
        </w:rPr>
        <w:tab/>
        <w:t xml:space="preserve">information that complies with regulation 23 of the </w:t>
      </w:r>
      <w:r w:rsidRPr="00E26C8E">
        <w:rPr>
          <w:rFonts w:eastAsia="Times New Roman"/>
          <w:i/>
          <w:szCs w:val="20"/>
        </w:rPr>
        <w:t>Mining Regulations 2020</w:t>
      </w:r>
      <w:r w:rsidRPr="00E26C8E">
        <w:rPr>
          <w:rFonts w:eastAsia="Times New Roman"/>
          <w:szCs w:val="20"/>
        </w:rPr>
        <w:t xml:space="preserve"> (the Mining Regulations) and any determinations set out in this Terms of Reference; and</w:t>
      </w:r>
    </w:p>
    <w:p w:rsidR="00E26C8E" w:rsidRPr="00E26C8E" w:rsidRDefault="00E26C8E" w:rsidP="00E26C8E">
      <w:pPr>
        <w:ind w:left="426" w:hanging="284"/>
        <w:rPr>
          <w:rFonts w:eastAsia="Times New Roman"/>
          <w:szCs w:val="20"/>
        </w:rPr>
      </w:pPr>
      <w:r w:rsidRPr="00E26C8E">
        <w:rPr>
          <w:rFonts w:eastAsia="Times New Roman"/>
          <w:szCs w:val="20"/>
        </w:rPr>
        <w:t>•</w:t>
      </w:r>
      <w:r w:rsidRPr="00E26C8E">
        <w:rPr>
          <w:rFonts w:eastAsia="Times New Roman"/>
          <w:szCs w:val="20"/>
        </w:rPr>
        <w:tab/>
        <w:t>the relevant application fee.</w:t>
      </w:r>
    </w:p>
    <w:p w:rsidR="00E26C8E" w:rsidRPr="00E26C8E" w:rsidRDefault="00E26C8E" w:rsidP="00E26C8E">
      <w:pPr>
        <w:rPr>
          <w:rFonts w:eastAsia="Times New Roman"/>
          <w:szCs w:val="20"/>
        </w:rPr>
      </w:pPr>
      <w:r w:rsidRPr="00E26C8E">
        <w:rPr>
          <w:rFonts w:eastAsia="Times New Roman"/>
          <w:color w:val="000000"/>
          <w:szCs w:val="17"/>
          <w:shd w:val="clear" w:color="auto" w:fill="FFFFFF"/>
        </w:rPr>
        <w:t xml:space="preserve">In </w:t>
      </w:r>
      <w:r w:rsidRPr="00E26C8E">
        <w:rPr>
          <w:rFonts w:eastAsia="Times New Roman"/>
          <w:szCs w:val="20"/>
        </w:rPr>
        <w:t>accordance</w:t>
      </w:r>
      <w:r w:rsidRPr="00E26C8E">
        <w:rPr>
          <w:rFonts w:eastAsia="Times New Roman"/>
          <w:color w:val="000000"/>
          <w:szCs w:val="17"/>
          <w:shd w:val="clear" w:color="auto" w:fill="FFFFFF"/>
        </w:rPr>
        <w:t xml:space="preserve"> with section 29 of the </w:t>
      </w:r>
      <w:r w:rsidRPr="00E26C8E">
        <w:rPr>
          <w:rFonts w:eastAsia="Times New Roman"/>
          <w:i/>
          <w:iCs/>
          <w:color w:val="000000"/>
          <w:szCs w:val="17"/>
          <w:shd w:val="clear" w:color="auto" w:fill="FFFFFF"/>
        </w:rPr>
        <w:t>Mining Act 1971</w:t>
      </w:r>
      <w:r w:rsidRPr="00E26C8E">
        <w:rPr>
          <w:rFonts w:eastAsia="Times New Roman"/>
          <w:color w:val="000000"/>
          <w:szCs w:val="17"/>
          <w:shd w:val="clear" w:color="auto" w:fill="FFFFFF"/>
        </w:rPr>
        <w:t> this Terms of Reference will have effect from 1 January 2021.</w:t>
      </w:r>
    </w:p>
    <w:p w:rsidR="00E26C8E" w:rsidRPr="00E26C8E" w:rsidRDefault="00E26C8E" w:rsidP="00E26C8E">
      <w:pPr>
        <w:ind w:left="284" w:hanging="284"/>
        <w:rPr>
          <w:rFonts w:eastAsia="Times New Roman"/>
          <w:b/>
          <w:szCs w:val="20"/>
        </w:rPr>
      </w:pPr>
      <w:r w:rsidRPr="00E26C8E">
        <w:rPr>
          <w:rFonts w:eastAsia="Times New Roman"/>
          <w:b/>
          <w:szCs w:val="20"/>
        </w:rPr>
        <w:t>I.</w:t>
      </w:r>
      <w:r w:rsidRPr="00E26C8E">
        <w:rPr>
          <w:rFonts w:eastAsia="Times New Roman"/>
          <w:b/>
          <w:szCs w:val="20"/>
        </w:rPr>
        <w:tab/>
        <w:t>FORM OF APPLICATION</w:t>
      </w:r>
    </w:p>
    <w:p w:rsidR="00E26C8E" w:rsidRPr="00E26C8E" w:rsidRDefault="00E26C8E" w:rsidP="00E26C8E">
      <w:pPr>
        <w:ind w:left="284"/>
        <w:rPr>
          <w:rFonts w:eastAsia="Times New Roman"/>
          <w:szCs w:val="20"/>
        </w:rPr>
      </w:pPr>
      <w:r w:rsidRPr="00E26C8E">
        <w:rPr>
          <w:rFonts w:eastAsia="Times New Roman"/>
          <w:szCs w:val="20"/>
        </w:rPr>
        <w:t>In accordance with section 29A(1)(a) of the Mining Act an application for an EL must be made in the form and contain such information as set out in this Terms of Reference, unless otherwise specified by the Director of Mines or an authorised officer.</w:t>
      </w:r>
    </w:p>
    <w:p w:rsidR="00E26C8E" w:rsidRPr="00E26C8E" w:rsidRDefault="00E26C8E" w:rsidP="00E26C8E">
      <w:pPr>
        <w:ind w:left="284"/>
        <w:rPr>
          <w:rFonts w:eastAsia="Times New Roman"/>
          <w:szCs w:val="20"/>
        </w:rPr>
      </w:pPr>
      <w:r w:rsidRPr="00E26C8E">
        <w:rPr>
          <w:rFonts w:eastAsia="Times New Roman"/>
          <w:szCs w:val="20"/>
        </w:rPr>
        <w:t>For the purposes of section 29A(1) of the Mining Act, it is determined that an application for an EL must contain the information as follows:</w:t>
      </w:r>
    </w:p>
    <w:p w:rsidR="00E26C8E" w:rsidRPr="00E26C8E" w:rsidRDefault="00E26C8E" w:rsidP="00E26C8E">
      <w:pPr>
        <w:ind w:left="567" w:hanging="283"/>
        <w:rPr>
          <w:rFonts w:eastAsia="Times New Roman"/>
          <w:szCs w:val="20"/>
        </w:rPr>
      </w:pPr>
      <w:r w:rsidRPr="00E26C8E">
        <w:rPr>
          <w:rFonts w:eastAsia="Times New Roman"/>
          <w:szCs w:val="20"/>
        </w:rPr>
        <w:t>1.</w:t>
      </w:r>
      <w:r w:rsidRPr="00E26C8E">
        <w:rPr>
          <w:rFonts w:eastAsia="Times New Roman"/>
          <w:szCs w:val="20"/>
        </w:rPr>
        <w:tab/>
        <w:t>Name of applicant (company or individual): list all applicants and their percentage share in the application.</w:t>
      </w:r>
    </w:p>
    <w:p w:rsidR="00E26C8E" w:rsidRPr="00E26C8E" w:rsidRDefault="00E26C8E" w:rsidP="00E26C8E">
      <w:pPr>
        <w:ind w:left="567" w:hanging="283"/>
        <w:rPr>
          <w:rFonts w:eastAsia="Times New Roman"/>
          <w:szCs w:val="20"/>
        </w:rPr>
      </w:pPr>
      <w:r w:rsidRPr="00E26C8E">
        <w:rPr>
          <w:rFonts w:eastAsia="Times New Roman"/>
          <w:szCs w:val="20"/>
        </w:rPr>
        <w:t>2.</w:t>
      </w:r>
      <w:r w:rsidRPr="00E26C8E">
        <w:rPr>
          <w:rFonts w:eastAsia="Times New Roman"/>
          <w:szCs w:val="20"/>
        </w:rPr>
        <w:tab/>
        <w:t>Trust name if the application is being made under a trust.</w:t>
      </w:r>
    </w:p>
    <w:p w:rsidR="00E26C8E" w:rsidRPr="00E26C8E" w:rsidRDefault="00E26C8E" w:rsidP="00E26C8E">
      <w:pPr>
        <w:ind w:left="567" w:hanging="283"/>
        <w:rPr>
          <w:rFonts w:eastAsia="Times New Roman"/>
          <w:szCs w:val="20"/>
        </w:rPr>
      </w:pPr>
      <w:r w:rsidRPr="00E26C8E">
        <w:rPr>
          <w:rFonts w:eastAsia="Times New Roman"/>
          <w:szCs w:val="20"/>
        </w:rPr>
        <w:t>3.</w:t>
      </w:r>
      <w:r w:rsidRPr="00E26C8E">
        <w:rPr>
          <w:rFonts w:eastAsia="Times New Roman"/>
          <w:szCs w:val="20"/>
        </w:rPr>
        <w:tab/>
        <w:t>Holding company name if application is made by a subsidiary.</w:t>
      </w:r>
    </w:p>
    <w:p w:rsidR="00E26C8E" w:rsidRPr="00E26C8E" w:rsidRDefault="00E26C8E" w:rsidP="00E26C8E">
      <w:pPr>
        <w:ind w:left="567" w:hanging="283"/>
        <w:rPr>
          <w:rFonts w:eastAsia="Times New Roman"/>
          <w:szCs w:val="20"/>
        </w:rPr>
      </w:pPr>
      <w:r w:rsidRPr="00E26C8E">
        <w:rPr>
          <w:rFonts w:eastAsia="Times New Roman"/>
          <w:szCs w:val="20"/>
        </w:rPr>
        <w:t>4.</w:t>
      </w:r>
      <w:r w:rsidRPr="00E26C8E">
        <w:rPr>
          <w:rFonts w:eastAsia="Times New Roman"/>
          <w:szCs w:val="20"/>
        </w:rPr>
        <w:tab/>
        <w:t>Size and location of area (in km2) under application: attach a plan and/or description of the boundaries of the land in respect of which the licence is being sought in accordance with the requirements of section 56E of the Mining Act.</w:t>
      </w:r>
    </w:p>
    <w:p w:rsidR="00E26C8E" w:rsidRPr="00E26C8E" w:rsidRDefault="00E26C8E" w:rsidP="00E26C8E">
      <w:pPr>
        <w:ind w:left="567" w:hanging="283"/>
        <w:rPr>
          <w:rFonts w:eastAsia="Times New Roman"/>
          <w:szCs w:val="20"/>
        </w:rPr>
      </w:pPr>
      <w:r w:rsidRPr="00E26C8E">
        <w:rPr>
          <w:rFonts w:eastAsia="Times New Roman"/>
          <w:szCs w:val="20"/>
        </w:rPr>
        <w:t>5.</w:t>
      </w:r>
      <w:r w:rsidRPr="00E26C8E">
        <w:rPr>
          <w:rFonts w:eastAsia="Times New Roman"/>
          <w:szCs w:val="20"/>
        </w:rPr>
        <w:tab/>
        <w:t>A list of all ELs held that are currently active and pending EL applications within South Australia.</w:t>
      </w:r>
    </w:p>
    <w:p w:rsidR="00E26C8E" w:rsidRPr="00E26C8E" w:rsidRDefault="00E26C8E" w:rsidP="00E26C8E">
      <w:pPr>
        <w:ind w:left="567" w:hanging="283"/>
        <w:rPr>
          <w:rFonts w:eastAsia="Times New Roman"/>
          <w:szCs w:val="20"/>
        </w:rPr>
      </w:pPr>
      <w:r w:rsidRPr="00E26C8E">
        <w:rPr>
          <w:rFonts w:eastAsia="Times New Roman"/>
          <w:szCs w:val="20"/>
        </w:rPr>
        <w:t>6.</w:t>
      </w:r>
      <w:r w:rsidRPr="00E26C8E">
        <w:rPr>
          <w:rFonts w:eastAsia="Times New Roman"/>
          <w:szCs w:val="20"/>
        </w:rPr>
        <w:tab/>
        <w:t>Details of contact person for the application, including name, address, contact numbers, email address, authorisation from applicant if contact person is an agent or tenement manager, and demonstrate whether that person consents to receiving tenement-related correspondence via electronic means.</w:t>
      </w:r>
    </w:p>
    <w:p w:rsidR="00E26C8E" w:rsidRPr="00E26C8E" w:rsidRDefault="00E26C8E" w:rsidP="00E26C8E">
      <w:pPr>
        <w:ind w:left="567" w:hanging="283"/>
        <w:rPr>
          <w:rFonts w:eastAsia="Times New Roman"/>
          <w:szCs w:val="20"/>
        </w:rPr>
      </w:pPr>
      <w:r w:rsidRPr="00E26C8E">
        <w:rPr>
          <w:rFonts w:eastAsia="Times New Roman"/>
          <w:szCs w:val="20"/>
        </w:rPr>
        <w:t>7.</w:t>
      </w:r>
      <w:r w:rsidRPr="00E26C8E">
        <w:rPr>
          <w:rFonts w:eastAsia="Times New Roman"/>
          <w:szCs w:val="20"/>
        </w:rPr>
        <w:tab/>
        <w:t>Where an applicant is new to South Australia and has not held any tenement in the state, the following additional information must be included in an application for an EL:</w:t>
      </w:r>
    </w:p>
    <w:p w:rsidR="00E26C8E" w:rsidRPr="00E26C8E" w:rsidRDefault="00E26C8E" w:rsidP="00E26C8E">
      <w:pPr>
        <w:ind w:left="851" w:hanging="284"/>
        <w:rPr>
          <w:rFonts w:eastAsia="Times New Roman"/>
          <w:szCs w:val="20"/>
        </w:rPr>
      </w:pPr>
      <w:r w:rsidRPr="00E26C8E">
        <w:rPr>
          <w:rFonts w:eastAsia="Times New Roman"/>
          <w:szCs w:val="20"/>
        </w:rPr>
        <w:t>a.</w:t>
      </w:r>
      <w:r w:rsidRPr="00E26C8E">
        <w:rPr>
          <w:rFonts w:eastAsia="Times New Roman"/>
          <w:szCs w:val="20"/>
        </w:rPr>
        <w:tab/>
        <w:t>If applicable, Australian Business Number (ABN) or Australian Company Number (ACN)</w:t>
      </w:r>
    </w:p>
    <w:p w:rsidR="00E26C8E" w:rsidRPr="00E26C8E" w:rsidRDefault="00E26C8E" w:rsidP="00E26C8E">
      <w:pPr>
        <w:ind w:left="851" w:hanging="284"/>
        <w:rPr>
          <w:rFonts w:eastAsia="Times New Roman"/>
          <w:szCs w:val="20"/>
        </w:rPr>
      </w:pPr>
      <w:r w:rsidRPr="00E26C8E">
        <w:rPr>
          <w:rFonts w:eastAsia="Times New Roman"/>
          <w:szCs w:val="20"/>
        </w:rPr>
        <w:t>b.</w:t>
      </w:r>
      <w:r w:rsidRPr="00E26C8E">
        <w:rPr>
          <w:rFonts w:eastAsia="Times New Roman"/>
          <w:szCs w:val="20"/>
        </w:rPr>
        <w:tab/>
        <w:t>Address of applicant(s), email address, telephone and mobile numbers, including registered address and website where an applicant is a company; and</w:t>
      </w:r>
    </w:p>
    <w:p w:rsidR="00E26C8E" w:rsidRPr="00E26C8E" w:rsidRDefault="00E26C8E" w:rsidP="00E26C8E">
      <w:pPr>
        <w:ind w:left="851" w:hanging="284"/>
        <w:rPr>
          <w:rFonts w:eastAsia="Times New Roman"/>
          <w:szCs w:val="20"/>
        </w:rPr>
      </w:pPr>
      <w:r w:rsidRPr="00E26C8E">
        <w:rPr>
          <w:rFonts w:eastAsia="Times New Roman"/>
          <w:szCs w:val="20"/>
        </w:rPr>
        <w:t>c.</w:t>
      </w:r>
      <w:r w:rsidRPr="00E26C8E">
        <w:rPr>
          <w:rFonts w:eastAsia="Times New Roman"/>
          <w:szCs w:val="20"/>
        </w:rPr>
        <w:tab/>
        <w:t>Nominate a contact person for inquiries, including that person’s name, email address, telephone and mobile number, job position and demonstrate whether that person consents to receiving tenement related correspondence via electronic means.</w:t>
      </w:r>
    </w:p>
    <w:p w:rsidR="00E26C8E" w:rsidRPr="00E26C8E" w:rsidRDefault="00E26C8E" w:rsidP="00E26C8E">
      <w:pPr>
        <w:ind w:left="567" w:hanging="283"/>
        <w:rPr>
          <w:rFonts w:eastAsia="Times New Roman"/>
          <w:szCs w:val="20"/>
        </w:rPr>
      </w:pPr>
      <w:r w:rsidRPr="00E26C8E">
        <w:rPr>
          <w:rFonts w:eastAsia="Times New Roman"/>
          <w:szCs w:val="20"/>
        </w:rPr>
        <w:t>8.</w:t>
      </w:r>
      <w:r w:rsidRPr="00E26C8E">
        <w:rPr>
          <w:rFonts w:eastAsia="Times New Roman"/>
          <w:szCs w:val="20"/>
        </w:rPr>
        <w:tab/>
        <w:t>Where an application for EL relates to an exploration release area (ERA) - specify the ERA Number as set out in the ERA Notice.</w:t>
      </w:r>
    </w:p>
    <w:p w:rsidR="00E26C8E" w:rsidRPr="00E26C8E" w:rsidRDefault="00E26C8E" w:rsidP="00E26C8E">
      <w:pPr>
        <w:ind w:left="284" w:hanging="284"/>
        <w:rPr>
          <w:rFonts w:eastAsia="Times New Roman"/>
          <w:b/>
          <w:szCs w:val="20"/>
        </w:rPr>
      </w:pPr>
      <w:r w:rsidRPr="00E26C8E">
        <w:rPr>
          <w:rFonts w:eastAsia="Times New Roman"/>
          <w:b/>
          <w:szCs w:val="20"/>
        </w:rPr>
        <w:t>II.</w:t>
      </w:r>
      <w:r w:rsidRPr="00E26C8E">
        <w:rPr>
          <w:rFonts w:eastAsia="Times New Roman"/>
          <w:b/>
          <w:szCs w:val="20"/>
        </w:rPr>
        <w:tab/>
        <w:t>SUPPORTING INFORMATION UNDER REGULATION 23 OF THE MINING REGULATIONS</w:t>
      </w:r>
    </w:p>
    <w:p w:rsidR="00E26C8E" w:rsidRPr="00E26C8E" w:rsidRDefault="00E26C8E" w:rsidP="00E26C8E">
      <w:pPr>
        <w:ind w:left="284"/>
        <w:rPr>
          <w:rFonts w:eastAsia="Times New Roman"/>
          <w:szCs w:val="20"/>
        </w:rPr>
      </w:pPr>
      <w:r w:rsidRPr="00E26C8E">
        <w:rPr>
          <w:rFonts w:eastAsia="Times New Roman"/>
          <w:szCs w:val="20"/>
        </w:rPr>
        <w:t>An application for an EL must be accompanied by information set out in regulation 23(1) of the Mining Regulations and must comply with the following determinations of this Terms of Reference:</w:t>
      </w:r>
    </w:p>
    <w:p w:rsidR="00E26C8E" w:rsidRPr="00E26C8E" w:rsidRDefault="00E26C8E" w:rsidP="00E26C8E">
      <w:pPr>
        <w:ind w:left="567" w:hanging="283"/>
        <w:rPr>
          <w:rFonts w:eastAsia="Times New Roman"/>
          <w:b/>
          <w:szCs w:val="20"/>
        </w:rPr>
      </w:pPr>
      <w:r w:rsidRPr="00E26C8E">
        <w:rPr>
          <w:rFonts w:eastAsia="Times New Roman"/>
          <w:b/>
          <w:szCs w:val="20"/>
        </w:rPr>
        <w:t>A.</w:t>
      </w:r>
      <w:r w:rsidRPr="00E26C8E">
        <w:rPr>
          <w:rFonts w:eastAsia="Times New Roman"/>
          <w:b/>
          <w:szCs w:val="20"/>
        </w:rPr>
        <w:tab/>
        <w:t>Statement of proposed exploration operations and expenditure</w:t>
      </w:r>
    </w:p>
    <w:p w:rsidR="00E26C8E" w:rsidRPr="00E26C8E" w:rsidRDefault="00E26C8E" w:rsidP="00E26C8E">
      <w:pPr>
        <w:ind w:left="567"/>
        <w:rPr>
          <w:rFonts w:eastAsia="Times New Roman"/>
          <w:szCs w:val="20"/>
        </w:rPr>
      </w:pPr>
      <w:r w:rsidRPr="00E26C8E">
        <w:rPr>
          <w:rFonts w:eastAsia="Times New Roman"/>
          <w:szCs w:val="20"/>
        </w:rPr>
        <w:t>In preparing a statement under regulation 23(1)(a) of the Mining Regulations that outlines the exploration operations that the tenement holder intends to carry out under the exploration licence and declaring the amount of expenditure that is estimated to occur in carrying out those operations, the Minister determines in accordance with regulation 23(2) of the Mining Regulations that this statement must be supported by the following information:</w:t>
      </w:r>
    </w:p>
    <w:p w:rsidR="00E26C8E" w:rsidRPr="00E26C8E" w:rsidRDefault="00E26C8E" w:rsidP="00E26C8E">
      <w:pPr>
        <w:ind w:left="851" w:hanging="284"/>
        <w:rPr>
          <w:rFonts w:eastAsia="Times New Roman"/>
          <w:szCs w:val="20"/>
        </w:rPr>
      </w:pPr>
      <w:r w:rsidRPr="00E26C8E">
        <w:rPr>
          <w:rFonts w:eastAsia="Times New Roman"/>
          <w:szCs w:val="20"/>
        </w:rPr>
        <w:t>•</w:t>
      </w:r>
      <w:r w:rsidRPr="00E26C8E">
        <w:rPr>
          <w:rFonts w:eastAsia="Times New Roman"/>
          <w:szCs w:val="20"/>
        </w:rPr>
        <w:tab/>
        <w:t>A phased and costed breakdown of proposed operations including geoscientific investigation/evaluation, stakeholder engagement and environmental management activities for the licence area.</w:t>
      </w:r>
    </w:p>
    <w:p w:rsidR="00E26C8E" w:rsidRPr="00E26C8E" w:rsidRDefault="00E26C8E" w:rsidP="00E26C8E">
      <w:pPr>
        <w:spacing w:after="0" w:line="240" w:lineRule="auto"/>
        <w:jc w:val="left"/>
        <w:rPr>
          <w:rFonts w:eastAsia="Times New Roman"/>
          <w:b/>
          <w:szCs w:val="20"/>
        </w:rPr>
      </w:pPr>
      <w:r w:rsidRPr="00E26C8E">
        <w:rPr>
          <w:rFonts w:eastAsia="Times New Roman"/>
          <w:b/>
          <w:szCs w:val="20"/>
        </w:rPr>
        <w:br w:type="page"/>
      </w:r>
    </w:p>
    <w:p w:rsidR="00E26C8E" w:rsidRPr="00E26C8E" w:rsidRDefault="00E26C8E" w:rsidP="00E26C8E">
      <w:pPr>
        <w:ind w:left="567" w:hanging="283"/>
        <w:rPr>
          <w:rFonts w:eastAsia="Times New Roman"/>
          <w:b/>
          <w:szCs w:val="20"/>
        </w:rPr>
      </w:pPr>
      <w:r w:rsidRPr="00E26C8E">
        <w:rPr>
          <w:rFonts w:eastAsia="Times New Roman"/>
          <w:b/>
          <w:szCs w:val="20"/>
        </w:rPr>
        <w:t>B.</w:t>
      </w:r>
      <w:r w:rsidRPr="00E26C8E">
        <w:rPr>
          <w:rFonts w:eastAsia="Times New Roman"/>
          <w:b/>
          <w:szCs w:val="20"/>
        </w:rPr>
        <w:tab/>
        <w:t>Principal mineral(s) sought and exploration model</w:t>
      </w:r>
    </w:p>
    <w:p w:rsidR="00E26C8E" w:rsidRPr="00E26C8E" w:rsidRDefault="00E26C8E" w:rsidP="00E26C8E">
      <w:pPr>
        <w:ind w:left="567"/>
        <w:rPr>
          <w:rFonts w:eastAsia="Times New Roman"/>
          <w:szCs w:val="20"/>
        </w:rPr>
      </w:pPr>
      <w:r w:rsidRPr="00E26C8E">
        <w:rPr>
          <w:rFonts w:eastAsia="Times New Roman"/>
          <w:szCs w:val="20"/>
        </w:rPr>
        <w:t>In preparing a statement under regulation 23(1)(c) of the Mining Regulations that outlines the exploration model that the applicant intends to employ for the purposes of exploring for the nominated mineral or minerals, the Minister determines in accordance with regulation 23(2) of the Mining Regulations that this statement must be supported by the following information:</w:t>
      </w:r>
    </w:p>
    <w:p w:rsidR="00E26C8E" w:rsidRPr="00E26C8E" w:rsidRDefault="00E26C8E" w:rsidP="00E26C8E">
      <w:pPr>
        <w:ind w:left="851" w:hanging="284"/>
        <w:rPr>
          <w:rFonts w:eastAsia="Times New Roman"/>
          <w:szCs w:val="20"/>
        </w:rPr>
      </w:pPr>
      <w:r w:rsidRPr="00E26C8E">
        <w:rPr>
          <w:rFonts w:eastAsia="Times New Roman"/>
          <w:szCs w:val="20"/>
        </w:rPr>
        <w:t>•</w:t>
      </w:r>
      <w:r w:rsidRPr="00E26C8E">
        <w:rPr>
          <w:rFonts w:eastAsia="Times New Roman"/>
          <w:szCs w:val="20"/>
        </w:rPr>
        <w:tab/>
        <w:t>Reasons and/or rationale for selecting the model for the specific EL area sought; and</w:t>
      </w:r>
    </w:p>
    <w:p w:rsidR="00E26C8E" w:rsidRPr="00E26C8E" w:rsidRDefault="00E26C8E" w:rsidP="00E26C8E">
      <w:pPr>
        <w:ind w:left="851" w:hanging="284"/>
        <w:rPr>
          <w:rFonts w:eastAsia="Times New Roman"/>
          <w:szCs w:val="20"/>
        </w:rPr>
      </w:pPr>
      <w:r w:rsidRPr="00E26C8E">
        <w:rPr>
          <w:rFonts w:eastAsia="Times New Roman"/>
          <w:szCs w:val="20"/>
        </w:rPr>
        <w:t>•</w:t>
      </w:r>
      <w:r w:rsidRPr="00E26C8E">
        <w:rPr>
          <w:rFonts w:eastAsia="Times New Roman"/>
          <w:szCs w:val="20"/>
        </w:rPr>
        <w:tab/>
        <w:t>Statement demonstrating how the exploration model has informed the design of the proposed exploration operations.</w:t>
      </w:r>
    </w:p>
    <w:p w:rsidR="00E26C8E" w:rsidRPr="00E26C8E" w:rsidRDefault="00E26C8E" w:rsidP="00E26C8E">
      <w:pPr>
        <w:ind w:left="567" w:hanging="283"/>
        <w:rPr>
          <w:rFonts w:eastAsia="Times New Roman"/>
          <w:b/>
          <w:szCs w:val="20"/>
        </w:rPr>
      </w:pPr>
      <w:r w:rsidRPr="00E26C8E">
        <w:rPr>
          <w:rFonts w:eastAsia="Times New Roman"/>
          <w:b/>
          <w:szCs w:val="20"/>
        </w:rPr>
        <w:t>C.</w:t>
      </w:r>
      <w:r w:rsidRPr="00E26C8E">
        <w:rPr>
          <w:rFonts w:eastAsia="Times New Roman"/>
          <w:b/>
          <w:szCs w:val="20"/>
        </w:rPr>
        <w:tab/>
        <w:t>Technical and operational capability and resources</w:t>
      </w:r>
    </w:p>
    <w:p w:rsidR="00E26C8E" w:rsidRPr="00E26C8E" w:rsidRDefault="00E26C8E" w:rsidP="00E26C8E">
      <w:pPr>
        <w:ind w:left="567"/>
        <w:rPr>
          <w:rFonts w:eastAsia="Times New Roman"/>
          <w:szCs w:val="20"/>
        </w:rPr>
      </w:pPr>
      <w:r w:rsidRPr="00E26C8E">
        <w:rPr>
          <w:rFonts w:eastAsia="Times New Roman"/>
          <w:szCs w:val="20"/>
        </w:rPr>
        <w:t>In preparing a statement under regulation 23(1)(b) of the Mining Regulations that outlines the technical and operational capabilities and resources available to the applicant for the purpose of carrying out operations that the tenement holder intends to carry out under the exploration licence, the Minister determines in accordance with regulation 23(2) of the Mining Regulations that this statement must supported by the following evidence and information:</w:t>
      </w:r>
    </w:p>
    <w:p w:rsidR="00E26C8E" w:rsidRPr="00E26C8E" w:rsidRDefault="00E26C8E" w:rsidP="00E26C8E">
      <w:pPr>
        <w:ind w:left="851" w:hanging="284"/>
        <w:rPr>
          <w:rFonts w:eastAsia="Times New Roman"/>
          <w:szCs w:val="20"/>
        </w:rPr>
      </w:pPr>
      <w:r w:rsidRPr="00E26C8E">
        <w:rPr>
          <w:rFonts w:eastAsia="Times New Roman"/>
          <w:szCs w:val="20"/>
        </w:rPr>
        <w:t>•</w:t>
      </w:r>
      <w:r w:rsidRPr="00E26C8E">
        <w:rPr>
          <w:rFonts w:eastAsia="Times New Roman"/>
          <w:szCs w:val="20"/>
        </w:rPr>
        <w:tab/>
        <w:t>The names, relevant qualifications, experience and professional affiliations (where applicable) of employees, contractors and/or consultants who will be responsible for the management, implementation and reporting of the various aspects of the proposed exploration operations.</w:t>
      </w:r>
    </w:p>
    <w:p w:rsidR="00E26C8E" w:rsidRPr="00E26C8E" w:rsidRDefault="00E26C8E" w:rsidP="00E26C8E">
      <w:pPr>
        <w:ind w:left="851" w:hanging="284"/>
        <w:rPr>
          <w:rFonts w:eastAsia="Times New Roman"/>
          <w:szCs w:val="20"/>
        </w:rPr>
      </w:pPr>
      <w:r w:rsidRPr="00E26C8E">
        <w:rPr>
          <w:rFonts w:eastAsia="Times New Roman"/>
          <w:szCs w:val="20"/>
        </w:rPr>
        <w:t>•</w:t>
      </w:r>
      <w:r w:rsidRPr="00E26C8E">
        <w:rPr>
          <w:rFonts w:eastAsia="Times New Roman"/>
          <w:szCs w:val="20"/>
        </w:rPr>
        <w:tab/>
        <w:t>A statement of awareness and understanding of environmental, land use and stakeholder engagement aspects to be managed within the application area, including an initial list of potential stakeholders, and identify any access approvals or agreements that will need to be obtained in order to implement the proposed exploration operations.</w:t>
      </w:r>
    </w:p>
    <w:p w:rsidR="00E26C8E" w:rsidRPr="00E26C8E" w:rsidRDefault="00E26C8E" w:rsidP="00E26C8E">
      <w:pPr>
        <w:spacing w:after="0"/>
        <w:rPr>
          <w:rFonts w:eastAsia="Times New Roman"/>
          <w:szCs w:val="17"/>
        </w:rPr>
      </w:pPr>
      <w:r w:rsidRPr="00E26C8E">
        <w:rPr>
          <w:rFonts w:eastAsia="Times New Roman"/>
          <w:szCs w:val="17"/>
        </w:rPr>
        <w:t>Dated: 11 December 2020</w:t>
      </w:r>
    </w:p>
    <w:p w:rsidR="00E26C8E" w:rsidRPr="00E26C8E" w:rsidRDefault="00E26C8E" w:rsidP="00E26C8E">
      <w:pPr>
        <w:spacing w:after="0"/>
        <w:jc w:val="right"/>
        <w:rPr>
          <w:rFonts w:eastAsia="Times New Roman"/>
          <w:smallCaps/>
          <w:szCs w:val="20"/>
        </w:rPr>
      </w:pPr>
      <w:r w:rsidRPr="00E26C8E">
        <w:rPr>
          <w:rFonts w:eastAsia="Times New Roman"/>
          <w:smallCaps/>
          <w:szCs w:val="20"/>
        </w:rPr>
        <w:t>Hon. Daniel van Holst Pellekaan</w:t>
      </w:r>
    </w:p>
    <w:p w:rsidR="00E26C8E" w:rsidRPr="00E26C8E" w:rsidRDefault="00E26C8E" w:rsidP="00E26C8E">
      <w:pPr>
        <w:spacing w:after="0"/>
        <w:jc w:val="right"/>
        <w:rPr>
          <w:rFonts w:eastAsia="Times New Roman"/>
          <w:szCs w:val="17"/>
        </w:rPr>
      </w:pPr>
      <w:r w:rsidRPr="00E26C8E">
        <w:rPr>
          <w:rFonts w:eastAsia="Times New Roman"/>
          <w:szCs w:val="17"/>
        </w:rPr>
        <w:t>Minister for Energy and Mining</w:t>
      </w:r>
    </w:p>
    <w:p w:rsidR="00E26C8E" w:rsidRPr="00E26C8E" w:rsidRDefault="00E26C8E" w:rsidP="00E26C8E">
      <w:pPr>
        <w:pBdr>
          <w:top w:val="single" w:sz="4" w:space="1" w:color="auto"/>
        </w:pBdr>
        <w:spacing w:before="100" w:after="0" w:line="14" w:lineRule="exact"/>
        <w:jc w:val="center"/>
        <w:rPr>
          <w:rFonts w:eastAsia="Times New Roman"/>
          <w:szCs w:val="20"/>
        </w:rPr>
      </w:pPr>
    </w:p>
    <w:p w:rsidR="00E26C8E" w:rsidRPr="00E26C8E" w:rsidRDefault="00E26C8E" w:rsidP="00E26C8E">
      <w:pPr>
        <w:rPr>
          <w:rFonts w:eastAsia="Times New Roman"/>
          <w:szCs w:val="20"/>
        </w:rPr>
      </w:pPr>
    </w:p>
    <w:p w:rsidR="00E26C8E" w:rsidRPr="00E26C8E" w:rsidRDefault="00E26C8E" w:rsidP="00E26C8E">
      <w:pPr>
        <w:jc w:val="center"/>
        <w:rPr>
          <w:caps/>
          <w:szCs w:val="17"/>
        </w:rPr>
      </w:pPr>
      <w:r w:rsidRPr="00E26C8E">
        <w:rPr>
          <w:caps/>
          <w:szCs w:val="17"/>
        </w:rPr>
        <w:t>Mining Act 1971</w:t>
      </w:r>
    </w:p>
    <w:p w:rsidR="00E26C8E" w:rsidRPr="00E26C8E" w:rsidRDefault="00E26C8E" w:rsidP="00E26C8E">
      <w:pPr>
        <w:jc w:val="center"/>
        <w:rPr>
          <w:smallCaps/>
          <w:szCs w:val="17"/>
        </w:rPr>
      </w:pPr>
      <w:r w:rsidRPr="00E26C8E">
        <w:rPr>
          <w:smallCaps/>
          <w:szCs w:val="17"/>
        </w:rPr>
        <w:t>Section 30A</w:t>
      </w:r>
    </w:p>
    <w:p w:rsidR="00E26C8E" w:rsidRPr="00E26C8E" w:rsidRDefault="00E26C8E" w:rsidP="00E26C8E">
      <w:pPr>
        <w:jc w:val="center"/>
        <w:rPr>
          <w:i/>
          <w:szCs w:val="17"/>
        </w:rPr>
      </w:pPr>
      <w:r w:rsidRPr="00E26C8E">
        <w:rPr>
          <w:i/>
          <w:szCs w:val="17"/>
        </w:rPr>
        <w:t>Terms of Reference for Renewal of Exploration Licence Applications</w:t>
      </w:r>
    </w:p>
    <w:p w:rsidR="00E26C8E" w:rsidRPr="00E26C8E" w:rsidRDefault="00E26C8E" w:rsidP="00E26C8E">
      <w:pPr>
        <w:rPr>
          <w:rFonts w:eastAsia="Times New Roman"/>
          <w:szCs w:val="20"/>
        </w:rPr>
      </w:pPr>
      <w:r w:rsidRPr="00E26C8E">
        <w:rPr>
          <w:rFonts w:eastAsia="Times New Roman"/>
          <w:szCs w:val="20"/>
        </w:rPr>
        <w:t>An application for renewal of an exploration licence (EL) must be accompanied by:</w:t>
      </w:r>
    </w:p>
    <w:p w:rsidR="00E26C8E" w:rsidRPr="00E26C8E" w:rsidRDefault="00E26C8E" w:rsidP="00E26C8E">
      <w:pPr>
        <w:ind w:left="567" w:hanging="284"/>
        <w:rPr>
          <w:rFonts w:eastAsia="Times New Roman"/>
          <w:szCs w:val="20"/>
        </w:rPr>
      </w:pPr>
      <w:r w:rsidRPr="00E26C8E">
        <w:rPr>
          <w:rFonts w:eastAsia="Times New Roman"/>
          <w:szCs w:val="20"/>
        </w:rPr>
        <w:t>•</w:t>
      </w:r>
      <w:r w:rsidRPr="00E26C8E">
        <w:rPr>
          <w:rFonts w:eastAsia="Times New Roman"/>
          <w:szCs w:val="20"/>
        </w:rPr>
        <w:tab/>
        <w:t xml:space="preserve">an application that complies with section 30A(4) of the </w:t>
      </w:r>
      <w:r w:rsidRPr="00E26C8E">
        <w:rPr>
          <w:rFonts w:eastAsia="Times New Roman"/>
          <w:i/>
          <w:szCs w:val="20"/>
        </w:rPr>
        <w:t>Mining Act 1971</w:t>
      </w:r>
      <w:r w:rsidRPr="00E26C8E">
        <w:rPr>
          <w:rFonts w:eastAsia="Times New Roman"/>
          <w:szCs w:val="20"/>
        </w:rPr>
        <w:t xml:space="preserve"> (the Mining Act) and any determinations set out in this Terms of Reference</w:t>
      </w:r>
    </w:p>
    <w:p w:rsidR="00E26C8E" w:rsidRPr="00E26C8E" w:rsidRDefault="00E26C8E" w:rsidP="00E26C8E">
      <w:pPr>
        <w:ind w:left="567" w:hanging="284"/>
        <w:rPr>
          <w:rFonts w:eastAsia="Times New Roman"/>
          <w:szCs w:val="20"/>
        </w:rPr>
      </w:pPr>
      <w:r w:rsidRPr="00E26C8E">
        <w:rPr>
          <w:rFonts w:eastAsia="Times New Roman"/>
          <w:szCs w:val="20"/>
        </w:rPr>
        <w:t>•</w:t>
      </w:r>
      <w:r w:rsidRPr="00E26C8E">
        <w:rPr>
          <w:rFonts w:eastAsia="Times New Roman"/>
          <w:szCs w:val="20"/>
        </w:rPr>
        <w:tab/>
        <w:t xml:space="preserve">information that complies with regulation 28 of the </w:t>
      </w:r>
      <w:r w:rsidRPr="00E26C8E">
        <w:rPr>
          <w:rFonts w:eastAsia="Times New Roman"/>
          <w:i/>
          <w:szCs w:val="20"/>
        </w:rPr>
        <w:t>Mining Regulations 2020</w:t>
      </w:r>
      <w:r w:rsidRPr="00E26C8E">
        <w:rPr>
          <w:rFonts w:eastAsia="Times New Roman"/>
          <w:szCs w:val="20"/>
        </w:rPr>
        <w:t xml:space="preserve"> (the Mining Regulations) and any determinations set out in this Terms of Reference; and</w:t>
      </w:r>
    </w:p>
    <w:p w:rsidR="00E26C8E" w:rsidRPr="00E26C8E" w:rsidRDefault="00E26C8E" w:rsidP="00E26C8E">
      <w:pPr>
        <w:ind w:left="567" w:hanging="284"/>
        <w:rPr>
          <w:rFonts w:eastAsia="Times New Roman"/>
          <w:szCs w:val="20"/>
        </w:rPr>
      </w:pPr>
      <w:r w:rsidRPr="00E26C8E">
        <w:rPr>
          <w:rFonts w:eastAsia="Times New Roman"/>
          <w:szCs w:val="20"/>
        </w:rPr>
        <w:t>•</w:t>
      </w:r>
      <w:r w:rsidRPr="00E26C8E">
        <w:rPr>
          <w:rFonts w:eastAsia="Times New Roman"/>
          <w:szCs w:val="20"/>
        </w:rPr>
        <w:tab/>
        <w:t>the relevant application fee.</w:t>
      </w:r>
    </w:p>
    <w:p w:rsidR="00E26C8E" w:rsidRPr="00E26C8E" w:rsidRDefault="00E26C8E" w:rsidP="00E26C8E">
      <w:pPr>
        <w:rPr>
          <w:rFonts w:eastAsia="Times New Roman"/>
          <w:szCs w:val="20"/>
        </w:rPr>
      </w:pPr>
      <w:r w:rsidRPr="00E26C8E">
        <w:rPr>
          <w:rFonts w:eastAsia="Times New Roman"/>
          <w:szCs w:val="20"/>
        </w:rPr>
        <w:t>In</w:t>
      </w:r>
      <w:r w:rsidRPr="00E26C8E">
        <w:rPr>
          <w:rFonts w:eastAsia="Times New Roman"/>
          <w:color w:val="000000"/>
          <w:szCs w:val="17"/>
          <w:shd w:val="clear" w:color="auto" w:fill="FFFFFF"/>
        </w:rPr>
        <w:t xml:space="preserve"> accordance with section 30A of the </w:t>
      </w:r>
      <w:r w:rsidRPr="00E26C8E">
        <w:rPr>
          <w:rFonts w:eastAsia="Times New Roman"/>
          <w:i/>
          <w:iCs/>
          <w:color w:val="000000"/>
          <w:szCs w:val="17"/>
          <w:shd w:val="clear" w:color="auto" w:fill="FFFFFF"/>
        </w:rPr>
        <w:t>Mining Act 1971</w:t>
      </w:r>
      <w:r w:rsidRPr="00E26C8E">
        <w:rPr>
          <w:rFonts w:eastAsia="Times New Roman"/>
          <w:color w:val="000000"/>
          <w:szCs w:val="17"/>
          <w:shd w:val="clear" w:color="auto" w:fill="FFFFFF"/>
        </w:rPr>
        <w:t> this Terms of Reference will have effect from 1 January 2021.</w:t>
      </w:r>
    </w:p>
    <w:p w:rsidR="00E26C8E" w:rsidRPr="00E26C8E" w:rsidRDefault="00E26C8E" w:rsidP="00E26C8E">
      <w:pPr>
        <w:ind w:left="284" w:hanging="284"/>
        <w:rPr>
          <w:rFonts w:eastAsia="Times New Roman"/>
          <w:b/>
          <w:szCs w:val="20"/>
        </w:rPr>
      </w:pPr>
      <w:r w:rsidRPr="00E26C8E">
        <w:rPr>
          <w:rFonts w:eastAsia="Times New Roman"/>
          <w:b/>
          <w:szCs w:val="20"/>
        </w:rPr>
        <w:t>1.</w:t>
      </w:r>
      <w:r w:rsidRPr="00E26C8E">
        <w:rPr>
          <w:rFonts w:eastAsia="Times New Roman"/>
          <w:b/>
          <w:szCs w:val="20"/>
        </w:rPr>
        <w:tab/>
        <w:t>FORM OF APPLICATION</w:t>
      </w:r>
    </w:p>
    <w:p w:rsidR="00E26C8E" w:rsidRPr="00E26C8E" w:rsidRDefault="00E26C8E" w:rsidP="00E26C8E">
      <w:pPr>
        <w:ind w:left="284"/>
        <w:rPr>
          <w:rFonts w:eastAsia="Times New Roman"/>
          <w:szCs w:val="20"/>
        </w:rPr>
      </w:pPr>
      <w:r w:rsidRPr="00E26C8E">
        <w:rPr>
          <w:rFonts w:eastAsia="Times New Roman"/>
          <w:szCs w:val="20"/>
        </w:rPr>
        <w:t>In accordance with section 30A(4) of the Mining Act an application for renewal of an EL must be made in the form and contain such information as set out in this Terms of Reference, unless otherwise specified by the Director of Mines or an authorised officer.</w:t>
      </w:r>
    </w:p>
    <w:p w:rsidR="00E26C8E" w:rsidRPr="00E26C8E" w:rsidRDefault="00E26C8E" w:rsidP="00E26C8E">
      <w:pPr>
        <w:ind w:left="284"/>
        <w:rPr>
          <w:rFonts w:eastAsia="Times New Roman"/>
          <w:szCs w:val="20"/>
        </w:rPr>
      </w:pPr>
      <w:r w:rsidRPr="00E26C8E">
        <w:rPr>
          <w:rFonts w:eastAsia="Times New Roman"/>
          <w:szCs w:val="20"/>
        </w:rPr>
        <w:t>For the purposes of section 30A(4) of the Mining Act, it is determined that an application for renewal of an EL must contain the information as follows:</w:t>
      </w:r>
    </w:p>
    <w:p w:rsidR="00E26C8E" w:rsidRPr="00E26C8E" w:rsidRDefault="00E26C8E" w:rsidP="00E26C8E">
      <w:pPr>
        <w:ind w:left="567" w:hanging="284"/>
        <w:rPr>
          <w:rFonts w:eastAsia="Times New Roman"/>
          <w:szCs w:val="20"/>
        </w:rPr>
      </w:pPr>
      <w:r w:rsidRPr="00E26C8E">
        <w:rPr>
          <w:rFonts w:eastAsia="Times New Roman"/>
          <w:szCs w:val="20"/>
        </w:rPr>
        <w:t>1.</w:t>
      </w:r>
      <w:r w:rsidRPr="00E26C8E">
        <w:rPr>
          <w:rFonts w:eastAsia="Times New Roman"/>
          <w:szCs w:val="20"/>
        </w:rPr>
        <w:tab/>
        <w:t>Provide the EL number.</w:t>
      </w:r>
    </w:p>
    <w:p w:rsidR="00E26C8E" w:rsidRPr="00E26C8E" w:rsidRDefault="00E26C8E" w:rsidP="00E26C8E">
      <w:pPr>
        <w:ind w:left="567" w:hanging="284"/>
        <w:rPr>
          <w:rFonts w:eastAsia="Times New Roman"/>
          <w:szCs w:val="20"/>
        </w:rPr>
      </w:pPr>
      <w:r w:rsidRPr="00E26C8E">
        <w:rPr>
          <w:rFonts w:eastAsia="Times New Roman"/>
          <w:szCs w:val="20"/>
        </w:rPr>
        <w:t>2.</w:t>
      </w:r>
      <w:r w:rsidRPr="00E26C8E">
        <w:rPr>
          <w:rFonts w:eastAsia="Times New Roman"/>
          <w:szCs w:val="20"/>
        </w:rPr>
        <w:tab/>
        <w:t>Name of applicant (company or individual): List all applicants and their percentage share in the EL.</w:t>
      </w:r>
    </w:p>
    <w:p w:rsidR="00E26C8E" w:rsidRPr="00E26C8E" w:rsidRDefault="00E26C8E" w:rsidP="00E26C8E">
      <w:pPr>
        <w:ind w:left="567" w:hanging="284"/>
        <w:rPr>
          <w:rFonts w:eastAsia="Times New Roman"/>
          <w:szCs w:val="20"/>
        </w:rPr>
      </w:pPr>
      <w:r w:rsidRPr="00E26C8E">
        <w:rPr>
          <w:rFonts w:eastAsia="Times New Roman"/>
          <w:szCs w:val="20"/>
        </w:rPr>
        <w:t>3.</w:t>
      </w:r>
      <w:r w:rsidRPr="00E26C8E">
        <w:rPr>
          <w:rFonts w:eastAsia="Times New Roman"/>
          <w:szCs w:val="20"/>
        </w:rPr>
        <w:tab/>
        <w:t>Provide trust name if the application is being made under a trust</w:t>
      </w:r>
    </w:p>
    <w:p w:rsidR="00E26C8E" w:rsidRPr="00E26C8E" w:rsidRDefault="00E26C8E" w:rsidP="00E26C8E">
      <w:pPr>
        <w:ind w:left="567" w:hanging="284"/>
        <w:rPr>
          <w:rFonts w:eastAsia="Times New Roman"/>
          <w:szCs w:val="20"/>
        </w:rPr>
      </w:pPr>
      <w:r w:rsidRPr="00E26C8E">
        <w:rPr>
          <w:rFonts w:eastAsia="Times New Roman"/>
          <w:szCs w:val="20"/>
        </w:rPr>
        <w:t>4.</w:t>
      </w:r>
      <w:r w:rsidRPr="00E26C8E">
        <w:rPr>
          <w:rFonts w:eastAsia="Times New Roman"/>
          <w:szCs w:val="20"/>
        </w:rPr>
        <w:tab/>
        <w:t>Provide holding company name if application is made by a subsidiary.</w:t>
      </w:r>
    </w:p>
    <w:p w:rsidR="00E26C8E" w:rsidRPr="00E26C8E" w:rsidRDefault="00E26C8E" w:rsidP="00E26C8E">
      <w:pPr>
        <w:ind w:left="567" w:hanging="284"/>
        <w:rPr>
          <w:rFonts w:eastAsia="Times New Roman"/>
          <w:szCs w:val="20"/>
        </w:rPr>
      </w:pPr>
      <w:r w:rsidRPr="00E26C8E">
        <w:rPr>
          <w:rFonts w:eastAsia="Times New Roman"/>
          <w:szCs w:val="20"/>
        </w:rPr>
        <w:t>5.</w:t>
      </w:r>
      <w:r w:rsidRPr="00E26C8E">
        <w:rPr>
          <w:rFonts w:eastAsia="Times New Roman"/>
          <w:szCs w:val="20"/>
        </w:rPr>
        <w:tab/>
        <w:t>Size and location of area (in km2) under application: only attach a plan if the licence area is to be reduced. Show current area and proposed reduced area. The plan must comply with the requirements of section 56E of the Mining Act.</w:t>
      </w:r>
    </w:p>
    <w:p w:rsidR="00E26C8E" w:rsidRPr="00E26C8E" w:rsidRDefault="00E26C8E" w:rsidP="00E26C8E">
      <w:pPr>
        <w:ind w:left="567" w:hanging="284"/>
        <w:rPr>
          <w:rFonts w:eastAsia="Times New Roman"/>
          <w:szCs w:val="20"/>
        </w:rPr>
      </w:pPr>
      <w:r w:rsidRPr="00E26C8E">
        <w:rPr>
          <w:rFonts w:eastAsia="Times New Roman"/>
          <w:szCs w:val="20"/>
        </w:rPr>
        <w:t>6.</w:t>
      </w:r>
      <w:r w:rsidRPr="00E26C8E">
        <w:rPr>
          <w:rFonts w:eastAsia="Times New Roman"/>
          <w:szCs w:val="20"/>
        </w:rPr>
        <w:tab/>
        <w:t>List all ELs held that are currently active and pending EL applications within South Australia.</w:t>
      </w:r>
    </w:p>
    <w:p w:rsidR="00E26C8E" w:rsidRPr="00E26C8E" w:rsidRDefault="00E26C8E" w:rsidP="00E26C8E">
      <w:pPr>
        <w:ind w:left="567" w:hanging="284"/>
        <w:rPr>
          <w:rFonts w:eastAsia="Times New Roman"/>
          <w:szCs w:val="20"/>
        </w:rPr>
      </w:pPr>
      <w:r w:rsidRPr="00E26C8E">
        <w:rPr>
          <w:rFonts w:eastAsia="Times New Roman"/>
          <w:szCs w:val="20"/>
        </w:rPr>
        <w:t>7.</w:t>
      </w:r>
      <w:r w:rsidRPr="00E26C8E">
        <w:rPr>
          <w:rFonts w:eastAsia="Times New Roman"/>
          <w:szCs w:val="20"/>
        </w:rPr>
        <w:tab/>
        <w:t>Details of contact person for the application, including name, address, contact numbers, email address, authorisation from applicant if contact person is an agent or tenement manager, and demonstrate whether that person consents to receiving tenement related correspondence via electronic means.</w:t>
      </w:r>
    </w:p>
    <w:p w:rsidR="00E26C8E" w:rsidRPr="00E26C8E" w:rsidRDefault="00E26C8E" w:rsidP="00E26C8E">
      <w:pPr>
        <w:ind w:left="567" w:hanging="284"/>
        <w:rPr>
          <w:rFonts w:eastAsia="Times New Roman"/>
          <w:szCs w:val="20"/>
        </w:rPr>
      </w:pPr>
      <w:r w:rsidRPr="00E26C8E">
        <w:rPr>
          <w:rFonts w:eastAsia="Times New Roman"/>
          <w:szCs w:val="20"/>
        </w:rPr>
        <w:t>8.</w:t>
      </w:r>
      <w:r w:rsidRPr="00E26C8E">
        <w:rPr>
          <w:rFonts w:eastAsia="Times New Roman"/>
          <w:szCs w:val="20"/>
        </w:rPr>
        <w:tab/>
        <w:t>Where the EL is subject to an amalgamated expenditure arrangement (AEA) under section 30AAA(10) of the Mining Act, the following information must be included in the application for renewal of an EL:</w:t>
      </w:r>
    </w:p>
    <w:p w:rsidR="00E26C8E" w:rsidRPr="00E26C8E" w:rsidRDefault="00E26C8E" w:rsidP="00E26C8E">
      <w:pPr>
        <w:ind w:left="851" w:hanging="284"/>
        <w:rPr>
          <w:rFonts w:eastAsia="Times New Roman"/>
          <w:szCs w:val="20"/>
        </w:rPr>
      </w:pPr>
      <w:r w:rsidRPr="00E26C8E">
        <w:rPr>
          <w:rFonts w:eastAsia="Times New Roman"/>
          <w:szCs w:val="20"/>
        </w:rPr>
        <w:t>a.</w:t>
      </w:r>
      <w:r w:rsidRPr="00E26C8E">
        <w:rPr>
          <w:rFonts w:eastAsia="Times New Roman"/>
          <w:szCs w:val="20"/>
        </w:rPr>
        <w:tab/>
        <w:t>AEA name</w:t>
      </w:r>
    </w:p>
    <w:p w:rsidR="00E26C8E" w:rsidRPr="00E26C8E" w:rsidRDefault="00E26C8E" w:rsidP="00E26C8E">
      <w:pPr>
        <w:ind w:left="851" w:hanging="284"/>
        <w:rPr>
          <w:rFonts w:eastAsia="Times New Roman"/>
          <w:szCs w:val="20"/>
        </w:rPr>
      </w:pPr>
      <w:r w:rsidRPr="00E26C8E">
        <w:rPr>
          <w:rFonts w:eastAsia="Times New Roman"/>
          <w:szCs w:val="20"/>
        </w:rPr>
        <w:t>b.</w:t>
      </w:r>
      <w:r w:rsidRPr="00E26C8E">
        <w:rPr>
          <w:rFonts w:eastAsia="Times New Roman"/>
          <w:szCs w:val="20"/>
        </w:rPr>
        <w:tab/>
        <w:t>AEA period end date.</w:t>
      </w:r>
    </w:p>
    <w:p w:rsidR="00E26C8E" w:rsidRPr="00E26C8E" w:rsidRDefault="00E26C8E" w:rsidP="00E26C8E">
      <w:pPr>
        <w:ind w:left="284" w:hanging="284"/>
        <w:rPr>
          <w:rFonts w:eastAsia="Times New Roman"/>
          <w:b/>
          <w:szCs w:val="20"/>
        </w:rPr>
      </w:pPr>
      <w:r w:rsidRPr="00E26C8E">
        <w:rPr>
          <w:rFonts w:eastAsia="Times New Roman"/>
          <w:b/>
          <w:szCs w:val="20"/>
        </w:rPr>
        <w:t>2.</w:t>
      </w:r>
      <w:r w:rsidRPr="00E26C8E">
        <w:rPr>
          <w:rFonts w:eastAsia="Times New Roman"/>
          <w:b/>
          <w:szCs w:val="20"/>
        </w:rPr>
        <w:tab/>
        <w:t>SUPPORTING INFORMATION UNDER REGULATION 28 OF THE MINING REGULATIONS</w:t>
      </w:r>
    </w:p>
    <w:p w:rsidR="00E26C8E" w:rsidRPr="00E26C8E" w:rsidRDefault="00E26C8E" w:rsidP="00E26C8E">
      <w:pPr>
        <w:ind w:left="284"/>
        <w:rPr>
          <w:rFonts w:eastAsia="Times New Roman"/>
          <w:szCs w:val="20"/>
        </w:rPr>
      </w:pPr>
      <w:r w:rsidRPr="00E26C8E">
        <w:rPr>
          <w:rFonts w:eastAsia="Times New Roman"/>
          <w:szCs w:val="20"/>
        </w:rPr>
        <w:t>An application for renewal of an EL must be accompanied by information set out in regulation 28(1) of the Mining Regulations and must comply with the following determinations of this Terms of Reference:</w:t>
      </w:r>
    </w:p>
    <w:p w:rsidR="00E26C8E" w:rsidRPr="00E26C8E" w:rsidRDefault="00E26C8E" w:rsidP="00E26C8E">
      <w:pPr>
        <w:ind w:left="567" w:hanging="284"/>
        <w:rPr>
          <w:rFonts w:eastAsia="Times New Roman"/>
          <w:b/>
          <w:szCs w:val="20"/>
        </w:rPr>
      </w:pPr>
      <w:r w:rsidRPr="00E26C8E">
        <w:rPr>
          <w:rFonts w:eastAsia="Times New Roman"/>
          <w:b/>
          <w:szCs w:val="20"/>
        </w:rPr>
        <w:t>A.</w:t>
      </w:r>
      <w:r w:rsidRPr="00E26C8E">
        <w:rPr>
          <w:rFonts w:eastAsia="Times New Roman"/>
          <w:b/>
          <w:szCs w:val="20"/>
        </w:rPr>
        <w:tab/>
        <w:t>Statement of performance for the previous term</w:t>
      </w:r>
    </w:p>
    <w:p w:rsidR="00E26C8E" w:rsidRPr="00E26C8E" w:rsidRDefault="00E26C8E" w:rsidP="00E26C8E">
      <w:pPr>
        <w:ind w:left="567"/>
        <w:rPr>
          <w:rFonts w:eastAsia="Times New Roman"/>
          <w:szCs w:val="20"/>
        </w:rPr>
      </w:pPr>
      <w:r w:rsidRPr="00E26C8E">
        <w:rPr>
          <w:rFonts w:eastAsia="Times New Roman"/>
          <w:szCs w:val="20"/>
        </w:rPr>
        <w:t>In preparing a statement under regulation 28(1)(a) of the Mining Regulations that outlines the performance for the previous term under the EL, the Minister determines in accordance with regulation 28(1)(a) and regulations 28(2) that this statement must be supported by the following information:</w:t>
      </w:r>
    </w:p>
    <w:p w:rsidR="00E26C8E" w:rsidRPr="00E26C8E" w:rsidRDefault="00E26C8E" w:rsidP="00E26C8E">
      <w:pPr>
        <w:ind w:left="851" w:hanging="284"/>
        <w:rPr>
          <w:rFonts w:eastAsia="Times New Roman"/>
          <w:szCs w:val="20"/>
        </w:rPr>
      </w:pPr>
      <w:r w:rsidRPr="00E26C8E">
        <w:rPr>
          <w:rFonts w:eastAsia="Times New Roman"/>
          <w:szCs w:val="20"/>
        </w:rPr>
        <w:t>1.</w:t>
      </w:r>
      <w:r w:rsidRPr="00E26C8E">
        <w:rPr>
          <w:rFonts w:eastAsia="Times New Roman"/>
          <w:szCs w:val="20"/>
        </w:rPr>
        <w:tab/>
        <w:t>A summary of exploration operations conducted and total expenditure incurred over the term.</w:t>
      </w:r>
    </w:p>
    <w:p w:rsidR="00E26C8E" w:rsidRPr="00E26C8E" w:rsidRDefault="00E26C8E" w:rsidP="00E26C8E">
      <w:pPr>
        <w:ind w:left="851" w:hanging="284"/>
        <w:rPr>
          <w:rFonts w:eastAsia="Times New Roman"/>
          <w:szCs w:val="20"/>
        </w:rPr>
      </w:pPr>
      <w:r w:rsidRPr="00E26C8E">
        <w:rPr>
          <w:rFonts w:eastAsia="Times New Roman"/>
          <w:szCs w:val="20"/>
        </w:rPr>
        <w:t>2.</w:t>
      </w:r>
      <w:r w:rsidRPr="00E26C8E">
        <w:rPr>
          <w:rFonts w:eastAsia="Times New Roman"/>
          <w:szCs w:val="20"/>
        </w:rPr>
        <w:tab/>
        <w:t>A discussion of the success or otherwise of exploration for the principal mineral(s) sought at the start of the licence term, and the results in relation to the testing of the nominated exploration model(s).</w:t>
      </w:r>
    </w:p>
    <w:p w:rsidR="00E26C8E" w:rsidRPr="00E26C8E" w:rsidRDefault="00E26C8E" w:rsidP="00E26C8E">
      <w:pPr>
        <w:spacing w:after="0" w:line="240" w:lineRule="auto"/>
        <w:jc w:val="left"/>
        <w:rPr>
          <w:rFonts w:eastAsia="Times New Roman"/>
          <w:szCs w:val="20"/>
        </w:rPr>
      </w:pPr>
      <w:r w:rsidRPr="00E26C8E">
        <w:rPr>
          <w:rFonts w:eastAsia="Times New Roman"/>
          <w:szCs w:val="20"/>
        </w:rPr>
        <w:br w:type="page"/>
      </w:r>
    </w:p>
    <w:p w:rsidR="00E26C8E" w:rsidRPr="00E26C8E" w:rsidRDefault="00E26C8E" w:rsidP="00E26C8E">
      <w:pPr>
        <w:ind w:left="851" w:hanging="284"/>
        <w:rPr>
          <w:rFonts w:eastAsia="Times New Roman"/>
          <w:szCs w:val="20"/>
        </w:rPr>
      </w:pPr>
      <w:r w:rsidRPr="00E26C8E">
        <w:rPr>
          <w:rFonts w:eastAsia="Times New Roman"/>
          <w:szCs w:val="20"/>
        </w:rPr>
        <w:t>3.</w:t>
      </w:r>
      <w:r w:rsidRPr="00E26C8E">
        <w:rPr>
          <w:rFonts w:eastAsia="Times New Roman"/>
          <w:szCs w:val="20"/>
        </w:rPr>
        <w:tab/>
        <w:t>A summary of stakeholder engagement undertaken including:</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a copy of the stakeholder engagement plan</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an explanation of how the engagement plan has been implemented and updated to maintain currency</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timing/frequency and mode of engagement</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any issues raised, and the steps (if any) taken or proposed to be taken to address those issues.</w:t>
      </w:r>
    </w:p>
    <w:p w:rsidR="00E26C8E" w:rsidRPr="00E26C8E" w:rsidRDefault="00E26C8E" w:rsidP="00E26C8E">
      <w:pPr>
        <w:ind w:left="851" w:hanging="284"/>
        <w:rPr>
          <w:rFonts w:eastAsia="Times New Roman"/>
          <w:szCs w:val="20"/>
        </w:rPr>
      </w:pPr>
      <w:r w:rsidRPr="00E26C8E">
        <w:rPr>
          <w:rFonts w:eastAsia="Times New Roman"/>
          <w:szCs w:val="20"/>
        </w:rPr>
        <w:t>4.</w:t>
      </w:r>
      <w:r w:rsidRPr="00E26C8E">
        <w:rPr>
          <w:rFonts w:eastAsia="Times New Roman"/>
          <w:szCs w:val="20"/>
        </w:rPr>
        <w:tab/>
        <w:t>If there have been any breaches of the Mining Act, Mining Regulations or licence conditions over the previous term, information on the steps taken to remedy these issues and improvements made so that similar breaches do not occur in the future.</w:t>
      </w:r>
    </w:p>
    <w:p w:rsidR="00E26C8E" w:rsidRPr="00E26C8E" w:rsidRDefault="00E26C8E" w:rsidP="00E26C8E">
      <w:pPr>
        <w:ind w:left="567" w:hanging="283"/>
        <w:rPr>
          <w:rFonts w:eastAsia="Times New Roman"/>
          <w:b/>
          <w:szCs w:val="20"/>
        </w:rPr>
      </w:pPr>
      <w:r w:rsidRPr="00E26C8E">
        <w:rPr>
          <w:rFonts w:eastAsia="Times New Roman"/>
          <w:b/>
          <w:szCs w:val="20"/>
        </w:rPr>
        <w:t>B.</w:t>
      </w:r>
      <w:r w:rsidRPr="00E26C8E">
        <w:rPr>
          <w:rFonts w:eastAsia="Times New Roman"/>
          <w:b/>
          <w:szCs w:val="20"/>
        </w:rPr>
        <w:tab/>
        <w:t>Statement of proposed exploration operations and expenditure</w:t>
      </w:r>
    </w:p>
    <w:p w:rsidR="00E26C8E" w:rsidRPr="00E26C8E" w:rsidRDefault="00E26C8E" w:rsidP="00E26C8E">
      <w:pPr>
        <w:ind w:left="567"/>
        <w:rPr>
          <w:rFonts w:eastAsia="Times New Roman"/>
          <w:szCs w:val="20"/>
        </w:rPr>
      </w:pPr>
      <w:r w:rsidRPr="00E26C8E">
        <w:rPr>
          <w:rFonts w:eastAsia="Times New Roman"/>
          <w:szCs w:val="20"/>
        </w:rPr>
        <w:t>In preparing a statement under regulation 28(1)(b) of the Mining Regulations that outlines the exploration operations that the tenement holder intends to carry out under the exploration licence for the first two years of operations under the renewed licence and declaring the amount of expenditure that is estimated to occur in carrying out those operations, the Minister determines in accordance with regulation 28(2) of the Mining Regulations that this statement must be supported by the following information:</w:t>
      </w:r>
    </w:p>
    <w:p w:rsidR="00E26C8E" w:rsidRPr="00E26C8E" w:rsidRDefault="00E26C8E" w:rsidP="00E26C8E">
      <w:pPr>
        <w:ind w:left="851" w:hanging="283"/>
        <w:rPr>
          <w:rFonts w:eastAsia="Times New Roman"/>
          <w:szCs w:val="20"/>
        </w:rPr>
      </w:pPr>
      <w:r w:rsidRPr="00E26C8E">
        <w:rPr>
          <w:rFonts w:eastAsia="Times New Roman"/>
          <w:szCs w:val="20"/>
        </w:rPr>
        <w:t>•</w:t>
      </w:r>
      <w:r w:rsidRPr="00E26C8E">
        <w:rPr>
          <w:rFonts w:eastAsia="Times New Roman"/>
          <w:szCs w:val="20"/>
        </w:rPr>
        <w:tab/>
        <w:t>A phased and costed breakdown of proposed operations including geoscientific investigation/evaluation, ongoing stakeholder engagement and environmental management activities for the licence area.</w:t>
      </w:r>
    </w:p>
    <w:p w:rsidR="00E26C8E" w:rsidRPr="00E26C8E" w:rsidRDefault="00E26C8E" w:rsidP="00E26C8E">
      <w:pPr>
        <w:ind w:left="567" w:hanging="283"/>
        <w:rPr>
          <w:rFonts w:eastAsia="Times New Roman"/>
          <w:b/>
          <w:szCs w:val="20"/>
        </w:rPr>
      </w:pPr>
      <w:r w:rsidRPr="00E26C8E">
        <w:rPr>
          <w:rFonts w:eastAsia="Times New Roman"/>
          <w:b/>
          <w:szCs w:val="20"/>
        </w:rPr>
        <w:t>C.</w:t>
      </w:r>
      <w:r w:rsidRPr="00E26C8E">
        <w:rPr>
          <w:rFonts w:eastAsia="Times New Roman"/>
          <w:b/>
          <w:szCs w:val="20"/>
        </w:rPr>
        <w:tab/>
        <w:t>Principal mineral(s) sought and exploration model</w:t>
      </w:r>
    </w:p>
    <w:p w:rsidR="00E26C8E" w:rsidRPr="00E26C8E" w:rsidRDefault="00E26C8E" w:rsidP="00E26C8E">
      <w:pPr>
        <w:ind w:left="567"/>
        <w:rPr>
          <w:rFonts w:eastAsia="Times New Roman"/>
          <w:szCs w:val="20"/>
        </w:rPr>
      </w:pPr>
      <w:r w:rsidRPr="00E26C8E">
        <w:rPr>
          <w:rFonts w:eastAsia="Times New Roman"/>
          <w:szCs w:val="20"/>
        </w:rPr>
        <w:t>In preparing a statement under regulation 28(1)(c) of the Mining Regulations that outlines the exploration model that the applicant intends to employ over the next term for the purposes of exploring for the nominated mineral or minerals, the Minister determines in accordance with regulation 28(2) of the Mining Regulations that this statement must be supported by the following information:</w:t>
      </w:r>
    </w:p>
    <w:p w:rsidR="00E26C8E" w:rsidRPr="00E26C8E" w:rsidRDefault="00E26C8E" w:rsidP="00E26C8E">
      <w:pPr>
        <w:ind w:left="851" w:hanging="283"/>
        <w:rPr>
          <w:rFonts w:eastAsia="Times New Roman"/>
          <w:szCs w:val="20"/>
        </w:rPr>
      </w:pPr>
      <w:r w:rsidRPr="00E26C8E">
        <w:rPr>
          <w:rFonts w:eastAsia="Times New Roman"/>
          <w:szCs w:val="20"/>
        </w:rPr>
        <w:t>•</w:t>
      </w:r>
      <w:r w:rsidRPr="00E26C8E">
        <w:rPr>
          <w:rFonts w:eastAsia="Times New Roman"/>
          <w:szCs w:val="20"/>
        </w:rPr>
        <w:tab/>
        <w:t>Describe the exploration model being employed along with information on how the model has changed/developed over the previous term and how this has informed the design of the proposed exploration operations for the next term.</w:t>
      </w:r>
    </w:p>
    <w:p w:rsidR="00E26C8E" w:rsidRPr="00E26C8E" w:rsidRDefault="00E26C8E" w:rsidP="00E26C8E">
      <w:pPr>
        <w:ind w:left="567" w:hanging="283"/>
        <w:rPr>
          <w:rFonts w:eastAsia="Times New Roman"/>
          <w:b/>
          <w:szCs w:val="20"/>
        </w:rPr>
      </w:pPr>
      <w:r w:rsidRPr="00E26C8E">
        <w:rPr>
          <w:rFonts w:eastAsia="Times New Roman"/>
          <w:b/>
          <w:szCs w:val="20"/>
        </w:rPr>
        <w:t>D.</w:t>
      </w:r>
      <w:r w:rsidRPr="00E26C8E">
        <w:rPr>
          <w:rFonts w:eastAsia="Times New Roman"/>
          <w:b/>
          <w:szCs w:val="20"/>
        </w:rPr>
        <w:tab/>
        <w:t>Technical and operational capability/resources</w:t>
      </w:r>
    </w:p>
    <w:p w:rsidR="00E26C8E" w:rsidRPr="00E26C8E" w:rsidRDefault="00E26C8E" w:rsidP="00E26C8E">
      <w:pPr>
        <w:ind w:left="567"/>
        <w:rPr>
          <w:rFonts w:eastAsia="Times New Roman"/>
          <w:szCs w:val="20"/>
        </w:rPr>
      </w:pPr>
      <w:r w:rsidRPr="00E26C8E">
        <w:rPr>
          <w:rFonts w:eastAsia="Times New Roman"/>
          <w:szCs w:val="20"/>
        </w:rPr>
        <w:t>In preparing a statement under regulation 28(1)(d) of the Mining Regulations that outlines the technical and operational capabilities and resources available to the applicant for the purpose of carrying out operations that the tenement holder intends to carry out under the exploration licence, the Minister determines in accordance with regulation 28(2) of the Mining Regulations that this statement must supported by the following evidence/information:</w:t>
      </w:r>
    </w:p>
    <w:p w:rsidR="00E26C8E" w:rsidRPr="00E26C8E" w:rsidRDefault="00E26C8E" w:rsidP="00E26C8E">
      <w:pPr>
        <w:ind w:left="851" w:hanging="283"/>
        <w:rPr>
          <w:rFonts w:eastAsia="Times New Roman"/>
          <w:szCs w:val="20"/>
        </w:rPr>
      </w:pPr>
      <w:r w:rsidRPr="00E26C8E">
        <w:rPr>
          <w:rFonts w:eastAsia="Times New Roman"/>
          <w:szCs w:val="20"/>
        </w:rPr>
        <w:t>•</w:t>
      </w:r>
      <w:r w:rsidRPr="00E26C8E">
        <w:rPr>
          <w:rFonts w:eastAsia="Times New Roman"/>
          <w:szCs w:val="20"/>
        </w:rPr>
        <w:tab/>
        <w:t>The names, relevant qualifications, experience and professional affiliations (where applicable) of employees, contractors and/or consultants who will be responsible for the management, implementation and reporting of the various aspects of the proposed exploration operations.</w:t>
      </w:r>
    </w:p>
    <w:p w:rsidR="00E26C8E" w:rsidRPr="00E26C8E" w:rsidRDefault="00E26C8E" w:rsidP="00E26C8E">
      <w:pPr>
        <w:ind w:left="851" w:hanging="283"/>
        <w:rPr>
          <w:rFonts w:eastAsia="Times New Roman"/>
          <w:szCs w:val="20"/>
        </w:rPr>
      </w:pPr>
      <w:r w:rsidRPr="00E26C8E">
        <w:rPr>
          <w:rFonts w:eastAsia="Times New Roman"/>
          <w:szCs w:val="20"/>
        </w:rPr>
        <w:t>•</w:t>
      </w:r>
      <w:r w:rsidRPr="00E26C8E">
        <w:rPr>
          <w:rFonts w:eastAsia="Times New Roman"/>
          <w:szCs w:val="20"/>
        </w:rPr>
        <w:tab/>
        <w:t>A statement of continued awareness and understanding of environmental, land use and stakeholder engagement aspects to be managed for the next term of the exploration licence including information on how the stakeholder engagement plan will continue to be implemented and updated.</w:t>
      </w:r>
    </w:p>
    <w:p w:rsidR="00E26C8E" w:rsidRPr="00E26C8E" w:rsidRDefault="00E26C8E" w:rsidP="00E26C8E">
      <w:pPr>
        <w:spacing w:after="0"/>
        <w:rPr>
          <w:rFonts w:eastAsia="Times New Roman"/>
          <w:szCs w:val="17"/>
        </w:rPr>
      </w:pPr>
      <w:r w:rsidRPr="00E26C8E">
        <w:rPr>
          <w:rFonts w:eastAsia="Times New Roman"/>
          <w:szCs w:val="17"/>
        </w:rPr>
        <w:t>Dated: 11 December 2020</w:t>
      </w:r>
    </w:p>
    <w:p w:rsidR="00E26C8E" w:rsidRPr="00E26C8E" w:rsidRDefault="00E26C8E" w:rsidP="00E26C8E">
      <w:pPr>
        <w:spacing w:after="0"/>
        <w:jc w:val="right"/>
        <w:rPr>
          <w:rFonts w:eastAsia="Times New Roman"/>
          <w:smallCaps/>
          <w:szCs w:val="20"/>
        </w:rPr>
      </w:pPr>
      <w:r w:rsidRPr="00E26C8E">
        <w:rPr>
          <w:rFonts w:eastAsia="Times New Roman"/>
          <w:smallCaps/>
          <w:szCs w:val="20"/>
        </w:rPr>
        <w:t>Hon. Daniel van Holst Pellekaan</w:t>
      </w:r>
    </w:p>
    <w:p w:rsidR="00E26C8E" w:rsidRPr="00E26C8E" w:rsidRDefault="00E26C8E" w:rsidP="00E26C8E">
      <w:pPr>
        <w:spacing w:after="0"/>
        <w:jc w:val="right"/>
        <w:rPr>
          <w:rFonts w:eastAsia="Times New Roman"/>
          <w:szCs w:val="17"/>
        </w:rPr>
      </w:pPr>
      <w:r w:rsidRPr="00E26C8E">
        <w:rPr>
          <w:rFonts w:eastAsia="Times New Roman"/>
          <w:szCs w:val="17"/>
        </w:rPr>
        <w:t>Minister for Energy and Mining</w:t>
      </w:r>
    </w:p>
    <w:p w:rsidR="00E26C8E" w:rsidRPr="00E26C8E" w:rsidRDefault="00E26C8E" w:rsidP="00E26C8E">
      <w:pPr>
        <w:pBdr>
          <w:top w:val="single" w:sz="4" w:space="1" w:color="auto"/>
        </w:pBdr>
        <w:spacing w:before="100" w:after="0" w:line="14" w:lineRule="exact"/>
        <w:jc w:val="center"/>
        <w:rPr>
          <w:rFonts w:eastAsia="Times New Roman"/>
          <w:szCs w:val="20"/>
        </w:rPr>
      </w:pPr>
    </w:p>
    <w:p w:rsidR="00E26C8E" w:rsidRPr="00E26C8E" w:rsidRDefault="00E26C8E" w:rsidP="00E26C8E">
      <w:pPr>
        <w:rPr>
          <w:rFonts w:eastAsia="Times New Roman"/>
          <w:szCs w:val="20"/>
        </w:rPr>
      </w:pPr>
    </w:p>
    <w:p w:rsidR="00E26C8E" w:rsidRPr="00E26C8E" w:rsidRDefault="00E26C8E" w:rsidP="00E26C8E">
      <w:pPr>
        <w:jc w:val="center"/>
        <w:rPr>
          <w:caps/>
          <w:szCs w:val="17"/>
        </w:rPr>
      </w:pPr>
      <w:r w:rsidRPr="00E26C8E">
        <w:rPr>
          <w:caps/>
          <w:szCs w:val="17"/>
        </w:rPr>
        <w:t>Mining Act 1971</w:t>
      </w:r>
    </w:p>
    <w:p w:rsidR="00E26C8E" w:rsidRPr="00E26C8E" w:rsidRDefault="00E26C8E" w:rsidP="00E26C8E">
      <w:pPr>
        <w:jc w:val="center"/>
        <w:rPr>
          <w:smallCaps/>
          <w:szCs w:val="17"/>
        </w:rPr>
      </w:pPr>
      <w:r w:rsidRPr="00E26C8E">
        <w:rPr>
          <w:smallCaps/>
          <w:szCs w:val="17"/>
        </w:rPr>
        <w:t>Section 36</w:t>
      </w:r>
    </w:p>
    <w:p w:rsidR="00E26C8E" w:rsidRPr="00E26C8E" w:rsidRDefault="00E26C8E" w:rsidP="00E26C8E">
      <w:pPr>
        <w:jc w:val="center"/>
        <w:rPr>
          <w:i/>
          <w:szCs w:val="17"/>
        </w:rPr>
      </w:pPr>
      <w:r w:rsidRPr="00E26C8E">
        <w:rPr>
          <w:i/>
          <w:szCs w:val="17"/>
        </w:rPr>
        <w:t>Terms of Reference for Extractive Mineral Quarry Lease/Licence Applications</w:t>
      </w:r>
    </w:p>
    <w:p w:rsidR="00E26C8E" w:rsidRPr="00E26C8E" w:rsidRDefault="00E26C8E" w:rsidP="00E26C8E">
      <w:pPr>
        <w:rPr>
          <w:rFonts w:eastAsia="Times New Roman"/>
          <w:szCs w:val="20"/>
        </w:rPr>
      </w:pPr>
      <w:r w:rsidRPr="00E26C8E">
        <w:rPr>
          <w:rFonts w:eastAsia="Times New Roman"/>
          <w:szCs w:val="20"/>
        </w:rPr>
        <w:t>An application for a mining lease (EML) for the recovery of extractive minerals must be accompanied by:</w:t>
      </w:r>
    </w:p>
    <w:p w:rsidR="00E26C8E" w:rsidRPr="00E26C8E" w:rsidRDefault="00E26C8E" w:rsidP="00E26C8E">
      <w:pPr>
        <w:ind w:left="426" w:hanging="284"/>
        <w:rPr>
          <w:rFonts w:eastAsia="Times New Roman"/>
          <w:szCs w:val="20"/>
        </w:rPr>
      </w:pPr>
      <w:r w:rsidRPr="00E26C8E">
        <w:rPr>
          <w:rFonts w:eastAsia="Times New Roman"/>
          <w:szCs w:val="20"/>
        </w:rPr>
        <w:t>•</w:t>
      </w:r>
      <w:r w:rsidRPr="00E26C8E">
        <w:rPr>
          <w:rFonts w:eastAsia="Times New Roman"/>
          <w:szCs w:val="20"/>
        </w:rPr>
        <w:tab/>
        <w:t xml:space="preserve">a proposal that complies with section 36 of the </w:t>
      </w:r>
      <w:r w:rsidRPr="00E26C8E">
        <w:rPr>
          <w:rFonts w:eastAsia="Times New Roman"/>
          <w:i/>
          <w:szCs w:val="20"/>
        </w:rPr>
        <w:t>Mining Act 1971</w:t>
      </w:r>
      <w:r w:rsidRPr="00E26C8E">
        <w:rPr>
          <w:rFonts w:eastAsia="Times New Roman"/>
          <w:szCs w:val="20"/>
        </w:rPr>
        <w:t xml:space="preserve">, regulations 46 and 47 of the </w:t>
      </w:r>
      <w:r w:rsidRPr="00E26C8E">
        <w:rPr>
          <w:rFonts w:eastAsia="Times New Roman"/>
          <w:i/>
          <w:szCs w:val="20"/>
        </w:rPr>
        <w:t>Mining Regulations 2020</w:t>
      </w:r>
      <w:r w:rsidRPr="00E26C8E">
        <w:rPr>
          <w:rFonts w:eastAsia="Times New Roman"/>
          <w:szCs w:val="20"/>
        </w:rPr>
        <w:t xml:space="preserve"> and any determinations set out in this Terms of Reference; and</w:t>
      </w:r>
    </w:p>
    <w:p w:rsidR="00E26C8E" w:rsidRPr="00E26C8E" w:rsidRDefault="00E26C8E" w:rsidP="00E26C8E">
      <w:pPr>
        <w:ind w:left="426" w:hanging="284"/>
        <w:rPr>
          <w:rFonts w:eastAsia="Times New Roman"/>
          <w:szCs w:val="20"/>
        </w:rPr>
      </w:pPr>
      <w:r w:rsidRPr="00E26C8E">
        <w:rPr>
          <w:rFonts w:eastAsia="Times New Roman"/>
          <w:szCs w:val="20"/>
        </w:rPr>
        <w:t>•</w:t>
      </w:r>
      <w:r w:rsidRPr="00E26C8E">
        <w:rPr>
          <w:rFonts w:eastAsia="Times New Roman"/>
          <w:szCs w:val="20"/>
        </w:rPr>
        <w:tab/>
        <w:t xml:space="preserve">information that complies with regulation 30 of the </w:t>
      </w:r>
      <w:r w:rsidRPr="00E26C8E">
        <w:rPr>
          <w:rFonts w:eastAsia="Times New Roman"/>
          <w:i/>
          <w:szCs w:val="20"/>
        </w:rPr>
        <w:t>Mining Regulations 2020</w:t>
      </w:r>
      <w:r w:rsidRPr="00E26C8E">
        <w:rPr>
          <w:rFonts w:eastAsia="Times New Roman"/>
          <w:szCs w:val="20"/>
        </w:rPr>
        <w:t xml:space="preserve"> and any determinations set out in this Terms of Reference; and</w:t>
      </w:r>
    </w:p>
    <w:p w:rsidR="00E26C8E" w:rsidRPr="00E26C8E" w:rsidRDefault="00E26C8E" w:rsidP="00E26C8E">
      <w:pPr>
        <w:ind w:left="426" w:hanging="284"/>
        <w:rPr>
          <w:rFonts w:eastAsia="Times New Roman"/>
          <w:szCs w:val="20"/>
        </w:rPr>
      </w:pPr>
      <w:r w:rsidRPr="00E26C8E">
        <w:rPr>
          <w:rFonts w:eastAsia="Times New Roman"/>
          <w:szCs w:val="20"/>
        </w:rPr>
        <w:t>•</w:t>
      </w:r>
      <w:r w:rsidRPr="00E26C8E">
        <w:rPr>
          <w:rFonts w:eastAsia="Times New Roman"/>
          <w:szCs w:val="20"/>
        </w:rPr>
        <w:tab/>
        <w:t xml:space="preserve">a declaration of accuracy that complies with regulation 84 of the </w:t>
      </w:r>
      <w:r w:rsidRPr="00E26C8E">
        <w:rPr>
          <w:rFonts w:eastAsia="Times New Roman"/>
          <w:i/>
          <w:szCs w:val="20"/>
        </w:rPr>
        <w:t>Mining Regulations 2020</w:t>
      </w:r>
      <w:r w:rsidRPr="00E26C8E">
        <w:rPr>
          <w:rFonts w:eastAsia="Times New Roman"/>
          <w:szCs w:val="20"/>
        </w:rPr>
        <w:t>; and</w:t>
      </w:r>
    </w:p>
    <w:p w:rsidR="00E26C8E" w:rsidRPr="00E26C8E" w:rsidRDefault="00E26C8E" w:rsidP="00E26C8E">
      <w:pPr>
        <w:ind w:left="426" w:hanging="284"/>
        <w:rPr>
          <w:rFonts w:eastAsia="Times New Roman"/>
          <w:szCs w:val="20"/>
        </w:rPr>
      </w:pPr>
      <w:r w:rsidRPr="00E26C8E">
        <w:rPr>
          <w:rFonts w:eastAsia="Times New Roman"/>
          <w:szCs w:val="20"/>
        </w:rPr>
        <w:t>•</w:t>
      </w:r>
      <w:r w:rsidRPr="00E26C8E">
        <w:rPr>
          <w:rFonts w:eastAsia="Times New Roman"/>
          <w:szCs w:val="20"/>
        </w:rPr>
        <w:tab/>
        <w:t>the relevant application fee.</w:t>
      </w:r>
    </w:p>
    <w:p w:rsidR="00E26C8E" w:rsidRPr="00E26C8E" w:rsidRDefault="00E26C8E" w:rsidP="00E26C8E">
      <w:pPr>
        <w:rPr>
          <w:rFonts w:eastAsia="Times New Roman"/>
          <w:szCs w:val="20"/>
        </w:rPr>
      </w:pPr>
      <w:r w:rsidRPr="00E26C8E">
        <w:rPr>
          <w:rFonts w:eastAsia="Times New Roman"/>
          <w:szCs w:val="20"/>
        </w:rPr>
        <w:t>An application for a miscellaneous purposes licence (MPL) for the recovery of extractive minerals must be accompanied by:</w:t>
      </w:r>
    </w:p>
    <w:p w:rsidR="00E26C8E" w:rsidRPr="00E26C8E" w:rsidRDefault="00E26C8E" w:rsidP="00E26C8E">
      <w:pPr>
        <w:ind w:left="426" w:hanging="284"/>
        <w:rPr>
          <w:rFonts w:eastAsia="Times New Roman"/>
          <w:szCs w:val="20"/>
        </w:rPr>
      </w:pPr>
      <w:r w:rsidRPr="00E26C8E">
        <w:rPr>
          <w:rFonts w:eastAsia="Times New Roman"/>
          <w:szCs w:val="20"/>
        </w:rPr>
        <w:t>•</w:t>
      </w:r>
      <w:r w:rsidRPr="00E26C8E">
        <w:rPr>
          <w:rFonts w:eastAsia="Times New Roman"/>
          <w:szCs w:val="20"/>
        </w:rPr>
        <w:tab/>
        <w:t xml:space="preserve">a proposal that complies with section 49 of the </w:t>
      </w:r>
      <w:r w:rsidRPr="00E26C8E">
        <w:rPr>
          <w:rFonts w:eastAsia="Times New Roman"/>
          <w:i/>
          <w:szCs w:val="20"/>
        </w:rPr>
        <w:t>Mining Act 1971</w:t>
      </w:r>
      <w:r w:rsidRPr="00E26C8E">
        <w:rPr>
          <w:rFonts w:eastAsia="Times New Roman"/>
          <w:szCs w:val="20"/>
        </w:rPr>
        <w:t xml:space="preserve">, regulations 46 and 47 of the </w:t>
      </w:r>
      <w:r w:rsidRPr="00E26C8E">
        <w:rPr>
          <w:rFonts w:eastAsia="Times New Roman"/>
          <w:i/>
          <w:szCs w:val="20"/>
        </w:rPr>
        <w:t>Mining Regulations 2020</w:t>
      </w:r>
      <w:r w:rsidRPr="00E26C8E">
        <w:rPr>
          <w:rFonts w:eastAsia="Times New Roman"/>
          <w:szCs w:val="20"/>
        </w:rPr>
        <w:t xml:space="preserve"> and any determinations set out in this Terms of Reference; and</w:t>
      </w:r>
    </w:p>
    <w:p w:rsidR="00E26C8E" w:rsidRPr="00E26C8E" w:rsidRDefault="00E26C8E" w:rsidP="00E26C8E">
      <w:pPr>
        <w:ind w:left="426" w:hanging="284"/>
        <w:rPr>
          <w:rFonts w:eastAsia="Times New Roman"/>
          <w:szCs w:val="20"/>
        </w:rPr>
      </w:pPr>
      <w:r w:rsidRPr="00E26C8E">
        <w:rPr>
          <w:rFonts w:eastAsia="Times New Roman"/>
          <w:szCs w:val="20"/>
        </w:rPr>
        <w:t>•</w:t>
      </w:r>
      <w:r w:rsidRPr="00E26C8E">
        <w:rPr>
          <w:rFonts w:eastAsia="Times New Roman"/>
          <w:szCs w:val="20"/>
        </w:rPr>
        <w:tab/>
        <w:t xml:space="preserve">information that complies with regulations 37 and 38 of the </w:t>
      </w:r>
      <w:r w:rsidRPr="00E26C8E">
        <w:rPr>
          <w:rFonts w:eastAsia="Times New Roman"/>
          <w:i/>
          <w:szCs w:val="20"/>
        </w:rPr>
        <w:t>Mining Regulations 2020</w:t>
      </w:r>
      <w:r w:rsidRPr="00E26C8E">
        <w:rPr>
          <w:rFonts w:eastAsia="Times New Roman"/>
          <w:szCs w:val="20"/>
        </w:rPr>
        <w:t xml:space="preserve"> and any determinations set out in this Terms of Reference; and</w:t>
      </w:r>
    </w:p>
    <w:p w:rsidR="00E26C8E" w:rsidRPr="00E26C8E" w:rsidRDefault="00E26C8E" w:rsidP="00E26C8E">
      <w:pPr>
        <w:ind w:left="426" w:hanging="284"/>
        <w:rPr>
          <w:rFonts w:eastAsia="Times New Roman"/>
          <w:szCs w:val="20"/>
        </w:rPr>
      </w:pPr>
      <w:r w:rsidRPr="00E26C8E">
        <w:rPr>
          <w:rFonts w:eastAsia="Times New Roman"/>
          <w:szCs w:val="20"/>
        </w:rPr>
        <w:t>•</w:t>
      </w:r>
      <w:r w:rsidRPr="00E26C8E">
        <w:rPr>
          <w:rFonts w:eastAsia="Times New Roman"/>
          <w:szCs w:val="20"/>
        </w:rPr>
        <w:tab/>
        <w:t xml:space="preserve">a declaration of accuracy that complies with regulation 84 of the </w:t>
      </w:r>
      <w:r w:rsidRPr="00E26C8E">
        <w:rPr>
          <w:rFonts w:eastAsia="Times New Roman"/>
          <w:i/>
          <w:szCs w:val="20"/>
        </w:rPr>
        <w:t>Mining Regulations 2020</w:t>
      </w:r>
      <w:r w:rsidRPr="00E26C8E">
        <w:rPr>
          <w:rFonts w:eastAsia="Times New Roman"/>
          <w:szCs w:val="20"/>
        </w:rPr>
        <w:t>; and</w:t>
      </w:r>
    </w:p>
    <w:p w:rsidR="00E26C8E" w:rsidRPr="00E26C8E" w:rsidRDefault="00E26C8E" w:rsidP="00E26C8E">
      <w:pPr>
        <w:ind w:left="426" w:hanging="284"/>
        <w:rPr>
          <w:rFonts w:eastAsia="Times New Roman"/>
          <w:szCs w:val="20"/>
        </w:rPr>
      </w:pPr>
      <w:r w:rsidRPr="00E26C8E">
        <w:rPr>
          <w:rFonts w:eastAsia="Times New Roman"/>
          <w:szCs w:val="20"/>
        </w:rPr>
        <w:t>•</w:t>
      </w:r>
      <w:r w:rsidRPr="00E26C8E">
        <w:rPr>
          <w:rFonts w:eastAsia="Times New Roman"/>
          <w:szCs w:val="20"/>
        </w:rPr>
        <w:tab/>
        <w:t>the relevant application fee.</w:t>
      </w:r>
    </w:p>
    <w:p w:rsidR="00E26C8E" w:rsidRPr="00E26C8E" w:rsidRDefault="00E26C8E" w:rsidP="00E26C8E">
      <w:pPr>
        <w:rPr>
          <w:rFonts w:eastAsia="Times New Roman"/>
          <w:szCs w:val="20"/>
        </w:rPr>
      </w:pPr>
      <w:r w:rsidRPr="00E26C8E">
        <w:rPr>
          <w:rFonts w:eastAsia="Times New Roman"/>
          <w:color w:val="000000"/>
          <w:szCs w:val="17"/>
          <w:shd w:val="clear" w:color="auto" w:fill="FFFFFF"/>
        </w:rPr>
        <w:t xml:space="preserve">In </w:t>
      </w:r>
      <w:r w:rsidRPr="00E26C8E">
        <w:rPr>
          <w:rFonts w:eastAsia="Times New Roman"/>
          <w:szCs w:val="20"/>
        </w:rPr>
        <w:t>accordance</w:t>
      </w:r>
      <w:r w:rsidRPr="00E26C8E">
        <w:rPr>
          <w:rFonts w:eastAsia="Times New Roman"/>
          <w:color w:val="000000"/>
          <w:szCs w:val="17"/>
          <w:shd w:val="clear" w:color="auto" w:fill="FFFFFF"/>
        </w:rPr>
        <w:t xml:space="preserve"> with section 36 of the </w:t>
      </w:r>
      <w:r w:rsidRPr="00E26C8E">
        <w:rPr>
          <w:rFonts w:eastAsia="Times New Roman"/>
          <w:i/>
          <w:iCs/>
          <w:color w:val="000000"/>
          <w:szCs w:val="17"/>
          <w:shd w:val="clear" w:color="auto" w:fill="FFFFFF"/>
        </w:rPr>
        <w:t>Mining Act 1971</w:t>
      </w:r>
      <w:r w:rsidRPr="00E26C8E">
        <w:rPr>
          <w:rFonts w:eastAsia="Times New Roman"/>
          <w:color w:val="000000"/>
          <w:szCs w:val="17"/>
          <w:shd w:val="clear" w:color="auto" w:fill="FFFFFF"/>
        </w:rPr>
        <w:t> this Terms of Reference will have effect from 1 January 2021.</w:t>
      </w:r>
    </w:p>
    <w:p w:rsidR="00E26C8E" w:rsidRPr="00E26C8E" w:rsidRDefault="00E26C8E" w:rsidP="00E26C8E">
      <w:pPr>
        <w:ind w:left="284" w:hanging="284"/>
        <w:rPr>
          <w:rFonts w:eastAsia="Times New Roman"/>
          <w:b/>
          <w:szCs w:val="20"/>
        </w:rPr>
      </w:pPr>
      <w:r w:rsidRPr="00E26C8E">
        <w:rPr>
          <w:rFonts w:eastAsia="Times New Roman"/>
          <w:b/>
          <w:szCs w:val="20"/>
        </w:rPr>
        <w:t>FORM OF APPLICATION</w:t>
      </w:r>
    </w:p>
    <w:p w:rsidR="00E26C8E" w:rsidRPr="00E26C8E" w:rsidRDefault="00E26C8E" w:rsidP="00E26C8E">
      <w:pPr>
        <w:ind w:left="142"/>
        <w:rPr>
          <w:rFonts w:eastAsia="Times New Roman"/>
          <w:szCs w:val="20"/>
        </w:rPr>
      </w:pPr>
      <w:r w:rsidRPr="00E26C8E">
        <w:rPr>
          <w:rFonts w:eastAsia="Times New Roman"/>
          <w:szCs w:val="20"/>
        </w:rPr>
        <w:t xml:space="preserve">In accordance with section 36(1)(a) of the </w:t>
      </w:r>
      <w:r w:rsidRPr="00E26C8E">
        <w:rPr>
          <w:rFonts w:eastAsia="Times New Roman"/>
          <w:i/>
          <w:szCs w:val="20"/>
        </w:rPr>
        <w:t>Mining Act 1971</w:t>
      </w:r>
      <w:r w:rsidRPr="00E26C8E">
        <w:rPr>
          <w:rFonts w:eastAsia="Times New Roman"/>
          <w:szCs w:val="20"/>
        </w:rPr>
        <w:t xml:space="preserve"> an application for a mining lease (EML) for the recovery of extractive minerals must be made in the form and contain such information as set out in this Terms of References, unless otherwise specified by the Director of Mines or an authorised officer.</w:t>
      </w:r>
    </w:p>
    <w:p w:rsidR="00E26C8E" w:rsidRPr="00E26C8E" w:rsidRDefault="00E26C8E" w:rsidP="00E26C8E">
      <w:pPr>
        <w:ind w:left="142"/>
        <w:rPr>
          <w:rFonts w:eastAsia="Times New Roman"/>
          <w:szCs w:val="20"/>
        </w:rPr>
      </w:pPr>
      <w:r w:rsidRPr="00E26C8E">
        <w:rPr>
          <w:rFonts w:eastAsia="Times New Roman"/>
          <w:szCs w:val="20"/>
        </w:rPr>
        <w:t xml:space="preserve">For the purposes of section 36(1)(a) of the </w:t>
      </w:r>
      <w:r w:rsidRPr="00E26C8E">
        <w:rPr>
          <w:rFonts w:eastAsia="Times New Roman"/>
          <w:i/>
          <w:szCs w:val="20"/>
        </w:rPr>
        <w:t>Mining Act 1971</w:t>
      </w:r>
      <w:r w:rsidRPr="00E26C8E">
        <w:rPr>
          <w:rFonts w:eastAsia="Times New Roman"/>
          <w:szCs w:val="20"/>
        </w:rPr>
        <w:t>, it is determined that an application for an EML must contain the information as follows:</w:t>
      </w:r>
    </w:p>
    <w:p w:rsidR="00E26C8E" w:rsidRPr="00E26C8E" w:rsidRDefault="00E26C8E" w:rsidP="00E26C8E">
      <w:pPr>
        <w:ind w:left="426" w:hanging="283"/>
        <w:rPr>
          <w:rFonts w:eastAsia="Times New Roman"/>
          <w:szCs w:val="20"/>
        </w:rPr>
      </w:pPr>
      <w:r w:rsidRPr="00E26C8E">
        <w:rPr>
          <w:rFonts w:eastAsia="Times New Roman"/>
          <w:szCs w:val="20"/>
        </w:rPr>
        <w:t>•</w:t>
      </w:r>
      <w:r w:rsidRPr="00E26C8E">
        <w:rPr>
          <w:rFonts w:eastAsia="Times New Roman"/>
          <w:szCs w:val="20"/>
        </w:rPr>
        <w:tab/>
        <w:t>Applicant name(s) (company and/or individual and/or related body corporate) and each applicants percentage share in the application</w:t>
      </w:r>
    </w:p>
    <w:p w:rsidR="00E26C8E" w:rsidRPr="00E26C8E" w:rsidRDefault="00E26C8E" w:rsidP="00E26C8E">
      <w:pPr>
        <w:ind w:left="426" w:hanging="283"/>
        <w:rPr>
          <w:rFonts w:eastAsia="Times New Roman"/>
          <w:szCs w:val="20"/>
        </w:rPr>
      </w:pPr>
      <w:r w:rsidRPr="00E26C8E">
        <w:rPr>
          <w:rFonts w:eastAsia="Times New Roman"/>
          <w:szCs w:val="20"/>
        </w:rPr>
        <w:t>•</w:t>
      </w:r>
      <w:r w:rsidRPr="00E26C8E">
        <w:rPr>
          <w:rFonts w:eastAsia="Times New Roman"/>
          <w:szCs w:val="20"/>
        </w:rPr>
        <w:tab/>
        <w:t>Name of project</w:t>
      </w:r>
    </w:p>
    <w:p w:rsidR="00E26C8E" w:rsidRPr="00E26C8E" w:rsidRDefault="00E26C8E" w:rsidP="00E26C8E">
      <w:pPr>
        <w:ind w:left="426" w:hanging="283"/>
        <w:rPr>
          <w:rFonts w:eastAsia="Times New Roman"/>
          <w:szCs w:val="20"/>
        </w:rPr>
      </w:pPr>
      <w:r w:rsidRPr="00E26C8E">
        <w:rPr>
          <w:rFonts w:eastAsia="Times New Roman"/>
          <w:szCs w:val="20"/>
        </w:rPr>
        <w:t>•</w:t>
      </w:r>
      <w:r w:rsidRPr="00E26C8E">
        <w:rPr>
          <w:rFonts w:eastAsia="Times New Roman"/>
          <w:szCs w:val="20"/>
        </w:rPr>
        <w:tab/>
        <w:t>Mineral type</w:t>
      </w:r>
    </w:p>
    <w:p w:rsidR="00E26C8E" w:rsidRPr="00E26C8E" w:rsidRDefault="00E26C8E" w:rsidP="00E26C8E">
      <w:pPr>
        <w:ind w:left="426" w:hanging="283"/>
        <w:rPr>
          <w:rFonts w:eastAsia="Times New Roman"/>
          <w:szCs w:val="20"/>
        </w:rPr>
      </w:pPr>
      <w:r w:rsidRPr="00E26C8E">
        <w:rPr>
          <w:rFonts w:eastAsia="Times New Roman"/>
          <w:szCs w:val="20"/>
        </w:rPr>
        <w:t>•</w:t>
      </w:r>
      <w:r w:rsidRPr="00E26C8E">
        <w:rPr>
          <w:rFonts w:eastAsia="Times New Roman"/>
          <w:szCs w:val="20"/>
        </w:rPr>
        <w:tab/>
        <w:t>Mineral(s) to be authorised</w:t>
      </w:r>
    </w:p>
    <w:p w:rsidR="00E26C8E" w:rsidRPr="00E26C8E" w:rsidRDefault="00E26C8E" w:rsidP="00E26C8E">
      <w:pPr>
        <w:ind w:left="426" w:hanging="283"/>
        <w:rPr>
          <w:rFonts w:eastAsia="Times New Roman"/>
          <w:szCs w:val="20"/>
        </w:rPr>
      </w:pPr>
      <w:r w:rsidRPr="00E26C8E">
        <w:rPr>
          <w:rFonts w:eastAsia="Times New Roman"/>
          <w:szCs w:val="20"/>
        </w:rPr>
        <w:t>•</w:t>
      </w:r>
      <w:r w:rsidRPr="00E26C8E">
        <w:rPr>
          <w:rFonts w:eastAsia="Times New Roman"/>
          <w:szCs w:val="20"/>
        </w:rPr>
        <w:tab/>
        <w:t>Primary mineral(s) sought</w:t>
      </w:r>
    </w:p>
    <w:p w:rsidR="00E26C8E" w:rsidRPr="00E26C8E" w:rsidRDefault="00E26C8E" w:rsidP="00E26C8E">
      <w:pPr>
        <w:ind w:left="426" w:hanging="283"/>
        <w:rPr>
          <w:rFonts w:eastAsia="Times New Roman"/>
          <w:szCs w:val="20"/>
        </w:rPr>
      </w:pPr>
      <w:r w:rsidRPr="00E26C8E">
        <w:rPr>
          <w:rFonts w:eastAsia="Times New Roman"/>
          <w:szCs w:val="20"/>
        </w:rPr>
        <w:t>•</w:t>
      </w:r>
      <w:r w:rsidRPr="00E26C8E">
        <w:rPr>
          <w:rFonts w:eastAsia="Times New Roman"/>
          <w:szCs w:val="20"/>
        </w:rPr>
        <w:tab/>
        <w:t>Other mineral(s) sought</w:t>
      </w:r>
    </w:p>
    <w:p w:rsidR="00E26C8E" w:rsidRPr="00E26C8E" w:rsidRDefault="00E26C8E" w:rsidP="00E26C8E">
      <w:pPr>
        <w:ind w:left="426" w:hanging="283"/>
        <w:rPr>
          <w:rFonts w:eastAsia="Times New Roman"/>
          <w:szCs w:val="20"/>
        </w:rPr>
      </w:pPr>
      <w:r w:rsidRPr="00E26C8E">
        <w:rPr>
          <w:rFonts w:eastAsia="Times New Roman"/>
          <w:szCs w:val="20"/>
        </w:rPr>
        <w:t>•</w:t>
      </w:r>
      <w:r w:rsidRPr="00E26C8E">
        <w:rPr>
          <w:rFonts w:eastAsia="Times New Roman"/>
          <w:szCs w:val="20"/>
        </w:rPr>
        <w:tab/>
        <w:t>Proposed lease area details including a detailed map/plan (if required)</w:t>
      </w:r>
    </w:p>
    <w:p w:rsidR="00E26C8E" w:rsidRPr="00E26C8E" w:rsidRDefault="00E26C8E" w:rsidP="00E26C8E">
      <w:pPr>
        <w:ind w:left="426" w:hanging="283"/>
        <w:rPr>
          <w:rFonts w:eastAsia="Times New Roman"/>
          <w:szCs w:val="20"/>
        </w:rPr>
      </w:pPr>
      <w:r w:rsidRPr="00E26C8E">
        <w:rPr>
          <w:rFonts w:eastAsia="Times New Roman"/>
          <w:szCs w:val="20"/>
        </w:rPr>
        <w:t>•</w:t>
      </w:r>
      <w:r w:rsidRPr="00E26C8E">
        <w:rPr>
          <w:rFonts w:eastAsia="Times New Roman"/>
          <w:szCs w:val="20"/>
        </w:rPr>
        <w:tab/>
        <w:t>Native title land</w:t>
      </w:r>
    </w:p>
    <w:p w:rsidR="00E26C8E" w:rsidRPr="00E26C8E" w:rsidRDefault="00E26C8E" w:rsidP="00E26C8E">
      <w:pPr>
        <w:ind w:left="426" w:hanging="283"/>
        <w:rPr>
          <w:rFonts w:eastAsia="Times New Roman"/>
          <w:szCs w:val="20"/>
        </w:rPr>
      </w:pPr>
      <w:r w:rsidRPr="00E26C8E">
        <w:rPr>
          <w:rFonts w:eastAsia="Times New Roman"/>
          <w:szCs w:val="20"/>
        </w:rPr>
        <w:t>•</w:t>
      </w:r>
      <w:r w:rsidRPr="00E26C8E">
        <w:rPr>
          <w:rFonts w:eastAsia="Times New Roman"/>
          <w:szCs w:val="20"/>
        </w:rPr>
        <w:tab/>
        <w:t>Details of relevant land ownership, notices, consents and agreements</w:t>
      </w:r>
    </w:p>
    <w:p w:rsidR="00E26C8E" w:rsidRPr="00E26C8E" w:rsidRDefault="00E26C8E" w:rsidP="00E26C8E">
      <w:pPr>
        <w:ind w:left="426" w:hanging="283"/>
        <w:rPr>
          <w:rFonts w:eastAsia="Times New Roman"/>
          <w:szCs w:val="20"/>
        </w:rPr>
      </w:pPr>
      <w:r w:rsidRPr="00E26C8E">
        <w:rPr>
          <w:rFonts w:eastAsia="Times New Roman"/>
          <w:szCs w:val="20"/>
        </w:rPr>
        <w:t>•</w:t>
      </w:r>
      <w:r w:rsidRPr="00E26C8E">
        <w:rPr>
          <w:rFonts w:eastAsia="Times New Roman"/>
          <w:szCs w:val="20"/>
        </w:rPr>
        <w:tab/>
        <w:t>Declaration of accuracy</w:t>
      </w:r>
    </w:p>
    <w:p w:rsidR="00E26C8E" w:rsidRPr="00E26C8E" w:rsidRDefault="00E26C8E" w:rsidP="00E26C8E">
      <w:pPr>
        <w:ind w:left="426" w:hanging="283"/>
        <w:rPr>
          <w:rFonts w:eastAsia="Times New Roman"/>
          <w:szCs w:val="20"/>
        </w:rPr>
      </w:pPr>
      <w:r w:rsidRPr="00E26C8E">
        <w:rPr>
          <w:rFonts w:eastAsia="Times New Roman"/>
          <w:szCs w:val="20"/>
        </w:rPr>
        <w:t>•</w:t>
      </w:r>
      <w:r w:rsidRPr="00E26C8E">
        <w:rPr>
          <w:rFonts w:eastAsia="Times New Roman"/>
          <w:szCs w:val="20"/>
        </w:rPr>
        <w:tab/>
        <w:t>Applicant(s) details including:</w:t>
      </w:r>
    </w:p>
    <w:p w:rsidR="00E26C8E" w:rsidRPr="00E26C8E" w:rsidRDefault="00E26C8E" w:rsidP="00E26C8E">
      <w:pPr>
        <w:ind w:left="709" w:hanging="284"/>
        <w:rPr>
          <w:rFonts w:eastAsia="Times New Roman"/>
          <w:szCs w:val="20"/>
        </w:rPr>
      </w:pPr>
      <w:r w:rsidRPr="00E26C8E">
        <w:rPr>
          <w:rFonts w:eastAsia="Times New Roman"/>
          <w:szCs w:val="20"/>
        </w:rPr>
        <w:t>◦</w:t>
      </w:r>
      <w:r w:rsidRPr="00E26C8E">
        <w:rPr>
          <w:rFonts w:eastAsia="Times New Roman"/>
          <w:szCs w:val="20"/>
        </w:rPr>
        <w:tab/>
        <w:t>Name of Company and/or Individual</w:t>
      </w:r>
    </w:p>
    <w:p w:rsidR="00E26C8E" w:rsidRPr="00E26C8E" w:rsidRDefault="00E26C8E" w:rsidP="00E26C8E">
      <w:pPr>
        <w:ind w:left="709" w:hanging="284"/>
        <w:rPr>
          <w:rFonts w:eastAsia="Times New Roman"/>
          <w:szCs w:val="20"/>
        </w:rPr>
      </w:pPr>
      <w:r w:rsidRPr="00E26C8E">
        <w:rPr>
          <w:rFonts w:eastAsia="Times New Roman"/>
          <w:szCs w:val="20"/>
        </w:rPr>
        <w:t>◦</w:t>
      </w:r>
      <w:r w:rsidRPr="00E26C8E">
        <w:rPr>
          <w:rFonts w:eastAsia="Times New Roman"/>
          <w:szCs w:val="20"/>
        </w:rPr>
        <w:tab/>
        <w:t>ABN (if applicable)</w:t>
      </w:r>
    </w:p>
    <w:p w:rsidR="00E26C8E" w:rsidRPr="00E26C8E" w:rsidRDefault="00E26C8E" w:rsidP="00E26C8E">
      <w:pPr>
        <w:ind w:left="709" w:hanging="284"/>
        <w:rPr>
          <w:rFonts w:eastAsia="Times New Roman"/>
          <w:szCs w:val="20"/>
        </w:rPr>
      </w:pPr>
      <w:r w:rsidRPr="00E26C8E">
        <w:rPr>
          <w:rFonts w:eastAsia="Times New Roman"/>
          <w:szCs w:val="20"/>
        </w:rPr>
        <w:t>◦</w:t>
      </w:r>
      <w:r w:rsidRPr="00E26C8E">
        <w:rPr>
          <w:rFonts w:eastAsia="Times New Roman"/>
          <w:szCs w:val="20"/>
        </w:rPr>
        <w:tab/>
        <w:t>ACN (if applicable)</w:t>
      </w:r>
    </w:p>
    <w:p w:rsidR="00E26C8E" w:rsidRPr="00E26C8E" w:rsidRDefault="00E26C8E" w:rsidP="00E26C8E">
      <w:pPr>
        <w:ind w:left="709" w:hanging="284"/>
        <w:rPr>
          <w:rFonts w:eastAsia="Times New Roman"/>
          <w:szCs w:val="20"/>
        </w:rPr>
      </w:pPr>
      <w:r w:rsidRPr="00E26C8E">
        <w:rPr>
          <w:rFonts w:eastAsia="Times New Roman"/>
          <w:szCs w:val="20"/>
        </w:rPr>
        <w:t>◦</w:t>
      </w:r>
      <w:r w:rsidRPr="00E26C8E">
        <w:rPr>
          <w:rFonts w:eastAsia="Times New Roman"/>
          <w:szCs w:val="20"/>
        </w:rPr>
        <w:tab/>
        <w:t>Registered address</w:t>
      </w:r>
    </w:p>
    <w:p w:rsidR="00E26C8E" w:rsidRPr="00E26C8E" w:rsidRDefault="00E26C8E" w:rsidP="00E26C8E">
      <w:pPr>
        <w:ind w:left="709" w:hanging="284"/>
        <w:rPr>
          <w:rFonts w:eastAsia="Times New Roman"/>
          <w:szCs w:val="20"/>
        </w:rPr>
      </w:pPr>
      <w:r w:rsidRPr="00E26C8E">
        <w:rPr>
          <w:rFonts w:eastAsia="Times New Roman"/>
          <w:szCs w:val="20"/>
        </w:rPr>
        <w:t>◦</w:t>
      </w:r>
      <w:r w:rsidRPr="00E26C8E">
        <w:rPr>
          <w:rFonts w:eastAsia="Times New Roman"/>
          <w:szCs w:val="20"/>
        </w:rPr>
        <w:tab/>
        <w:t>Applicant contact details including:</w:t>
      </w:r>
    </w:p>
    <w:p w:rsidR="00E26C8E" w:rsidRPr="00E26C8E" w:rsidRDefault="00E26C8E" w:rsidP="00E26C8E">
      <w:pPr>
        <w:ind w:left="993" w:hanging="283"/>
        <w:rPr>
          <w:rFonts w:eastAsia="Times New Roman"/>
          <w:szCs w:val="20"/>
        </w:rPr>
      </w:pPr>
      <w:r w:rsidRPr="00E26C8E">
        <w:rPr>
          <w:rFonts w:eastAsia="Times New Roman"/>
          <w:szCs w:val="20"/>
        </w:rPr>
        <w:t>-</w:t>
      </w:r>
      <w:r w:rsidRPr="00E26C8E">
        <w:rPr>
          <w:rFonts w:eastAsia="Times New Roman"/>
          <w:szCs w:val="20"/>
        </w:rPr>
        <w:tab/>
        <w:t>Postal Address</w:t>
      </w:r>
    </w:p>
    <w:p w:rsidR="00E26C8E" w:rsidRPr="00E26C8E" w:rsidRDefault="00E26C8E" w:rsidP="00E26C8E">
      <w:pPr>
        <w:ind w:left="993" w:hanging="283"/>
        <w:rPr>
          <w:rFonts w:eastAsia="Times New Roman"/>
          <w:szCs w:val="20"/>
        </w:rPr>
      </w:pPr>
      <w:r w:rsidRPr="00E26C8E">
        <w:rPr>
          <w:rFonts w:eastAsia="Times New Roman"/>
          <w:szCs w:val="20"/>
        </w:rPr>
        <w:t>-</w:t>
      </w:r>
      <w:r w:rsidRPr="00E26C8E">
        <w:rPr>
          <w:rFonts w:eastAsia="Times New Roman"/>
          <w:szCs w:val="20"/>
        </w:rPr>
        <w:tab/>
        <w:t>Email</w:t>
      </w:r>
    </w:p>
    <w:p w:rsidR="00E26C8E" w:rsidRPr="00E26C8E" w:rsidRDefault="00E26C8E" w:rsidP="00E26C8E">
      <w:pPr>
        <w:ind w:left="993" w:hanging="283"/>
        <w:rPr>
          <w:rFonts w:eastAsia="Times New Roman"/>
          <w:szCs w:val="20"/>
        </w:rPr>
      </w:pPr>
      <w:r w:rsidRPr="00E26C8E">
        <w:rPr>
          <w:rFonts w:eastAsia="Times New Roman"/>
          <w:szCs w:val="20"/>
        </w:rPr>
        <w:t>-</w:t>
      </w:r>
      <w:r w:rsidRPr="00E26C8E">
        <w:rPr>
          <w:rFonts w:eastAsia="Times New Roman"/>
          <w:szCs w:val="20"/>
        </w:rPr>
        <w:tab/>
        <w:t>Website</w:t>
      </w:r>
    </w:p>
    <w:p w:rsidR="00E26C8E" w:rsidRPr="00E26C8E" w:rsidRDefault="00E26C8E" w:rsidP="00E26C8E">
      <w:pPr>
        <w:ind w:left="993" w:hanging="283"/>
        <w:rPr>
          <w:rFonts w:eastAsia="Times New Roman"/>
          <w:szCs w:val="20"/>
        </w:rPr>
      </w:pPr>
      <w:r w:rsidRPr="00E26C8E">
        <w:rPr>
          <w:rFonts w:eastAsia="Times New Roman"/>
          <w:szCs w:val="20"/>
        </w:rPr>
        <w:t>-</w:t>
      </w:r>
      <w:r w:rsidRPr="00E26C8E">
        <w:rPr>
          <w:rFonts w:eastAsia="Times New Roman"/>
          <w:szCs w:val="20"/>
        </w:rPr>
        <w:tab/>
        <w:t>Phone number(s)</w:t>
      </w:r>
    </w:p>
    <w:p w:rsidR="00E26C8E" w:rsidRPr="00E26C8E" w:rsidRDefault="00E26C8E" w:rsidP="00E26C8E">
      <w:pPr>
        <w:ind w:left="709" w:hanging="284"/>
        <w:rPr>
          <w:rFonts w:eastAsia="Times New Roman"/>
          <w:szCs w:val="20"/>
        </w:rPr>
      </w:pPr>
      <w:r w:rsidRPr="00E26C8E">
        <w:rPr>
          <w:rFonts w:eastAsia="Times New Roman"/>
          <w:szCs w:val="20"/>
        </w:rPr>
        <w:t>◦</w:t>
      </w:r>
      <w:r w:rsidRPr="00E26C8E">
        <w:rPr>
          <w:rFonts w:eastAsia="Times New Roman"/>
          <w:szCs w:val="20"/>
        </w:rPr>
        <w:tab/>
        <w:t>Contact Person details including:</w:t>
      </w:r>
    </w:p>
    <w:p w:rsidR="00E26C8E" w:rsidRPr="00E26C8E" w:rsidRDefault="00E26C8E" w:rsidP="00E26C8E">
      <w:pPr>
        <w:ind w:left="993" w:hanging="283"/>
        <w:rPr>
          <w:rFonts w:eastAsia="Times New Roman"/>
          <w:szCs w:val="20"/>
        </w:rPr>
      </w:pPr>
      <w:r w:rsidRPr="00E26C8E">
        <w:rPr>
          <w:rFonts w:eastAsia="Times New Roman"/>
          <w:szCs w:val="20"/>
        </w:rPr>
        <w:t>-</w:t>
      </w:r>
      <w:r w:rsidRPr="00E26C8E">
        <w:rPr>
          <w:rFonts w:eastAsia="Times New Roman"/>
          <w:szCs w:val="20"/>
        </w:rPr>
        <w:tab/>
        <w:t>Name</w:t>
      </w:r>
    </w:p>
    <w:p w:rsidR="00E26C8E" w:rsidRPr="00E26C8E" w:rsidRDefault="00E26C8E" w:rsidP="00E26C8E">
      <w:pPr>
        <w:ind w:left="993" w:hanging="283"/>
        <w:rPr>
          <w:rFonts w:eastAsia="Times New Roman"/>
          <w:szCs w:val="20"/>
        </w:rPr>
      </w:pPr>
      <w:r w:rsidRPr="00E26C8E">
        <w:rPr>
          <w:rFonts w:eastAsia="Times New Roman"/>
          <w:szCs w:val="20"/>
        </w:rPr>
        <w:t>-</w:t>
      </w:r>
      <w:r w:rsidRPr="00E26C8E">
        <w:rPr>
          <w:rFonts w:eastAsia="Times New Roman"/>
          <w:szCs w:val="20"/>
        </w:rPr>
        <w:tab/>
        <w:t>Position Title</w:t>
      </w:r>
    </w:p>
    <w:p w:rsidR="00E26C8E" w:rsidRPr="00E26C8E" w:rsidRDefault="00E26C8E" w:rsidP="00E26C8E">
      <w:pPr>
        <w:ind w:left="993" w:hanging="283"/>
        <w:rPr>
          <w:rFonts w:eastAsia="Times New Roman"/>
          <w:szCs w:val="20"/>
        </w:rPr>
      </w:pPr>
      <w:r w:rsidRPr="00E26C8E">
        <w:rPr>
          <w:rFonts w:eastAsia="Times New Roman"/>
          <w:szCs w:val="20"/>
        </w:rPr>
        <w:t>-</w:t>
      </w:r>
      <w:r w:rsidRPr="00E26C8E">
        <w:rPr>
          <w:rFonts w:eastAsia="Times New Roman"/>
          <w:szCs w:val="20"/>
        </w:rPr>
        <w:tab/>
        <w:t>Email</w:t>
      </w:r>
    </w:p>
    <w:p w:rsidR="00E26C8E" w:rsidRPr="00E26C8E" w:rsidRDefault="00E26C8E" w:rsidP="00E26C8E">
      <w:pPr>
        <w:ind w:left="993" w:hanging="283"/>
        <w:rPr>
          <w:rFonts w:eastAsia="Times New Roman"/>
          <w:szCs w:val="20"/>
        </w:rPr>
      </w:pPr>
      <w:r w:rsidRPr="00E26C8E">
        <w:rPr>
          <w:rFonts w:eastAsia="Times New Roman"/>
          <w:szCs w:val="20"/>
        </w:rPr>
        <w:t>-</w:t>
      </w:r>
      <w:r w:rsidRPr="00E26C8E">
        <w:rPr>
          <w:rFonts w:eastAsia="Times New Roman"/>
          <w:szCs w:val="20"/>
        </w:rPr>
        <w:tab/>
        <w:t>Phone number(s)</w:t>
      </w:r>
    </w:p>
    <w:p w:rsidR="00E26C8E" w:rsidRPr="00E26C8E" w:rsidRDefault="00E26C8E" w:rsidP="00E26C8E">
      <w:pPr>
        <w:ind w:left="993" w:hanging="283"/>
        <w:rPr>
          <w:rFonts w:eastAsia="Times New Roman"/>
          <w:szCs w:val="20"/>
        </w:rPr>
      </w:pPr>
      <w:r w:rsidRPr="00E26C8E">
        <w:rPr>
          <w:rFonts w:eastAsia="Times New Roman"/>
          <w:szCs w:val="20"/>
        </w:rPr>
        <w:t>-</w:t>
      </w:r>
      <w:r w:rsidRPr="00E26C8E">
        <w:rPr>
          <w:rFonts w:eastAsia="Times New Roman"/>
          <w:szCs w:val="20"/>
        </w:rPr>
        <w:tab/>
        <w:t>Consent to receive electronic correspondence (or otherwise)</w:t>
      </w:r>
    </w:p>
    <w:p w:rsidR="00E26C8E" w:rsidRPr="00E26C8E" w:rsidRDefault="00E26C8E" w:rsidP="00E26C8E">
      <w:pPr>
        <w:ind w:left="142"/>
        <w:rPr>
          <w:rFonts w:eastAsia="Times New Roman"/>
          <w:szCs w:val="20"/>
        </w:rPr>
      </w:pPr>
      <w:r w:rsidRPr="00E26C8E">
        <w:rPr>
          <w:rFonts w:eastAsia="Times New Roman"/>
          <w:szCs w:val="20"/>
        </w:rPr>
        <w:t xml:space="preserve">In accordance with section 49(1)(a) of the </w:t>
      </w:r>
      <w:r w:rsidRPr="00E26C8E">
        <w:rPr>
          <w:rFonts w:eastAsia="Times New Roman"/>
          <w:i/>
          <w:szCs w:val="20"/>
        </w:rPr>
        <w:t>Mining Act 1971</w:t>
      </w:r>
      <w:r w:rsidRPr="00E26C8E">
        <w:rPr>
          <w:rFonts w:eastAsia="Times New Roman"/>
          <w:szCs w:val="20"/>
        </w:rPr>
        <w:t xml:space="preserve"> an application for a miscellaneous purpose licence (MPL) ancillary to the recovery of extractive minerals must be made in the form and contain such information as set out in this Terms of References, unless otherwise specified by the Director of Mines or an authorised officer.</w:t>
      </w:r>
    </w:p>
    <w:p w:rsidR="00E26C8E" w:rsidRPr="00E26C8E" w:rsidRDefault="00E26C8E" w:rsidP="00E26C8E">
      <w:pPr>
        <w:ind w:left="142"/>
        <w:rPr>
          <w:rFonts w:eastAsia="Times New Roman"/>
          <w:szCs w:val="20"/>
        </w:rPr>
      </w:pPr>
      <w:r w:rsidRPr="00E26C8E">
        <w:rPr>
          <w:rFonts w:eastAsia="Times New Roman"/>
          <w:szCs w:val="20"/>
        </w:rPr>
        <w:t xml:space="preserve">For the purposes of section 49(1)(a) of the </w:t>
      </w:r>
      <w:r w:rsidRPr="00E26C8E">
        <w:rPr>
          <w:rFonts w:eastAsia="Times New Roman"/>
          <w:i/>
          <w:szCs w:val="20"/>
        </w:rPr>
        <w:t>Mining Act 1971</w:t>
      </w:r>
      <w:r w:rsidRPr="00E26C8E">
        <w:rPr>
          <w:rFonts w:eastAsia="Times New Roman"/>
          <w:szCs w:val="20"/>
        </w:rPr>
        <w:t>, it is determined that an application for a MPL must contain the information as follows:</w:t>
      </w:r>
    </w:p>
    <w:p w:rsidR="00E26C8E" w:rsidRPr="00E26C8E" w:rsidRDefault="00E26C8E" w:rsidP="00E26C8E">
      <w:pPr>
        <w:ind w:left="426" w:hanging="283"/>
        <w:rPr>
          <w:rFonts w:eastAsia="Times New Roman"/>
          <w:szCs w:val="20"/>
        </w:rPr>
      </w:pPr>
      <w:r w:rsidRPr="00E26C8E">
        <w:rPr>
          <w:rFonts w:eastAsia="Times New Roman"/>
          <w:szCs w:val="20"/>
        </w:rPr>
        <w:t>•</w:t>
      </w:r>
      <w:r w:rsidRPr="00E26C8E">
        <w:rPr>
          <w:rFonts w:eastAsia="Times New Roman"/>
          <w:szCs w:val="20"/>
        </w:rPr>
        <w:tab/>
        <w:t>Applicant name(s) (company and/or individual and/or related body corporate) and each applicants percentage share in the application</w:t>
      </w:r>
    </w:p>
    <w:p w:rsidR="00E26C8E" w:rsidRPr="00E26C8E" w:rsidRDefault="00E26C8E" w:rsidP="00E26C8E">
      <w:pPr>
        <w:ind w:left="426" w:hanging="283"/>
        <w:rPr>
          <w:rFonts w:eastAsia="Times New Roman"/>
          <w:szCs w:val="20"/>
        </w:rPr>
      </w:pPr>
      <w:r w:rsidRPr="00E26C8E">
        <w:rPr>
          <w:rFonts w:eastAsia="Times New Roman"/>
          <w:szCs w:val="20"/>
        </w:rPr>
        <w:t>•</w:t>
      </w:r>
      <w:r w:rsidRPr="00E26C8E">
        <w:rPr>
          <w:rFonts w:eastAsia="Times New Roman"/>
          <w:szCs w:val="20"/>
        </w:rPr>
        <w:tab/>
        <w:t>Name of project</w:t>
      </w:r>
    </w:p>
    <w:p w:rsidR="00E26C8E" w:rsidRPr="00E26C8E" w:rsidRDefault="00E26C8E" w:rsidP="00E26C8E">
      <w:pPr>
        <w:ind w:left="426" w:hanging="283"/>
        <w:rPr>
          <w:rFonts w:eastAsia="Times New Roman"/>
          <w:szCs w:val="20"/>
        </w:rPr>
      </w:pPr>
      <w:r w:rsidRPr="00E26C8E">
        <w:rPr>
          <w:rFonts w:eastAsia="Times New Roman"/>
          <w:szCs w:val="20"/>
        </w:rPr>
        <w:t>•</w:t>
      </w:r>
      <w:r w:rsidRPr="00E26C8E">
        <w:rPr>
          <w:rFonts w:eastAsia="Times New Roman"/>
          <w:szCs w:val="20"/>
        </w:rPr>
        <w:tab/>
        <w:t>Related applications/mining operations</w:t>
      </w:r>
    </w:p>
    <w:p w:rsidR="00E26C8E" w:rsidRPr="00E26C8E" w:rsidRDefault="00E26C8E" w:rsidP="00E26C8E">
      <w:pPr>
        <w:ind w:left="426" w:hanging="283"/>
        <w:rPr>
          <w:rFonts w:eastAsia="Times New Roman"/>
          <w:szCs w:val="20"/>
        </w:rPr>
      </w:pPr>
      <w:r w:rsidRPr="00E26C8E">
        <w:rPr>
          <w:rFonts w:eastAsia="Times New Roman"/>
          <w:szCs w:val="20"/>
        </w:rPr>
        <w:t>•</w:t>
      </w:r>
      <w:r w:rsidRPr="00E26C8E">
        <w:rPr>
          <w:rFonts w:eastAsia="Times New Roman"/>
          <w:szCs w:val="20"/>
        </w:rPr>
        <w:tab/>
        <w:t>Location of proposed licence including a detailed map/plan (if required)</w:t>
      </w:r>
    </w:p>
    <w:p w:rsidR="00E26C8E" w:rsidRPr="00E26C8E" w:rsidRDefault="00E26C8E" w:rsidP="00E26C8E">
      <w:pPr>
        <w:ind w:left="426" w:hanging="283"/>
        <w:rPr>
          <w:rFonts w:eastAsia="Times New Roman"/>
          <w:szCs w:val="20"/>
        </w:rPr>
      </w:pPr>
      <w:r w:rsidRPr="00E26C8E">
        <w:rPr>
          <w:rFonts w:eastAsia="Times New Roman"/>
          <w:szCs w:val="20"/>
        </w:rPr>
        <w:t>•</w:t>
      </w:r>
      <w:r w:rsidRPr="00E26C8E">
        <w:rPr>
          <w:rFonts w:eastAsia="Times New Roman"/>
          <w:szCs w:val="20"/>
        </w:rPr>
        <w:tab/>
        <w:t>Purpose of proposed licence</w:t>
      </w:r>
    </w:p>
    <w:p w:rsidR="00E26C8E" w:rsidRPr="00E26C8E" w:rsidRDefault="00E26C8E" w:rsidP="00E26C8E">
      <w:pPr>
        <w:ind w:left="426" w:hanging="283"/>
        <w:rPr>
          <w:rFonts w:eastAsia="Times New Roman"/>
          <w:szCs w:val="20"/>
        </w:rPr>
      </w:pPr>
      <w:r w:rsidRPr="00E26C8E">
        <w:rPr>
          <w:rFonts w:eastAsia="Times New Roman"/>
          <w:szCs w:val="20"/>
        </w:rPr>
        <w:t>•</w:t>
      </w:r>
      <w:r w:rsidRPr="00E26C8E">
        <w:rPr>
          <w:rFonts w:eastAsia="Times New Roman"/>
          <w:szCs w:val="20"/>
        </w:rPr>
        <w:tab/>
        <w:t>Pegging details relating to proposed licence area</w:t>
      </w:r>
    </w:p>
    <w:p w:rsidR="00E26C8E" w:rsidRPr="00E26C8E" w:rsidRDefault="00E26C8E" w:rsidP="00E26C8E">
      <w:pPr>
        <w:ind w:left="426" w:hanging="283"/>
        <w:rPr>
          <w:rFonts w:eastAsia="Times New Roman"/>
          <w:szCs w:val="20"/>
        </w:rPr>
      </w:pPr>
      <w:r w:rsidRPr="00E26C8E">
        <w:rPr>
          <w:rFonts w:eastAsia="Times New Roman"/>
          <w:szCs w:val="20"/>
        </w:rPr>
        <w:t>•</w:t>
      </w:r>
      <w:r w:rsidRPr="00E26C8E">
        <w:rPr>
          <w:rFonts w:eastAsia="Times New Roman"/>
          <w:szCs w:val="20"/>
        </w:rPr>
        <w:tab/>
        <w:t>Native title land</w:t>
      </w:r>
    </w:p>
    <w:p w:rsidR="00E26C8E" w:rsidRPr="00E26C8E" w:rsidRDefault="00E26C8E" w:rsidP="00E26C8E">
      <w:pPr>
        <w:ind w:left="426" w:hanging="283"/>
        <w:rPr>
          <w:rFonts w:eastAsia="Times New Roman"/>
          <w:szCs w:val="20"/>
        </w:rPr>
      </w:pPr>
      <w:r w:rsidRPr="00E26C8E">
        <w:rPr>
          <w:rFonts w:eastAsia="Times New Roman"/>
          <w:szCs w:val="20"/>
        </w:rPr>
        <w:t>•</w:t>
      </w:r>
      <w:r w:rsidRPr="00E26C8E">
        <w:rPr>
          <w:rFonts w:eastAsia="Times New Roman"/>
          <w:szCs w:val="20"/>
        </w:rPr>
        <w:tab/>
        <w:t>Details of relevant land ownership, notices, consents and agreements</w:t>
      </w:r>
    </w:p>
    <w:p w:rsidR="00E26C8E" w:rsidRPr="00E26C8E" w:rsidRDefault="00E26C8E" w:rsidP="00E26C8E">
      <w:pPr>
        <w:ind w:left="426" w:hanging="283"/>
        <w:rPr>
          <w:rFonts w:eastAsia="Times New Roman"/>
          <w:szCs w:val="20"/>
        </w:rPr>
      </w:pPr>
      <w:r w:rsidRPr="00E26C8E">
        <w:rPr>
          <w:rFonts w:eastAsia="Times New Roman"/>
          <w:szCs w:val="20"/>
        </w:rPr>
        <w:t>•</w:t>
      </w:r>
      <w:r w:rsidRPr="00E26C8E">
        <w:rPr>
          <w:rFonts w:eastAsia="Times New Roman"/>
          <w:szCs w:val="20"/>
        </w:rPr>
        <w:tab/>
        <w:t>Declaration of accuracy</w:t>
      </w:r>
    </w:p>
    <w:p w:rsidR="00E26C8E" w:rsidRPr="00E26C8E" w:rsidRDefault="00E26C8E" w:rsidP="00E26C8E">
      <w:pPr>
        <w:ind w:left="426" w:hanging="283"/>
        <w:rPr>
          <w:rFonts w:eastAsia="Times New Roman"/>
          <w:szCs w:val="20"/>
        </w:rPr>
      </w:pPr>
      <w:r w:rsidRPr="00E26C8E">
        <w:rPr>
          <w:rFonts w:eastAsia="Times New Roman"/>
          <w:szCs w:val="20"/>
        </w:rPr>
        <w:t>•</w:t>
      </w:r>
      <w:r w:rsidRPr="00E26C8E">
        <w:rPr>
          <w:rFonts w:eastAsia="Times New Roman"/>
          <w:szCs w:val="20"/>
        </w:rPr>
        <w:tab/>
        <w:t>Applicant(s) details including:</w:t>
      </w:r>
    </w:p>
    <w:p w:rsidR="00E26C8E" w:rsidRPr="00E26C8E" w:rsidRDefault="00E26C8E" w:rsidP="00E26C8E">
      <w:pPr>
        <w:ind w:left="709" w:hanging="284"/>
        <w:rPr>
          <w:rFonts w:eastAsia="Times New Roman"/>
          <w:szCs w:val="20"/>
        </w:rPr>
      </w:pPr>
      <w:r w:rsidRPr="00E26C8E">
        <w:rPr>
          <w:rFonts w:eastAsia="Times New Roman"/>
          <w:szCs w:val="20"/>
        </w:rPr>
        <w:t>◦</w:t>
      </w:r>
      <w:r w:rsidRPr="00E26C8E">
        <w:rPr>
          <w:rFonts w:eastAsia="Times New Roman"/>
          <w:szCs w:val="20"/>
        </w:rPr>
        <w:tab/>
        <w:t>Name of Company and/or Individual</w:t>
      </w:r>
    </w:p>
    <w:p w:rsidR="00E26C8E" w:rsidRPr="00E26C8E" w:rsidRDefault="00E26C8E" w:rsidP="00E26C8E">
      <w:pPr>
        <w:ind w:left="709" w:hanging="284"/>
        <w:rPr>
          <w:rFonts w:eastAsia="Times New Roman"/>
          <w:szCs w:val="20"/>
        </w:rPr>
      </w:pPr>
      <w:r w:rsidRPr="00E26C8E">
        <w:rPr>
          <w:rFonts w:eastAsia="Times New Roman"/>
          <w:szCs w:val="20"/>
        </w:rPr>
        <w:t>◦</w:t>
      </w:r>
      <w:r w:rsidRPr="00E26C8E">
        <w:rPr>
          <w:rFonts w:eastAsia="Times New Roman"/>
          <w:szCs w:val="20"/>
        </w:rPr>
        <w:tab/>
        <w:t>ABN (if applicable)</w:t>
      </w:r>
    </w:p>
    <w:p w:rsidR="00E26C8E" w:rsidRPr="00E26C8E" w:rsidRDefault="00E26C8E" w:rsidP="00E26C8E">
      <w:pPr>
        <w:ind w:left="709" w:hanging="284"/>
        <w:rPr>
          <w:rFonts w:eastAsia="Times New Roman"/>
          <w:szCs w:val="20"/>
        </w:rPr>
      </w:pPr>
      <w:r w:rsidRPr="00E26C8E">
        <w:rPr>
          <w:rFonts w:eastAsia="Times New Roman"/>
          <w:szCs w:val="20"/>
        </w:rPr>
        <w:t>◦</w:t>
      </w:r>
      <w:r w:rsidRPr="00E26C8E">
        <w:rPr>
          <w:rFonts w:eastAsia="Times New Roman"/>
          <w:szCs w:val="20"/>
        </w:rPr>
        <w:tab/>
        <w:t>ACN (if applicable)</w:t>
      </w:r>
    </w:p>
    <w:p w:rsidR="00E26C8E" w:rsidRPr="00E26C8E" w:rsidRDefault="00E26C8E" w:rsidP="00E26C8E">
      <w:pPr>
        <w:ind w:left="709" w:hanging="284"/>
        <w:rPr>
          <w:rFonts w:eastAsia="Times New Roman"/>
          <w:szCs w:val="20"/>
        </w:rPr>
      </w:pPr>
      <w:r w:rsidRPr="00E26C8E">
        <w:rPr>
          <w:rFonts w:eastAsia="Times New Roman"/>
          <w:szCs w:val="20"/>
        </w:rPr>
        <w:t>◦</w:t>
      </w:r>
      <w:r w:rsidRPr="00E26C8E">
        <w:rPr>
          <w:rFonts w:eastAsia="Times New Roman"/>
          <w:szCs w:val="20"/>
        </w:rPr>
        <w:tab/>
        <w:t>Registered address</w:t>
      </w:r>
    </w:p>
    <w:p w:rsidR="00E26C8E" w:rsidRPr="00E26C8E" w:rsidRDefault="00E26C8E" w:rsidP="00E26C8E">
      <w:pPr>
        <w:ind w:left="709" w:hanging="284"/>
        <w:rPr>
          <w:rFonts w:eastAsia="Times New Roman"/>
          <w:szCs w:val="20"/>
        </w:rPr>
      </w:pPr>
      <w:r w:rsidRPr="00E26C8E">
        <w:rPr>
          <w:rFonts w:eastAsia="Times New Roman"/>
          <w:szCs w:val="20"/>
        </w:rPr>
        <w:t>◦</w:t>
      </w:r>
      <w:r w:rsidRPr="00E26C8E">
        <w:rPr>
          <w:rFonts w:eastAsia="Times New Roman"/>
          <w:szCs w:val="20"/>
        </w:rPr>
        <w:tab/>
        <w:t>Applicant contact details including:</w:t>
      </w:r>
    </w:p>
    <w:p w:rsidR="00E26C8E" w:rsidRPr="00E26C8E" w:rsidRDefault="00E26C8E" w:rsidP="00E26C8E">
      <w:pPr>
        <w:ind w:left="993" w:hanging="283"/>
        <w:rPr>
          <w:rFonts w:eastAsia="Times New Roman"/>
          <w:szCs w:val="20"/>
        </w:rPr>
      </w:pPr>
      <w:r w:rsidRPr="00E26C8E">
        <w:rPr>
          <w:rFonts w:eastAsia="Times New Roman"/>
          <w:szCs w:val="20"/>
        </w:rPr>
        <w:t>-</w:t>
      </w:r>
      <w:r w:rsidRPr="00E26C8E">
        <w:rPr>
          <w:rFonts w:eastAsia="Times New Roman"/>
          <w:szCs w:val="20"/>
        </w:rPr>
        <w:tab/>
        <w:t>Postal Address</w:t>
      </w:r>
    </w:p>
    <w:p w:rsidR="00E26C8E" w:rsidRPr="00E26C8E" w:rsidRDefault="00E26C8E" w:rsidP="00E26C8E">
      <w:pPr>
        <w:ind w:left="993" w:hanging="283"/>
        <w:rPr>
          <w:rFonts w:eastAsia="Times New Roman"/>
          <w:szCs w:val="20"/>
        </w:rPr>
      </w:pPr>
      <w:r w:rsidRPr="00E26C8E">
        <w:rPr>
          <w:rFonts w:eastAsia="Times New Roman"/>
          <w:szCs w:val="20"/>
        </w:rPr>
        <w:t>-</w:t>
      </w:r>
      <w:r w:rsidRPr="00E26C8E">
        <w:rPr>
          <w:rFonts w:eastAsia="Times New Roman"/>
          <w:szCs w:val="20"/>
        </w:rPr>
        <w:tab/>
        <w:t>Email</w:t>
      </w:r>
    </w:p>
    <w:p w:rsidR="00E26C8E" w:rsidRPr="00E26C8E" w:rsidRDefault="00E26C8E" w:rsidP="00E26C8E">
      <w:pPr>
        <w:ind w:left="993" w:hanging="283"/>
        <w:rPr>
          <w:rFonts w:eastAsia="Times New Roman"/>
          <w:szCs w:val="20"/>
        </w:rPr>
      </w:pPr>
      <w:r w:rsidRPr="00E26C8E">
        <w:rPr>
          <w:rFonts w:eastAsia="Times New Roman"/>
          <w:szCs w:val="20"/>
        </w:rPr>
        <w:t>-</w:t>
      </w:r>
      <w:r w:rsidRPr="00E26C8E">
        <w:rPr>
          <w:rFonts w:eastAsia="Times New Roman"/>
          <w:szCs w:val="20"/>
        </w:rPr>
        <w:tab/>
        <w:t>Website</w:t>
      </w:r>
    </w:p>
    <w:p w:rsidR="00E26C8E" w:rsidRPr="00E26C8E" w:rsidRDefault="00E26C8E" w:rsidP="00E26C8E">
      <w:pPr>
        <w:ind w:left="993" w:hanging="283"/>
        <w:rPr>
          <w:rFonts w:eastAsia="Times New Roman"/>
          <w:szCs w:val="20"/>
        </w:rPr>
      </w:pPr>
      <w:r w:rsidRPr="00E26C8E">
        <w:rPr>
          <w:rFonts w:eastAsia="Times New Roman"/>
          <w:szCs w:val="20"/>
        </w:rPr>
        <w:t>-</w:t>
      </w:r>
      <w:r w:rsidRPr="00E26C8E">
        <w:rPr>
          <w:rFonts w:eastAsia="Times New Roman"/>
          <w:szCs w:val="20"/>
        </w:rPr>
        <w:tab/>
        <w:t>Phone number(s)</w:t>
      </w:r>
    </w:p>
    <w:p w:rsidR="00E26C8E" w:rsidRPr="00E26C8E" w:rsidRDefault="00E26C8E" w:rsidP="00E26C8E">
      <w:pPr>
        <w:ind w:left="709" w:hanging="284"/>
        <w:rPr>
          <w:rFonts w:eastAsia="Times New Roman"/>
          <w:szCs w:val="20"/>
        </w:rPr>
      </w:pPr>
      <w:r w:rsidRPr="00E26C8E">
        <w:rPr>
          <w:rFonts w:eastAsia="Times New Roman"/>
          <w:szCs w:val="20"/>
        </w:rPr>
        <w:t>◦</w:t>
      </w:r>
      <w:r w:rsidRPr="00E26C8E">
        <w:rPr>
          <w:rFonts w:eastAsia="Times New Roman"/>
          <w:szCs w:val="20"/>
        </w:rPr>
        <w:tab/>
        <w:t>Contact Person details including:</w:t>
      </w:r>
    </w:p>
    <w:p w:rsidR="00E26C8E" w:rsidRPr="00E26C8E" w:rsidRDefault="00E26C8E" w:rsidP="00E26C8E">
      <w:pPr>
        <w:ind w:left="993" w:hanging="283"/>
        <w:rPr>
          <w:rFonts w:eastAsia="Times New Roman"/>
          <w:szCs w:val="20"/>
        </w:rPr>
      </w:pPr>
      <w:r w:rsidRPr="00E26C8E">
        <w:rPr>
          <w:rFonts w:eastAsia="Times New Roman"/>
          <w:szCs w:val="20"/>
        </w:rPr>
        <w:t>-</w:t>
      </w:r>
      <w:r w:rsidRPr="00E26C8E">
        <w:rPr>
          <w:rFonts w:eastAsia="Times New Roman"/>
          <w:szCs w:val="20"/>
        </w:rPr>
        <w:tab/>
        <w:t>Name</w:t>
      </w:r>
    </w:p>
    <w:p w:rsidR="00E26C8E" w:rsidRPr="00E26C8E" w:rsidRDefault="00E26C8E" w:rsidP="00E26C8E">
      <w:pPr>
        <w:ind w:left="993" w:hanging="283"/>
        <w:rPr>
          <w:rFonts w:eastAsia="Times New Roman"/>
          <w:szCs w:val="20"/>
        </w:rPr>
      </w:pPr>
      <w:r w:rsidRPr="00E26C8E">
        <w:rPr>
          <w:rFonts w:eastAsia="Times New Roman"/>
          <w:szCs w:val="20"/>
        </w:rPr>
        <w:t>-</w:t>
      </w:r>
      <w:r w:rsidRPr="00E26C8E">
        <w:rPr>
          <w:rFonts w:eastAsia="Times New Roman"/>
          <w:szCs w:val="20"/>
        </w:rPr>
        <w:tab/>
        <w:t>Position Title</w:t>
      </w:r>
    </w:p>
    <w:p w:rsidR="00E26C8E" w:rsidRPr="00E26C8E" w:rsidRDefault="00E26C8E" w:rsidP="00E26C8E">
      <w:pPr>
        <w:ind w:left="993" w:hanging="283"/>
        <w:rPr>
          <w:rFonts w:eastAsia="Times New Roman"/>
          <w:szCs w:val="20"/>
        </w:rPr>
      </w:pPr>
      <w:r w:rsidRPr="00E26C8E">
        <w:rPr>
          <w:rFonts w:eastAsia="Times New Roman"/>
          <w:szCs w:val="20"/>
        </w:rPr>
        <w:t>-</w:t>
      </w:r>
      <w:r w:rsidRPr="00E26C8E">
        <w:rPr>
          <w:rFonts w:eastAsia="Times New Roman"/>
          <w:szCs w:val="20"/>
        </w:rPr>
        <w:tab/>
        <w:t>Email</w:t>
      </w:r>
    </w:p>
    <w:p w:rsidR="00E26C8E" w:rsidRPr="00E26C8E" w:rsidRDefault="00E26C8E" w:rsidP="00E26C8E">
      <w:pPr>
        <w:ind w:left="993" w:hanging="283"/>
        <w:rPr>
          <w:rFonts w:eastAsia="Times New Roman"/>
          <w:szCs w:val="20"/>
        </w:rPr>
      </w:pPr>
      <w:r w:rsidRPr="00E26C8E">
        <w:rPr>
          <w:rFonts w:eastAsia="Times New Roman"/>
          <w:szCs w:val="20"/>
        </w:rPr>
        <w:t>-</w:t>
      </w:r>
      <w:r w:rsidRPr="00E26C8E">
        <w:rPr>
          <w:rFonts w:eastAsia="Times New Roman"/>
          <w:szCs w:val="20"/>
        </w:rPr>
        <w:tab/>
        <w:t>Phone number(s)</w:t>
      </w:r>
    </w:p>
    <w:p w:rsidR="00E26C8E" w:rsidRPr="00E26C8E" w:rsidRDefault="00E26C8E" w:rsidP="00E26C8E">
      <w:pPr>
        <w:ind w:left="993" w:hanging="283"/>
        <w:rPr>
          <w:rFonts w:eastAsia="Times New Roman"/>
          <w:szCs w:val="20"/>
        </w:rPr>
      </w:pPr>
      <w:r w:rsidRPr="00E26C8E">
        <w:rPr>
          <w:rFonts w:eastAsia="Times New Roman"/>
          <w:szCs w:val="20"/>
        </w:rPr>
        <w:t>-</w:t>
      </w:r>
      <w:r w:rsidRPr="00E26C8E">
        <w:rPr>
          <w:rFonts w:eastAsia="Times New Roman"/>
          <w:szCs w:val="20"/>
        </w:rPr>
        <w:tab/>
        <w:t>Consent to receive electronic correspondence (or otherwise)</w:t>
      </w:r>
    </w:p>
    <w:p w:rsidR="00E26C8E" w:rsidRPr="00E26C8E" w:rsidRDefault="00E26C8E" w:rsidP="00E26C8E">
      <w:pPr>
        <w:spacing w:after="0" w:line="240" w:lineRule="auto"/>
        <w:jc w:val="left"/>
        <w:rPr>
          <w:rFonts w:eastAsia="Times New Roman"/>
          <w:szCs w:val="20"/>
        </w:rPr>
      </w:pPr>
      <w:r w:rsidRPr="00E26C8E">
        <w:rPr>
          <w:rFonts w:eastAsia="Times New Roman"/>
          <w:szCs w:val="20"/>
        </w:rPr>
        <w:br w:type="page"/>
      </w:r>
    </w:p>
    <w:p w:rsidR="00E26C8E" w:rsidRPr="00E26C8E" w:rsidRDefault="00E26C8E" w:rsidP="00E26C8E">
      <w:pPr>
        <w:ind w:left="142"/>
        <w:rPr>
          <w:rFonts w:eastAsia="Times New Roman"/>
          <w:szCs w:val="20"/>
        </w:rPr>
      </w:pPr>
      <w:r w:rsidRPr="00E26C8E">
        <w:rPr>
          <w:rFonts w:eastAsia="Times New Roman"/>
          <w:szCs w:val="20"/>
        </w:rPr>
        <w:t xml:space="preserve">An application for an EML and/or MPL must in accordance with section 36(1)(a) and 49(1)(a) of the </w:t>
      </w:r>
      <w:r w:rsidRPr="00E26C8E">
        <w:rPr>
          <w:rFonts w:eastAsia="Times New Roman"/>
          <w:i/>
          <w:szCs w:val="20"/>
        </w:rPr>
        <w:t>Mining Act 1971</w:t>
      </w:r>
      <w:r w:rsidRPr="00E26C8E">
        <w:rPr>
          <w:rFonts w:eastAsia="Times New Roman"/>
          <w:szCs w:val="20"/>
        </w:rPr>
        <w:t xml:space="preserve"> be in the following form, unless otherwise specified by the Director of Mines or an authorised officer:</w:t>
      </w:r>
    </w:p>
    <w:p w:rsidR="00E26C8E" w:rsidRPr="00E26C8E" w:rsidRDefault="00E26C8E" w:rsidP="00E26C8E">
      <w:pPr>
        <w:ind w:left="426" w:hanging="283"/>
        <w:rPr>
          <w:rFonts w:eastAsia="Times New Roman"/>
          <w:szCs w:val="20"/>
        </w:rPr>
      </w:pPr>
      <w:r w:rsidRPr="00E26C8E">
        <w:rPr>
          <w:rFonts w:eastAsia="Times New Roman"/>
          <w:szCs w:val="20"/>
        </w:rPr>
        <w:t>•</w:t>
      </w:r>
      <w:r w:rsidRPr="00E26C8E">
        <w:rPr>
          <w:rFonts w:eastAsia="Times New Roman"/>
          <w:szCs w:val="20"/>
        </w:rPr>
        <w:tab/>
        <w:t xml:space="preserve">an electronic version of the Proposal must be submitted in accordance with regulation 88 of the </w:t>
      </w:r>
      <w:r w:rsidRPr="00E26C8E">
        <w:rPr>
          <w:rFonts w:eastAsia="Times New Roman"/>
          <w:i/>
          <w:szCs w:val="20"/>
        </w:rPr>
        <w:t>Mining Regulations 2020</w:t>
      </w:r>
      <w:r w:rsidRPr="00E26C8E">
        <w:rPr>
          <w:rFonts w:eastAsia="Times New Roman"/>
          <w:szCs w:val="20"/>
        </w:rPr>
        <w:t>; hardcopies must be submitted upon request; the information in all must be identical;</w:t>
      </w:r>
    </w:p>
    <w:p w:rsidR="00E26C8E" w:rsidRPr="00E26C8E" w:rsidRDefault="00E26C8E" w:rsidP="00E26C8E">
      <w:pPr>
        <w:ind w:left="426" w:hanging="283"/>
        <w:rPr>
          <w:rFonts w:eastAsia="Times New Roman"/>
          <w:szCs w:val="20"/>
        </w:rPr>
      </w:pPr>
      <w:r w:rsidRPr="00E26C8E">
        <w:rPr>
          <w:rFonts w:eastAsia="Times New Roman"/>
          <w:szCs w:val="20"/>
        </w:rPr>
        <w:t>•</w:t>
      </w:r>
      <w:r w:rsidRPr="00E26C8E">
        <w:rPr>
          <w:rFonts w:eastAsia="Times New Roman"/>
          <w:szCs w:val="20"/>
        </w:rPr>
        <w:tab/>
        <w:t>each page, plan or other separate sheet of the Proposal must include the mineral claim, retention lease or exploration licence number(s), date of the application submission and sequential page numbering; and</w:t>
      </w:r>
    </w:p>
    <w:p w:rsidR="00E26C8E" w:rsidRPr="00E26C8E" w:rsidRDefault="00E26C8E" w:rsidP="00E26C8E">
      <w:pPr>
        <w:ind w:left="426" w:hanging="283"/>
        <w:rPr>
          <w:rFonts w:eastAsia="Times New Roman"/>
          <w:szCs w:val="20"/>
        </w:rPr>
      </w:pPr>
      <w:r w:rsidRPr="00E26C8E">
        <w:rPr>
          <w:rFonts w:eastAsia="Times New Roman"/>
          <w:szCs w:val="20"/>
        </w:rPr>
        <w:t>•</w:t>
      </w:r>
      <w:r w:rsidRPr="00E26C8E">
        <w:rPr>
          <w:rFonts w:eastAsia="Times New Roman"/>
          <w:szCs w:val="20"/>
        </w:rPr>
        <w:tab/>
        <w:t>the electronic version of the Proposal must be submitted in one single Acrobat PDF file or if requested by the Director of Mines or an authorised officer, Microsoft WORD compatible files must be submitted.</w:t>
      </w:r>
    </w:p>
    <w:p w:rsidR="00E26C8E" w:rsidRPr="00E26C8E" w:rsidRDefault="00E26C8E" w:rsidP="00E26C8E">
      <w:pPr>
        <w:ind w:left="284" w:hanging="284"/>
        <w:rPr>
          <w:rFonts w:eastAsia="Times New Roman"/>
          <w:b/>
          <w:szCs w:val="20"/>
        </w:rPr>
      </w:pPr>
      <w:r w:rsidRPr="00E26C8E">
        <w:rPr>
          <w:rFonts w:eastAsia="Times New Roman"/>
          <w:b/>
          <w:szCs w:val="20"/>
        </w:rPr>
        <w:t>PROPOSAL</w:t>
      </w:r>
    </w:p>
    <w:p w:rsidR="00E26C8E" w:rsidRPr="00E26C8E" w:rsidRDefault="00E26C8E" w:rsidP="00E26C8E">
      <w:pPr>
        <w:ind w:left="142"/>
        <w:rPr>
          <w:rFonts w:eastAsia="Times New Roman"/>
          <w:szCs w:val="20"/>
        </w:rPr>
      </w:pPr>
      <w:r w:rsidRPr="00E26C8E">
        <w:rPr>
          <w:rFonts w:eastAsia="Times New Roman"/>
          <w:szCs w:val="20"/>
        </w:rPr>
        <w:t xml:space="preserve">An application for an EML and/or MPL must be accompanied by a proposal that complies with sections 36 and 49 of the </w:t>
      </w:r>
      <w:r w:rsidRPr="00E26C8E">
        <w:rPr>
          <w:rFonts w:eastAsia="Times New Roman"/>
          <w:i/>
          <w:szCs w:val="20"/>
        </w:rPr>
        <w:t>Mining Act 1971</w:t>
      </w:r>
      <w:r w:rsidRPr="00E26C8E">
        <w:rPr>
          <w:rFonts w:eastAsia="Times New Roman"/>
          <w:szCs w:val="20"/>
        </w:rPr>
        <w:t xml:space="preserve"> and regulations 46 and 47 of the </w:t>
      </w:r>
      <w:r w:rsidRPr="00E26C8E">
        <w:rPr>
          <w:rFonts w:eastAsia="Times New Roman"/>
          <w:i/>
          <w:szCs w:val="20"/>
        </w:rPr>
        <w:t>Mining Regulations 2020</w:t>
      </w:r>
      <w:r w:rsidRPr="00E26C8E">
        <w:rPr>
          <w:rFonts w:eastAsia="Times New Roman"/>
          <w:szCs w:val="20"/>
        </w:rPr>
        <w:t>, and must comply with the following determinations of this Terms of Reference as set out below:</w:t>
      </w:r>
    </w:p>
    <w:p w:rsidR="00E26C8E" w:rsidRPr="00E26C8E" w:rsidRDefault="00E26C8E" w:rsidP="00E26C8E">
      <w:pPr>
        <w:ind w:left="426" w:hanging="284"/>
        <w:rPr>
          <w:rFonts w:eastAsia="Times New Roman"/>
          <w:b/>
          <w:szCs w:val="20"/>
        </w:rPr>
      </w:pPr>
      <w:r w:rsidRPr="00E26C8E">
        <w:rPr>
          <w:rFonts w:eastAsia="Times New Roman"/>
          <w:b/>
          <w:szCs w:val="20"/>
        </w:rPr>
        <w:t>1.</w:t>
      </w:r>
      <w:r w:rsidRPr="00E26C8E">
        <w:rPr>
          <w:rFonts w:eastAsia="Times New Roman"/>
          <w:b/>
          <w:szCs w:val="20"/>
        </w:rPr>
        <w:tab/>
        <w:t>DESCRIPTION OF THE EXISTING ENVIRONMENT</w:t>
      </w:r>
    </w:p>
    <w:p w:rsidR="00E26C8E" w:rsidRPr="00E26C8E" w:rsidRDefault="00E26C8E" w:rsidP="00E26C8E">
      <w:pPr>
        <w:ind w:left="426"/>
        <w:rPr>
          <w:rFonts w:eastAsia="Times New Roman"/>
          <w:szCs w:val="20"/>
        </w:rPr>
      </w:pPr>
      <w:r w:rsidRPr="00E26C8E">
        <w:rPr>
          <w:rFonts w:eastAsia="Times New Roman"/>
          <w:szCs w:val="20"/>
        </w:rPr>
        <w:t xml:space="preserve">In setting out an assessment of the environmental impacts of the proposed authorised operations in accordance with sections 36(1)(c)(ii)(A) and 49(1)(c)(ii)(A) of the </w:t>
      </w:r>
      <w:r w:rsidRPr="00E26C8E">
        <w:rPr>
          <w:rFonts w:eastAsia="Times New Roman"/>
          <w:i/>
          <w:szCs w:val="20"/>
        </w:rPr>
        <w:t>Mining Act 1971</w:t>
      </w:r>
      <w:r w:rsidRPr="00E26C8E">
        <w:rPr>
          <w:rFonts w:eastAsia="Times New Roman"/>
          <w:szCs w:val="20"/>
        </w:rPr>
        <w:t xml:space="preserve"> and regulation 46(2) of the </w:t>
      </w:r>
      <w:r w:rsidRPr="00E26C8E">
        <w:rPr>
          <w:rFonts w:eastAsia="Times New Roman"/>
          <w:i/>
          <w:szCs w:val="20"/>
        </w:rPr>
        <w:t>Mining Regulations 2020</w:t>
      </w:r>
      <w:r w:rsidRPr="00E26C8E">
        <w:rPr>
          <w:rFonts w:eastAsia="Times New Roman"/>
          <w:szCs w:val="20"/>
        </w:rPr>
        <w:t xml:space="preserve">, the Minister determines in accordance with regulation 46(7)(e) of the </w:t>
      </w:r>
      <w:r w:rsidRPr="00E26C8E">
        <w:rPr>
          <w:rFonts w:eastAsia="Times New Roman"/>
          <w:i/>
          <w:szCs w:val="20"/>
        </w:rPr>
        <w:t>Mining Regulations 2020</w:t>
      </w:r>
      <w:r w:rsidRPr="00E26C8E">
        <w:rPr>
          <w:rFonts w:eastAsia="Times New Roman"/>
          <w:szCs w:val="20"/>
        </w:rPr>
        <w:t xml:space="preserve"> that a proposal must include a description and assessment of the environment as set out in this Terms of Reference. Each of the elements of the existing environment (as defined in section 6(4) of the </w:t>
      </w:r>
      <w:r w:rsidRPr="00E26C8E">
        <w:rPr>
          <w:rFonts w:eastAsia="Times New Roman"/>
          <w:i/>
          <w:szCs w:val="20"/>
        </w:rPr>
        <w:t>Mining Act 1971</w:t>
      </w:r>
      <w:r w:rsidRPr="00E26C8E">
        <w:rPr>
          <w:rFonts w:eastAsia="Times New Roman"/>
          <w:szCs w:val="20"/>
        </w:rPr>
        <w:t>) listed in clause 1.1- 1.19 must be described only to the extent that they may need to be considered in assessing the potential impacts of the proposed quarry operations. If the element is not likely to be impacted by the operation, a statement to that effect must be included.</w:t>
      </w:r>
    </w:p>
    <w:p w:rsidR="00E26C8E" w:rsidRPr="00E26C8E" w:rsidRDefault="00E26C8E" w:rsidP="00E26C8E">
      <w:pPr>
        <w:ind w:left="851" w:hanging="426"/>
        <w:rPr>
          <w:rFonts w:eastAsia="Times New Roman"/>
          <w:b/>
          <w:szCs w:val="20"/>
        </w:rPr>
      </w:pPr>
      <w:r w:rsidRPr="00E26C8E">
        <w:rPr>
          <w:rFonts w:eastAsia="Times New Roman"/>
          <w:b/>
          <w:szCs w:val="20"/>
        </w:rPr>
        <w:t>1.1</w:t>
      </w:r>
      <w:r w:rsidRPr="00E26C8E">
        <w:rPr>
          <w:rFonts w:eastAsia="Times New Roman"/>
          <w:b/>
          <w:szCs w:val="20"/>
        </w:rPr>
        <w:tab/>
        <w:t>Topography and landscape</w:t>
      </w:r>
    </w:p>
    <w:p w:rsidR="00E26C8E" w:rsidRPr="00E26C8E" w:rsidRDefault="00E26C8E" w:rsidP="00E26C8E">
      <w:pPr>
        <w:ind w:left="851"/>
        <w:rPr>
          <w:rFonts w:eastAsia="Times New Roman"/>
          <w:szCs w:val="20"/>
        </w:rPr>
      </w:pPr>
      <w:r w:rsidRPr="00E26C8E">
        <w:rPr>
          <w:rFonts w:eastAsia="Times New Roman"/>
          <w:szCs w:val="20"/>
        </w:rPr>
        <w:t>Provide a description and map (as per 5.1.1.1) of the topography and landscape, detailing the:</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application area; and</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general surroundings.</w:t>
      </w:r>
    </w:p>
    <w:p w:rsidR="00E26C8E" w:rsidRPr="00E26C8E" w:rsidRDefault="00E26C8E" w:rsidP="00E26C8E">
      <w:pPr>
        <w:ind w:left="851" w:hanging="426"/>
        <w:rPr>
          <w:rFonts w:eastAsia="Times New Roman"/>
          <w:b/>
          <w:szCs w:val="20"/>
        </w:rPr>
      </w:pPr>
      <w:r w:rsidRPr="00E26C8E">
        <w:rPr>
          <w:rFonts w:eastAsia="Times New Roman"/>
          <w:b/>
          <w:szCs w:val="20"/>
        </w:rPr>
        <w:t>1.2</w:t>
      </w:r>
      <w:r w:rsidRPr="00E26C8E">
        <w:rPr>
          <w:rFonts w:eastAsia="Times New Roman"/>
          <w:b/>
          <w:szCs w:val="20"/>
        </w:rPr>
        <w:tab/>
        <w:t>Climate</w:t>
      </w:r>
    </w:p>
    <w:p w:rsidR="00E26C8E" w:rsidRPr="00E26C8E" w:rsidRDefault="00E26C8E" w:rsidP="00E26C8E">
      <w:pPr>
        <w:ind w:left="851"/>
        <w:rPr>
          <w:rFonts w:eastAsia="Times New Roman"/>
          <w:szCs w:val="20"/>
        </w:rPr>
      </w:pPr>
      <w:r w:rsidRPr="00E26C8E">
        <w:rPr>
          <w:rFonts w:eastAsia="Times New Roman"/>
          <w:szCs w:val="20"/>
        </w:rPr>
        <w:t>Provide a summary from the nearest relevant weather station of:</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annual rainfall and temperature patterns; and</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prevailing wind directions and speed (including maximum wind gusts).</w:t>
      </w:r>
    </w:p>
    <w:p w:rsidR="00E26C8E" w:rsidRPr="00E26C8E" w:rsidRDefault="00E26C8E" w:rsidP="00E26C8E">
      <w:pPr>
        <w:ind w:left="851" w:hanging="426"/>
        <w:rPr>
          <w:rFonts w:eastAsia="Times New Roman"/>
          <w:b/>
          <w:szCs w:val="20"/>
        </w:rPr>
      </w:pPr>
      <w:r w:rsidRPr="00E26C8E">
        <w:rPr>
          <w:rFonts w:eastAsia="Times New Roman"/>
          <w:b/>
          <w:szCs w:val="20"/>
        </w:rPr>
        <w:t>1.3</w:t>
      </w:r>
      <w:r w:rsidRPr="00E26C8E">
        <w:rPr>
          <w:rFonts w:eastAsia="Times New Roman"/>
          <w:b/>
          <w:szCs w:val="20"/>
        </w:rPr>
        <w:tab/>
        <w:t>Topsoil and subsoil</w:t>
      </w:r>
    </w:p>
    <w:p w:rsidR="00E26C8E" w:rsidRPr="00E26C8E" w:rsidRDefault="00E26C8E" w:rsidP="00E26C8E">
      <w:pPr>
        <w:ind w:left="851"/>
        <w:rPr>
          <w:rFonts w:eastAsia="Times New Roman"/>
          <w:szCs w:val="20"/>
        </w:rPr>
      </w:pPr>
      <w:r w:rsidRPr="00E26C8E">
        <w:rPr>
          <w:rFonts w:eastAsia="Times New Roman"/>
          <w:szCs w:val="20"/>
        </w:rPr>
        <w:t>Provide:</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a description of the soil profile (type and depth), and the characteristics and/or productivity of all soils on the application area (show this information on a map as per 5.1.1.2 if there is a variation in soils over the application area); and</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identify any soil characteristics that may be an issue for disturbance or rehabilitation.</w:t>
      </w:r>
    </w:p>
    <w:p w:rsidR="00E26C8E" w:rsidRPr="00E26C8E" w:rsidRDefault="00E26C8E" w:rsidP="00E26C8E">
      <w:pPr>
        <w:ind w:left="851" w:hanging="426"/>
        <w:rPr>
          <w:rFonts w:eastAsia="Times New Roman"/>
          <w:b/>
          <w:szCs w:val="20"/>
        </w:rPr>
      </w:pPr>
      <w:r w:rsidRPr="00E26C8E">
        <w:rPr>
          <w:rFonts w:eastAsia="Times New Roman"/>
          <w:b/>
          <w:szCs w:val="20"/>
        </w:rPr>
        <w:t>1.4</w:t>
      </w:r>
      <w:r w:rsidRPr="00E26C8E">
        <w:rPr>
          <w:rFonts w:eastAsia="Times New Roman"/>
          <w:b/>
          <w:szCs w:val="20"/>
        </w:rPr>
        <w:tab/>
        <w:t>Geological Environment</w:t>
      </w:r>
    </w:p>
    <w:p w:rsidR="00E26C8E" w:rsidRPr="00E26C8E" w:rsidRDefault="00E26C8E" w:rsidP="00E26C8E">
      <w:pPr>
        <w:ind w:left="851"/>
        <w:rPr>
          <w:rFonts w:eastAsia="Times New Roman"/>
          <w:szCs w:val="20"/>
        </w:rPr>
      </w:pPr>
      <w:r w:rsidRPr="00E26C8E">
        <w:rPr>
          <w:rFonts w:eastAsia="Times New Roman"/>
          <w:szCs w:val="20"/>
        </w:rPr>
        <w:t>Provide:</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local geological or site map (as per 5.1.1.2), showing location and dimensions of the deposit and structure (dip and strike where appropriate);</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representative cross sections (as per 5.2.1.1) of the proposed quarry area that identify the extent of the resource and estimate any overlying overburden; and</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a description and results of any geological evaluation work carried out.</w:t>
      </w:r>
    </w:p>
    <w:p w:rsidR="00E26C8E" w:rsidRPr="00E26C8E" w:rsidRDefault="00E26C8E" w:rsidP="00E26C8E">
      <w:pPr>
        <w:ind w:left="851" w:hanging="426"/>
        <w:rPr>
          <w:rFonts w:eastAsia="Times New Roman"/>
          <w:b/>
          <w:szCs w:val="20"/>
        </w:rPr>
      </w:pPr>
      <w:r w:rsidRPr="00E26C8E">
        <w:rPr>
          <w:rFonts w:eastAsia="Times New Roman"/>
          <w:b/>
          <w:szCs w:val="20"/>
        </w:rPr>
        <w:t>1.5</w:t>
      </w:r>
      <w:r w:rsidRPr="00E26C8E">
        <w:rPr>
          <w:rFonts w:eastAsia="Times New Roman"/>
          <w:b/>
          <w:szCs w:val="20"/>
        </w:rPr>
        <w:tab/>
        <w:t>Geohazards</w:t>
      </w:r>
    </w:p>
    <w:p w:rsidR="00E26C8E" w:rsidRPr="00E26C8E" w:rsidRDefault="00E26C8E" w:rsidP="00E26C8E">
      <w:pPr>
        <w:ind w:left="851"/>
        <w:rPr>
          <w:rFonts w:eastAsia="Times New Roman"/>
          <w:szCs w:val="20"/>
        </w:rPr>
      </w:pPr>
      <w:r w:rsidRPr="00E26C8E">
        <w:rPr>
          <w:rFonts w:eastAsia="Times New Roman"/>
          <w:szCs w:val="20"/>
        </w:rPr>
        <w:t>Provide an assessment of the potential for any of the following natural geohazards to be present in the application area:</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structural instability including slips, faults, karst features or geological unit boundaries;</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minerals that may occur in the material to be quarried (including overburden) and are hazardous to human health specifically radioactive minerals, asbestiform minerals or minerals which have the potential to produce respirable silica; and</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minerals that may occur in the material to be quarried (including overburden) that may have the potential to pollute the environment - including but not limited to sulphide minerals that may generate acid.</w:t>
      </w:r>
    </w:p>
    <w:p w:rsidR="00E26C8E" w:rsidRPr="00E26C8E" w:rsidRDefault="00E26C8E" w:rsidP="00E26C8E">
      <w:pPr>
        <w:ind w:left="851" w:hanging="426"/>
        <w:rPr>
          <w:rFonts w:eastAsia="Times New Roman"/>
          <w:b/>
          <w:szCs w:val="20"/>
        </w:rPr>
      </w:pPr>
      <w:r w:rsidRPr="00E26C8E">
        <w:rPr>
          <w:rFonts w:eastAsia="Times New Roman"/>
          <w:b/>
          <w:szCs w:val="20"/>
        </w:rPr>
        <w:t>1.6</w:t>
      </w:r>
      <w:r w:rsidRPr="00E26C8E">
        <w:rPr>
          <w:rFonts w:eastAsia="Times New Roman"/>
          <w:b/>
          <w:szCs w:val="20"/>
        </w:rPr>
        <w:tab/>
        <w:t>Groundwater</w:t>
      </w:r>
    </w:p>
    <w:p w:rsidR="00E26C8E" w:rsidRPr="00E26C8E" w:rsidRDefault="00E26C8E" w:rsidP="00E26C8E">
      <w:pPr>
        <w:ind w:left="851"/>
        <w:rPr>
          <w:rFonts w:eastAsia="Times New Roman"/>
          <w:szCs w:val="20"/>
        </w:rPr>
      </w:pPr>
      <w:r w:rsidRPr="00E26C8E">
        <w:rPr>
          <w:rFonts w:eastAsia="Times New Roman"/>
          <w:szCs w:val="20"/>
        </w:rPr>
        <w:t>Provide:</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 xml:space="preserve">a statement describing if the application area is within an area where the water resources are prescribed under the </w:t>
      </w:r>
      <w:r w:rsidRPr="00E26C8E">
        <w:rPr>
          <w:rFonts w:eastAsia="Times New Roman"/>
          <w:i/>
          <w:szCs w:val="20"/>
        </w:rPr>
        <w:t>Landscape South Australia Act 2019</w:t>
      </w:r>
      <w:r w:rsidRPr="00E26C8E">
        <w:rPr>
          <w:rFonts w:eastAsia="Times New Roman"/>
          <w:szCs w:val="20"/>
        </w:rPr>
        <w:t>;</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a map (as per 5.1.1.3) showing groundwater wells in the surrounding area, highlighting those used to determine the seasonally high water table elevation;</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a cross section (as per 5.2.1.2) showing the proposed quarrying and seasonally high water table elevation in metres Australian Height Datum (AHD); and</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evidence to validate the estimated seasonally high water table.</w:t>
      </w:r>
    </w:p>
    <w:p w:rsidR="00E26C8E" w:rsidRPr="00E26C8E" w:rsidRDefault="00E26C8E" w:rsidP="00E26C8E">
      <w:pPr>
        <w:ind w:left="851"/>
        <w:rPr>
          <w:rFonts w:eastAsia="Times New Roman"/>
          <w:szCs w:val="20"/>
        </w:rPr>
      </w:pPr>
      <w:r w:rsidRPr="00E26C8E">
        <w:rPr>
          <w:rFonts w:eastAsia="Times New Roman"/>
          <w:szCs w:val="20"/>
        </w:rPr>
        <w:t>If the proposed quarry has the potential to intersect the seasonally high water table, the following must be provided:</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details of local groundwater systems, including information on water quality and static water level (including seasonal fluctuations), recharge and discharge mechanisms, aquifer hydraulic properties, location of any aquifer and static water level of any other known drill holes; and</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an assessment of any current use of this water by the landowner, adjacent landowners and groundwater dependent ecosystems.</w:t>
      </w:r>
      <w:r w:rsidRPr="00E26C8E">
        <w:rPr>
          <w:rFonts w:eastAsia="Times New Roman"/>
          <w:b/>
          <w:szCs w:val="20"/>
        </w:rPr>
        <w:br w:type="page"/>
      </w:r>
    </w:p>
    <w:p w:rsidR="00E26C8E" w:rsidRPr="00E26C8E" w:rsidRDefault="00E26C8E" w:rsidP="00E26C8E">
      <w:pPr>
        <w:ind w:left="851" w:hanging="426"/>
        <w:rPr>
          <w:rFonts w:eastAsia="Times New Roman"/>
          <w:b/>
          <w:szCs w:val="20"/>
        </w:rPr>
      </w:pPr>
      <w:r w:rsidRPr="00E26C8E">
        <w:rPr>
          <w:rFonts w:eastAsia="Times New Roman"/>
          <w:b/>
          <w:szCs w:val="20"/>
        </w:rPr>
        <w:t>1.7</w:t>
      </w:r>
      <w:r w:rsidRPr="00E26C8E">
        <w:rPr>
          <w:rFonts w:eastAsia="Times New Roman"/>
          <w:b/>
          <w:szCs w:val="20"/>
        </w:rPr>
        <w:tab/>
        <w:t>Surface water</w:t>
      </w:r>
    </w:p>
    <w:p w:rsidR="00E26C8E" w:rsidRPr="00E26C8E" w:rsidRDefault="00E26C8E" w:rsidP="00E26C8E">
      <w:pPr>
        <w:ind w:left="851"/>
        <w:rPr>
          <w:rFonts w:eastAsia="Times New Roman"/>
          <w:szCs w:val="20"/>
        </w:rPr>
      </w:pPr>
      <w:r w:rsidRPr="00E26C8E">
        <w:rPr>
          <w:rFonts w:eastAsia="Times New Roman"/>
          <w:szCs w:val="20"/>
        </w:rPr>
        <w:t>Provide a Topographic Map (as per 5.1.1.1) and description of the current drainage patterns for the application area and water catchment including:</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location of watercourses, drains, dams and wetlands;</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surface water catchment boundaries;</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direction of drainage and discharge from the application area;</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 xml:space="preserve">a statement describing if the application area is within an area where the water resources are prescribed under the </w:t>
      </w:r>
      <w:r w:rsidRPr="00E26C8E">
        <w:rPr>
          <w:rFonts w:eastAsia="Times New Roman"/>
          <w:i/>
          <w:szCs w:val="20"/>
        </w:rPr>
        <w:t>Landscape South Australia Act 2019</w:t>
      </w:r>
      <w:r w:rsidRPr="00E26C8E">
        <w:rPr>
          <w:rFonts w:eastAsia="Times New Roman"/>
          <w:szCs w:val="20"/>
        </w:rPr>
        <w:t>, and provide details on the current availability of water resources within the prescribed area;</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 xml:space="preserve">a statement describing if the application area is within a water protection area including areas under the </w:t>
      </w:r>
      <w:r w:rsidRPr="00E26C8E">
        <w:rPr>
          <w:rFonts w:eastAsia="Times New Roman"/>
          <w:i/>
          <w:szCs w:val="20"/>
        </w:rPr>
        <w:t>River Murray Act 2003</w:t>
      </w:r>
      <w:r w:rsidRPr="00E26C8E">
        <w:rPr>
          <w:rFonts w:eastAsia="Times New Roman"/>
          <w:szCs w:val="20"/>
        </w:rPr>
        <w:t>; and</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a statement as to whether the application area falls within the Murray Darling Basin.</w:t>
      </w:r>
    </w:p>
    <w:p w:rsidR="00E26C8E" w:rsidRPr="00E26C8E" w:rsidRDefault="00E26C8E" w:rsidP="00E26C8E">
      <w:pPr>
        <w:ind w:left="851"/>
        <w:rPr>
          <w:rFonts w:eastAsia="Times New Roman"/>
          <w:szCs w:val="20"/>
        </w:rPr>
      </w:pPr>
      <w:r w:rsidRPr="00E26C8E">
        <w:rPr>
          <w:rFonts w:eastAsia="Times New Roman"/>
          <w:szCs w:val="20"/>
        </w:rPr>
        <w:t>If there is potential for changing a flow regime (including change in flow volume) or discharge into these watercourses from the proposed quarry operations, an assessment of the use of this water by the landowner, downstream users and water dependent ecosystems must be included.</w:t>
      </w:r>
    </w:p>
    <w:p w:rsidR="00E26C8E" w:rsidRPr="00E26C8E" w:rsidRDefault="00E26C8E" w:rsidP="00E26C8E">
      <w:pPr>
        <w:ind w:left="851" w:hanging="426"/>
        <w:rPr>
          <w:rFonts w:eastAsia="Times New Roman"/>
          <w:b/>
          <w:szCs w:val="20"/>
        </w:rPr>
      </w:pPr>
      <w:r w:rsidRPr="00E26C8E">
        <w:rPr>
          <w:rFonts w:eastAsia="Times New Roman"/>
          <w:b/>
          <w:szCs w:val="20"/>
        </w:rPr>
        <w:t>1.8</w:t>
      </w:r>
      <w:r w:rsidRPr="00E26C8E">
        <w:rPr>
          <w:rFonts w:eastAsia="Times New Roman"/>
          <w:b/>
          <w:szCs w:val="20"/>
        </w:rPr>
        <w:tab/>
        <w:t>Vegetation, weeds and plant pathogens</w:t>
      </w:r>
    </w:p>
    <w:p w:rsidR="00E26C8E" w:rsidRPr="00E26C8E" w:rsidRDefault="00E26C8E" w:rsidP="00E26C8E">
      <w:pPr>
        <w:ind w:left="851"/>
        <w:rPr>
          <w:rFonts w:eastAsia="Times New Roman"/>
          <w:szCs w:val="20"/>
        </w:rPr>
      </w:pPr>
      <w:r w:rsidRPr="00E26C8E">
        <w:rPr>
          <w:rFonts w:eastAsia="Times New Roman"/>
          <w:szCs w:val="20"/>
        </w:rPr>
        <w:t>Provide:</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a description and map (as per 5.1.1.1) of existing flora (native and introduced) in the application area and surroundings;</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the State conservation status and habitat value of native vegetation present in the application area;</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 xml:space="preserve">a description of the presence of </w:t>
      </w:r>
      <w:r w:rsidRPr="00E26C8E">
        <w:rPr>
          <w:rFonts w:eastAsia="Times New Roman"/>
          <w:i/>
          <w:szCs w:val="20"/>
        </w:rPr>
        <w:t>Commonwealth Environment Protection and Biodiversity Conservation Act 1999</w:t>
      </w:r>
      <w:r w:rsidRPr="00E26C8E">
        <w:rPr>
          <w:rFonts w:eastAsia="Times New Roman"/>
          <w:szCs w:val="20"/>
        </w:rPr>
        <w:t xml:space="preserve"> listed species and ecological communities;</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a description of the extent the application area and adjoining land is affected or potentially affected by pathogens and declared weeds, including but not limited to phytophthora and broomrape; and</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if known, a description of the history of land use to identify if the existing vegetation is the result of deliberate cultivation or natural regrowth arising from previous clearance.</w:t>
      </w:r>
    </w:p>
    <w:p w:rsidR="00E26C8E" w:rsidRPr="00E26C8E" w:rsidRDefault="00E26C8E" w:rsidP="00E26C8E">
      <w:pPr>
        <w:ind w:left="851" w:hanging="426"/>
        <w:rPr>
          <w:rFonts w:eastAsia="Times New Roman"/>
          <w:b/>
          <w:szCs w:val="20"/>
        </w:rPr>
      </w:pPr>
      <w:r w:rsidRPr="00E26C8E">
        <w:rPr>
          <w:rFonts w:eastAsia="Times New Roman"/>
          <w:b/>
          <w:szCs w:val="20"/>
        </w:rPr>
        <w:t>1.9</w:t>
      </w:r>
      <w:r w:rsidRPr="00E26C8E">
        <w:rPr>
          <w:rFonts w:eastAsia="Times New Roman"/>
          <w:b/>
          <w:szCs w:val="20"/>
        </w:rPr>
        <w:tab/>
        <w:t>Fauna</w:t>
      </w:r>
    </w:p>
    <w:p w:rsidR="00E26C8E" w:rsidRPr="00E26C8E" w:rsidRDefault="00E26C8E" w:rsidP="00E26C8E">
      <w:pPr>
        <w:ind w:left="851"/>
        <w:rPr>
          <w:rFonts w:eastAsia="Times New Roman"/>
          <w:szCs w:val="20"/>
        </w:rPr>
      </w:pPr>
      <w:r w:rsidRPr="00E26C8E">
        <w:rPr>
          <w:rFonts w:eastAsia="Times New Roman"/>
          <w:szCs w:val="20"/>
        </w:rPr>
        <w:t>Describe the native and feral fauna that may be present in the application area noting State or Commonwealth conservation status of all species.</w:t>
      </w:r>
    </w:p>
    <w:p w:rsidR="00E26C8E" w:rsidRPr="00E26C8E" w:rsidRDefault="00E26C8E" w:rsidP="00E26C8E">
      <w:pPr>
        <w:ind w:left="851" w:hanging="426"/>
        <w:rPr>
          <w:rFonts w:eastAsia="Times New Roman"/>
          <w:b/>
          <w:szCs w:val="20"/>
        </w:rPr>
      </w:pPr>
      <w:r w:rsidRPr="00E26C8E">
        <w:rPr>
          <w:rFonts w:eastAsia="Times New Roman"/>
          <w:b/>
          <w:szCs w:val="20"/>
        </w:rPr>
        <w:t>1.10</w:t>
      </w:r>
      <w:r w:rsidRPr="00E26C8E">
        <w:rPr>
          <w:rFonts w:eastAsia="Times New Roman"/>
          <w:b/>
          <w:szCs w:val="20"/>
        </w:rPr>
        <w:tab/>
        <w:t>Caves</w:t>
      </w:r>
    </w:p>
    <w:p w:rsidR="00E26C8E" w:rsidRPr="00E26C8E" w:rsidRDefault="00E26C8E" w:rsidP="00E26C8E">
      <w:pPr>
        <w:ind w:left="851"/>
        <w:rPr>
          <w:rFonts w:eastAsia="Times New Roman"/>
          <w:szCs w:val="20"/>
        </w:rPr>
      </w:pPr>
      <w:r w:rsidRPr="00E26C8E">
        <w:rPr>
          <w:rFonts w:eastAsia="Times New Roman"/>
          <w:szCs w:val="20"/>
        </w:rPr>
        <w:t>If the application area is within, or near to, known caves or significant limestone formations a survey for the presence of caves must be performed.</w:t>
      </w:r>
    </w:p>
    <w:p w:rsidR="00E26C8E" w:rsidRPr="00E26C8E" w:rsidRDefault="00E26C8E" w:rsidP="00E26C8E">
      <w:pPr>
        <w:ind w:left="851"/>
        <w:rPr>
          <w:rFonts w:eastAsia="Times New Roman"/>
          <w:szCs w:val="20"/>
        </w:rPr>
      </w:pPr>
      <w:r w:rsidRPr="00E26C8E">
        <w:rPr>
          <w:rFonts w:eastAsia="Times New Roman"/>
          <w:szCs w:val="20"/>
        </w:rPr>
        <w:t>Provide a summary of the results of the survey and describe the presence of any caves in karst (limestone) areas within, or near to, the application area and show on a map (as per 5.1.1.5).</w:t>
      </w:r>
    </w:p>
    <w:p w:rsidR="00E26C8E" w:rsidRPr="00E26C8E" w:rsidRDefault="00E26C8E" w:rsidP="00E26C8E">
      <w:pPr>
        <w:ind w:left="851" w:hanging="426"/>
        <w:rPr>
          <w:rFonts w:eastAsia="Times New Roman"/>
          <w:b/>
          <w:szCs w:val="20"/>
        </w:rPr>
      </w:pPr>
      <w:r w:rsidRPr="00E26C8E">
        <w:rPr>
          <w:rFonts w:eastAsia="Times New Roman"/>
          <w:b/>
          <w:szCs w:val="20"/>
        </w:rPr>
        <w:t>1.11</w:t>
      </w:r>
      <w:r w:rsidRPr="00E26C8E">
        <w:rPr>
          <w:rFonts w:eastAsia="Times New Roman"/>
          <w:b/>
          <w:szCs w:val="20"/>
        </w:rPr>
        <w:tab/>
        <w:t>Land use</w:t>
      </w:r>
    </w:p>
    <w:p w:rsidR="00E26C8E" w:rsidRPr="00E26C8E" w:rsidRDefault="00E26C8E" w:rsidP="00E26C8E">
      <w:pPr>
        <w:ind w:left="851"/>
        <w:rPr>
          <w:rFonts w:eastAsia="Times New Roman"/>
          <w:szCs w:val="20"/>
        </w:rPr>
      </w:pPr>
      <w:r w:rsidRPr="00E26C8E">
        <w:rPr>
          <w:rFonts w:eastAsia="Times New Roman"/>
          <w:szCs w:val="20"/>
        </w:rPr>
        <w:t>Provide a description of:</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land use (historical and current) for the application area and the surrounding areas;</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the zoning as defined by the Planning and Design Code or relevant council development plans;</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policies relevant to the application area, including region or council wide, zone specific and sub areas within a zone;</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known plans for potential future land use changes by other parties;</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other interests or restrictions on the application area, including:</w:t>
      </w:r>
    </w:p>
    <w:p w:rsidR="00E26C8E" w:rsidRPr="00E26C8E" w:rsidRDefault="00E26C8E" w:rsidP="00E26C8E">
      <w:pPr>
        <w:ind w:left="1418" w:hanging="284"/>
        <w:rPr>
          <w:rFonts w:eastAsia="Times New Roman"/>
          <w:szCs w:val="20"/>
        </w:rPr>
      </w:pPr>
      <w:r w:rsidRPr="00E26C8E">
        <w:rPr>
          <w:rFonts w:eastAsia="Times New Roman"/>
          <w:szCs w:val="20"/>
        </w:rPr>
        <w:t>◦</w:t>
      </w:r>
      <w:r w:rsidRPr="00E26C8E">
        <w:rPr>
          <w:rFonts w:eastAsia="Times New Roman"/>
          <w:szCs w:val="20"/>
        </w:rPr>
        <w:tab/>
        <w:t>public utility easements;</w:t>
      </w:r>
    </w:p>
    <w:p w:rsidR="00E26C8E" w:rsidRPr="00E26C8E" w:rsidRDefault="00E26C8E" w:rsidP="00E26C8E">
      <w:pPr>
        <w:ind w:left="1418" w:hanging="284"/>
        <w:rPr>
          <w:rFonts w:eastAsia="Times New Roman"/>
          <w:szCs w:val="20"/>
        </w:rPr>
      </w:pPr>
      <w:r w:rsidRPr="00E26C8E">
        <w:rPr>
          <w:rFonts w:eastAsia="Times New Roman"/>
          <w:szCs w:val="20"/>
        </w:rPr>
        <w:t>◦</w:t>
      </w:r>
      <w:r w:rsidRPr="00E26C8E">
        <w:rPr>
          <w:rFonts w:eastAsia="Times New Roman"/>
          <w:szCs w:val="20"/>
        </w:rPr>
        <w:tab/>
        <w:t>if the application is within land used for defence purposes, including the Woomera Prohibited Area or the Cultana Army Training Area; and</w:t>
      </w:r>
    </w:p>
    <w:p w:rsidR="00E26C8E" w:rsidRPr="00E26C8E" w:rsidRDefault="00E26C8E" w:rsidP="00E26C8E">
      <w:pPr>
        <w:ind w:left="1418" w:hanging="284"/>
        <w:rPr>
          <w:rFonts w:eastAsia="Times New Roman"/>
          <w:szCs w:val="20"/>
        </w:rPr>
      </w:pPr>
      <w:r w:rsidRPr="00E26C8E">
        <w:rPr>
          <w:rFonts w:eastAsia="Times New Roman"/>
          <w:szCs w:val="20"/>
        </w:rPr>
        <w:t>◦</w:t>
      </w:r>
      <w:r w:rsidRPr="00E26C8E">
        <w:rPr>
          <w:rFonts w:eastAsia="Times New Roman"/>
          <w:szCs w:val="20"/>
        </w:rPr>
        <w:tab/>
        <w:t xml:space="preserve">any overlapping or adjacent tenements under the </w:t>
      </w:r>
      <w:r w:rsidRPr="00E26C8E">
        <w:rPr>
          <w:rFonts w:eastAsia="Times New Roman"/>
          <w:i/>
          <w:szCs w:val="20"/>
        </w:rPr>
        <w:t>Mining Act 1971</w:t>
      </w:r>
      <w:r w:rsidRPr="00E26C8E">
        <w:rPr>
          <w:rFonts w:eastAsia="Times New Roman"/>
          <w:szCs w:val="20"/>
        </w:rPr>
        <w:t xml:space="preserve"> or </w:t>
      </w:r>
      <w:r w:rsidRPr="00E26C8E">
        <w:rPr>
          <w:rFonts w:eastAsia="Times New Roman"/>
          <w:i/>
          <w:szCs w:val="20"/>
        </w:rPr>
        <w:t>Petroleum and Geothermal Energy Act 2000</w:t>
      </w:r>
      <w:r w:rsidRPr="00E26C8E">
        <w:rPr>
          <w:rFonts w:eastAsia="Times New Roman"/>
          <w:szCs w:val="20"/>
        </w:rPr>
        <w:t>;</w:t>
      </w:r>
    </w:p>
    <w:p w:rsidR="00E26C8E" w:rsidRPr="00E26C8E" w:rsidRDefault="00E26C8E" w:rsidP="00E26C8E">
      <w:pPr>
        <w:ind w:left="851" w:hanging="426"/>
        <w:rPr>
          <w:rFonts w:eastAsia="Times New Roman"/>
          <w:b/>
          <w:szCs w:val="20"/>
        </w:rPr>
      </w:pPr>
      <w:r w:rsidRPr="00E26C8E">
        <w:rPr>
          <w:rFonts w:eastAsia="Times New Roman"/>
          <w:b/>
          <w:szCs w:val="20"/>
        </w:rPr>
        <w:t>1.12</w:t>
      </w:r>
      <w:r w:rsidRPr="00E26C8E">
        <w:rPr>
          <w:rFonts w:eastAsia="Times New Roman"/>
          <w:b/>
          <w:szCs w:val="20"/>
        </w:rPr>
        <w:tab/>
        <w:t>Proximity to infrastructure and housing</w:t>
      </w:r>
    </w:p>
    <w:p w:rsidR="00E26C8E" w:rsidRPr="00E26C8E" w:rsidRDefault="00E26C8E" w:rsidP="00E26C8E">
      <w:pPr>
        <w:ind w:left="851"/>
        <w:rPr>
          <w:rFonts w:eastAsia="Times New Roman"/>
          <w:szCs w:val="20"/>
        </w:rPr>
      </w:pPr>
      <w:r w:rsidRPr="00E26C8E">
        <w:rPr>
          <w:rFonts w:eastAsia="Times New Roman"/>
          <w:szCs w:val="20"/>
        </w:rPr>
        <w:t>Provide information and a map (as per 5.1.1.4):</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identifying residences within and near the application area;</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identifying other human infrastructure including but not limited to schools, hospitals, commercial or industrial sites, roads, sheds, bores, dams, ruins, pumps, cemeteries, scenic lookouts, roads, railway lines, fences, transmission lines, gas and water pipelines, telephone and communication lines (both underground and above ground); and</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identifying public roads to be utilised or affected as part of proposed quarrying operations, including an estimate of the existing traffic movements.</w:t>
      </w:r>
    </w:p>
    <w:p w:rsidR="00E26C8E" w:rsidRPr="00E26C8E" w:rsidRDefault="00E26C8E" w:rsidP="00E26C8E">
      <w:pPr>
        <w:ind w:left="851" w:hanging="426"/>
        <w:rPr>
          <w:rFonts w:eastAsia="Times New Roman"/>
          <w:b/>
          <w:szCs w:val="20"/>
        </w:rPr>
      </w:pPr>
      <w:r w:rsidRPr="00E26C8E">
        <w:rPr>
          <w:rFonts w:eastAsia="Times New Roman"/>
          <w:b/>
          <w:szCs w:val="20"/>
        </w:rPr>
        <w:t>1.13</w:t>
      </w:r>
      <w:r w:rsidRPr="00E26C8E">
        <w:rPr>
          <w:rFonts w:eastAsia="Times New Roman"/>
          <w:b/>
          <w:szCs w:val="20"/>
        </w:rPr>
        <w:tab/>
        <w:t>Exempt Land</w:t>
      </w:r>
    </w:p>
    <w:p w:rsidR="00E26C8E" w:rsidRPr="00E26C8E" w:rsidRDefault="00E26C8E" w:rsidP="00E26C8E">
      <w:pPr>
        <w:ind w:left="851"/>
        <w:rPr>
          <w:rFonts w:eastAsia="Times New Roman"/>
          <w:szCs w:val="20"/>
        </w:rPr>
      </w:pPr>
      <w:r w:rsidRPr="00E26C8E">
        <w:rPr>
          <w:rFonts w:eastAsia="Times New Roman"/>
          <w:szCs w:val="20"/>
        </w:rPr>
        <w:t xml:space="preserve">Provide a description and map (as per 5.1.1.4) of any applicable exempt land under Section 9 of the </w:t>
      </w:r>
      <w:r w:rsidRPr="00E26C8E">
        <w:rPr>
          <w:rFonts w:eastAsia="Times New Roman"/>
          <w:i/>
          <w:szCs w:val="20"/>
        </w:rPr>
        <w:t>Mining Act 1971</w:t>
      </w:r>
      <w:r w:rsidRPr="00E26C8E">
        <w:rPr>
          <w:rFonts w:eastAsia="Times New Roman"/>
          <w:szCs w:val="20"/>
        </w:rPr>
        <w:t>.</w:t>
      </w:r>
    </w:p>
    <w:p w:rsidR="00E26C8E" w:rsidRPr="00E26C8E" w:rsidRDefault="00E26C8E" w:rsidP="00E26C8E">
      <w:pPr>
        <w:ind w:left="851" w:hanging="426"/>
        <w:rPr>
          <w:rFonts w:eastAsia="Times New Roman"/>
          <w:b/>
          <w:szCs w:val="20"/>
        </w:rPr>
      </w:pPr>
      <w:r w:rsidRPr="00E26C8E">
        <w:rPr>
          <w:rFonts w:eastAsia="Times New Roman"/>
          <w:b/>
          <w:szCs w:val="20"/>
        </w:rPr>
        <w:t>1.14</w:t>
      </w:r>
      <w:r w:rsidRPr="00E26C8E">
        <w:rPr>
          <w:rFonts w:eastAsia="Times New Roman"/>
          <w:b/>
          <w:szCs w:val="20"/>
        </w:rPr>
        <w:tab/>
        <w:t>Amenity</w:t>
      </w:r>
    </w:p>
    <w:p w:rsidR="00E26C8E" w:rsidRPr="00E26C8E" w:rsidRDefault="00E26C8E" w:rsidP="00E26C8E">
      <w:pPr>
        <w:ind w:left="851"/>
        <w:rPr>
          <w:rFonts w:eastAsia="Times New Roman"/>
          <w:szCs w:val="20"/>
        </w:rPr>
      </w:pPr>
      <w:r w:rsidRPr="00E26C8E">
        <w:rPr>
          <w:rFonts w:eastAsia="Times New Roman"/>
          <w:szCs w:val="20"/>
        </w:rPr>
        <w:t>Provide a summary description of scenic or aesthetic values for the application area and immediate surrounds.</w:t>
      </w:r>
    </w:p>
    <w:p w:rsidR="00E26C8E" w:rsidRPr="00E26C8E" w:rsidRDefault="00E26C8E" w:rsidP="00E26C8E">
      <w:pPr>
        <w:ind w:left="851" w:hanging="426"/>
        <w:rPr>
          <w:rFonts w:eastAsia="Times New Roman"/>
          <w:b/>
          <w:szCs w:val="20"/>
        </w:rPr>
      </w:pPr>
      <w:r w:rsidRPr="00E26C8E">
        <w:rPr>
          <w:rFonts w:eastAsia="Times New Roman"/>
          <w:b/>
          <w:szCs w:val="20"/>
        </w:rPr>
        <w:t>1.15</w:t>
      </w:r>
      <w:r w:rsidRPr="00E26C8E">
        <w:rPr>
          <w:rFonts w:eastAsia="Times New Roman"/>
          <w:b/>
          <w:szCs w:val="20"/>
        </w:rPr>
        <w:tab/>
        <w:t>Air quality</w:t>
      </w:r>
    </w:p>
    <w:p w:rsidR="00E26C8E" w:rsidRPr="00E26C8E" w:rsidRDefault="00E26C8E" w:rsidP="00E26C8E">
      <w:pPr>
        <w:ind w:left="851"/>
        <w:rPr>
          <w:rFonts w:eastAsia="Times New Roman"/>
          <w:szCs w:val="20"/>
        </w:rPr>
      </w:pPr>
      <w:r w:rsidRPr="00E26C8E">
        <w:rPr>
          <w:rFonts w:eastAsia="Times New Roman"/>
          <w:szCs w:val="20"/>
        </w:rPr>
        <w:t>Provide a description of the existing levels of dust and contributors to air quality (both natural and anthropogenic).</w:t>
      </w:r>
    </w:p>
    <w:p w:rsidR="00E26C8E" w:rsidRPr="00E26C8E" w:rsidRDefault="00E26C8E" w:rsidP="00E26C8E">
      <w:pPr>
        <w:ind w:left="851" w:hanging="426"/>
        <w:rPr>
          <w:rFonts w:eastAsia="Times New Roman"/>
          <w:b/>
          <w:szCs w:val="20"/>
        </w:rPr>
      </w:pPr>
      <w:r w:rsidRPr="00E26C8E">
        <w:rPr>
          <w:rFonts w:eastAsia="Times New Roman"/>
          <w:b/>
          <w:szCs w:val="20"/>
        </w:rPr>
        <w:t>1.16</w:t>
      </w:r>
      <w:r w:rsidRPr="00E26C8E">
        <w:rPr>
          <w:rFonts w:eastAsia="Times New Roman"/>
          <w:b/>
          <w:szCs w:val="20"/>
        </w:rPr>
        <w:tab/>
        <w:t>Noise</w:t>
      </w:r>
    </w:p>
    <w:p w:rsidR="00E26C8E" w:rsidRPr="00E26C8E" w:rsidRDefault="00E26C8E" w:rsidP="00E26C8E">
      <w:pPr>
        <w:ind w:left="851"/>
        <w:rPr>
          <w:rFonts w:eastAsia="Times New Roman"/>
          <w:szCs w:val="20"/>
        </w:rPr>
      </w:pPr>
      <w:r w:rsidRPr="00E26C8E">
        <w:rPr>
          <w:rFonts w:eastAsia="Times New Roman"/>
          <w:szCs w:val="20"/>
        </w:rPr>
        <w:t>Provide a description of existing noise levels and contributors to noise (both natural and anthropogenic).</w:t>
      </w:r>
    </w:p>
    <w:p w:rsidR="00E26C8E" w:rsidRPr="00E26C8E" w:rsidRDefault="00E26C8E" w:rsidP="00E26C8E">
      <w:pPr>
        <w:spacing w:after="0" w:line="240" w:lineRule="auto"/>
        <w:jc w:val="left"/>
        <w:rPr>
          <w:rFonts w:eastAsia="Times New Roman"/>
          <w:b/>
          <w:szCs w:val="20"/>
        </w:rPr>
      </w:pPr>
      <w:r w:rsidRPr="00E26C8E">
        <w:rPr>
          <w:rFonts w:eastAsia="Times New Roman"/>
          <w:b/>
          <w:szCs w:val="20"/>
        </w:rPr>
        <w:br w:type="page"/>
      </w:r>
    </w:p>
    <w:p w:rsidR="00E26C8E" w:rsidRPr="00E26C8E" w:rsidRDefault="00E26C8E" w:rsidP="00E26C8E">
      <w:pPr>
        <w:ind w:left="851" w:hanging="426"/>
        <w:rPr>
          <w:rFonts w:eastAsia="Times New Roman"/>
          <w:b/>
          <w:szCs w:val="20"/>
        </w:rPr>
      </w:pPr>
      <w:r w:rsidRPr="00E26C8E">
        <w:rPr>
          <w:rFonts w:eastAsia="Times New Roman"/>
          <w:b/>
          <w:szCs w:val="20"/>
        </w:rPr>
        <w:t>1.17</w:t>
      </w:r>
      <w:r w:rsidRPr="00E26C8E">
        <w:rPr>
          <w:rFonts w:eastAsia="Times New Roman"/>
          <w:b/>
          <w:szCs w:val="20"/>
        </w:rPr>
        <w:tab/>
        <w:t>Heritage (Aboriginal, European, Geological)</w:t>
      </w:r>
    </w:p>
    <w:p w:rsidR="00E26C8E" w:rsidRPr="00E26C8E" w:rsidRDefault="00E26C8E" w:rsidP="00E26C8E">
      <w:pPr>
        <w:ind w:left="851"/>
        <w:rPr>
          <w:rFonts w:eastAsia="Times New Roman"/>
          <w:szCs w:val="20"/>
        </w:rPr>
      </w:pPr>
      <w:r w:rsidRPr="00E26C8E">
        <w:rPr>
          <w:rFonts w:eastAsia="Times New Roman"/>
          <w:szCs w:val="20"/>
        </w:rPr>
        <w:t>Detail and show on a map (as per 5.1.1.1):</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any registered heritage sites in or adjacent to the application areas that are protected under legislation (in so far as may be permitted under the relevant legislation).</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Include a statement concerning whether or not an Aboriginal cultural heritage survey has been conducted by the proponent and, if so, the results of the survey.</w:t>
      </w:r>
    </w:p>
    <w:p w:rsidR="00E26C8E" w:rsidRPr="00E26C8E" w:rsidRDefault="00E26C8E" w:rsidP="00E26C8E">
      <w:pPr>
        <w:ind w:left="851" w:hanging="426"/>
        <w:rPr>
          <w:rFonts w:eastAsia="Times New Roman"/>
          <w:b/>
          <w:szCs w:val="20"/>
        </w:rPr>
      </w:pPr>
      <w:r w:rsidRPr="00E26C8E">
        <w:rPr>
          <w:rFonts w:eastAsia="Times New Roman"/>
          <w:b/>
          <w:szCs w:val="20"/>
        </w:rPr>
        <w:t>1.18</w:t>
      </w:r>
      <w:r w:rsidRPr="00E26C8E">
        <w:rPr>
          <w:rFonts w:eastAsia="Times New Roman"/>
          <w:b/>
          <w:szCs w:val="20"/>
        </w:rPr>
        <w:tab/>
        <w:t>Proximity to conservation areas</w:t>
      </w:r>
    </w:p>
    <w:p w:rsidR="00E26C8E" w:rsidRPr="00E26C8E" w:rsidRDefault="00E26C8E" w:rsidP="00E26C8E">
      <w:pPr>
        <w:ind w:left="851"/>
        <w:rPr>
          <w:rFonts w:eastAsia="Times New Roman"/>
          <w:szCs w:val="20"/>
        </w:rPr>
      </w:pPr>
      <w:r w:rsidRPr="00E26C8E">
        <w:rPr>
          <w:rFonts w:eastAsia="Times New Roman"/>
          <w:szCs w:val="20"/>
        </w:rPr>
        <w:t>Provide information and a map (as per 5.1.1.1) showing:</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proximity to national parks and reserves, private conservation areas, Commonwealth recognised conservation areas, heritage agreement areas and geological heritage sites.</w:t>
      </w:r>
    </w:p>
    <w:p w:rsidR="00E26C8E" w:rsidRPr="00E26C8E" w:rsidRDefault="00E26C8E" w:rsidP="00E26C8E">
      <w:pPr>
        <w:ind w:left="851" w:hanging="426"/>
        <w:rPr>
          <w:rFonts w:eastAsia="Times New Roman"/>
          <w:b/>
          <w:szCs w:val="20"/>
        </w:rPr>
      </w:pPr>
      <w:r w:rsidRPr="00E26C8E">
        <w:rPr>
          <w:rFonts w:eastAsia="Times New Roman"/>
          <w:b/>
          <w:szCs w:val="20"/>
        </w:rPr>
        <w:t>1.19</w:t>
      </w:r>
      <w:r w:rsidRPr="00E26C8E">
        <w:rPr>
          <w:rFonts w:eastAsia="Times New Roman"/>
          <w:b/>
          <w:szCs w:val="20"/>
        </w:rPr>
        <w:tab/>
        <w:t>Pre-existing site contamination and previous disturbance</w:t>
      </w:r>
    </w:p>
    <w:p w:rsidR="00E26C8E" w:rsidRPr="00E26C8E" w:rsidRDefault="00E26C8E" w:rsidP="00E26C8E">
      <w:pPr>
        <w:ind w:left="851"/>
        <w:rPr>
          <w:rFonts w:eastAsia="Times New Roman"/>
          <w:szCs w:val="20"/>
        </w:rPr>
      </w:pPr>
      <w:r w:rsidRPr="00E26C8E">
        <w:rPr>
          <w:rFonts w:eastAsia="Times New Roman"/>
          <w:szCs w:val="20"/>
        </w:rPr>
        <w:t>Provide information and a map (as per 5.1.1.1) showing:</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any known existing contamination of the site and/or any disturbance by previous mining operations or other activities.</w:t>
      </w:r>
    </w:p>
    <w:p w:rsidR="00E26C8E" w:rsidRPr="00E26C8E" w:rsidRDefault="00E26C8E" w:rsidP="00E26C8E">
      <w:pPr>
        <w:ind w:left="426" w:hanging="284"/>
        <w:rPr>
          <w:rFonts w:eastAsia="Times New Roman"/>
          <w:b/>
          <w:szCs w:val="20"/>
        </w:rPr>
      </w:pPr>
      <w:r w:rsidRPr="00E26C8E">
        <w:rPr>
          <w:rFonts w:eastAsia="Times New Roman"/>
          <w:b/>
          <w:szCs w:val="20"/>
        </w:rPr>
        <w:t>2.</w:t>
      </w:r>
      <w:r w:rsidRPr="00E26C8E">
        <w:rPr>
          <w:rFonts w:eastAsia="Times New Roman"/>
          <w:b/>
          <w:szCs w:val="20"/>
        </w:rPr>
        <w:tab/>
        <w:t>DESCRIPTION OF THE PROPOSED OPERATIONS</w:t>
      </w:r>
    </w:p>
    <w:p w:rsidR="00E26C8E" w:rsidRPr="00E26C8E" w:rsidRDefault="00E26C8E" w:rsidP="00E26C8E">
      <w:pPr>
        <w:ind w:left="426"/>
        <w:rPr>
          <w:rFonts w:eastAsia="Times New Roman"/>
          <w:szCs w:val="20"/>
        </w:rPr>
      </w:pPr>
      <w:r w:rsidRPr="00E26C8E">
        <w:rPr>
          <w:rFonts w:eastAsia="Times New Roman"/>
          <w:szCs w:val="20"/>
        </w:rPr>
        <w:t xml:space="preserve">In specifying the nature and extent of the authorised operations that are proposed in accordance with sections 36(1)(c)(i) and 49(1)(c)(i) of the </w:t>
      </w:r>
      <w:r w:rsidRPr="00E26C8E">
        <w:rPr>
          <w:rFonts w:eastAsia="Times New Roman"/>
          <w:i/>
          <w:szCs w:val="20"/>
        </w:rPr>
        <w:t>Mining Act 1971</w:t>
      </w:r>
      <w:r w:rsidRPr="00E26C8E">
        <w:rPr>
          <w:rFonts w:eastAsia="Times New Roman"/>
          <w:szCs w:val="20"/>
        </w:rPr>
        <w:t xml:space="preserve">, the Minister determines in accordance with regulation 46(7)(e) of the </w:t>
      </w:r>
      <w:r w:rsidRPr="00E26C8E">
        <w:rPr>
          <w:rFonts w:eastAsia="Times New Roman"/>
          <w:i/>
          <w:szCs w:val="20"/>
        </w:rPr>
        <w:t>Mining Regulations 2020</w:t>
      </w:r>
      <w:r w:rsidRPr="00E26C8E">
        <w:rPr>
          <w:rFonts w:eastAsia="Times New Roman"/>
          <w:szCs w:val="20"/>
        </w:rPr>
        <w:t xml:space="preserve"> that a proposal must include a description of the proposed operations as set out in this Terms of Reference. Each of the elements listed in clauses 2.1–2.9 must be described only to the extent that they apply to the proposed quarry operation.</w:t>
      </w:r>
    </w:p>
    <w:p w:rsidR="00E26C8E" w:rsidRPr="00E26C8E" w:rsidRDefault="00E26C8E" w:rsidP="00E26C8E">
      <w:pPr>
        <w:ind w:left="851" w:hanging="425"/>
        <w:rPr>
          <w:rFonts w:eastAsia="Times New Roman"/>
          <w:b/>
          <w:szCs w:val="20"/>
        </w:rPr>
      </w:pPr>
      <w:r w:rsidRPr="00E26C8E">
        <w:rPr>
          <w:rFonts w:eastAsia="Times New Roman"/>
          <w:b/>
          <w:szCs w:val="20"/>
        </w:rPr>
        <w:t>2.1</w:t>
      </w:r>
      <w:r w:rsidRPr="00E26C8E">
        <w:rPr>
          <w:rFonts w:eastAsia="Times New Roman"/>
          <w:b/>
          <w:szCs w:val="20"/>
        </w:rPr>
        <w:tab/>
        <w:t>General description and maps/plans of operations</w:t>
      </w:r>
    </w:p>
    <w:p w:rsidR="00E26C8E" w:rsidRPr="00E26C8E" w:rsidRDefault="00E26C8E" w:rsidP="00E26C8E">
      <w:pPr>
        <w:ind w:left="851"/>
        <w:rPr>
          <w:rFonts w:eastAsia="Times New Roman"/>
          <w:szCs w:val="20"/>
        </w:rPr>
      </w:pPr>
      <w:r w:rsidRPr="00E26C8E">
        <w:rPr>
          <w:rFonts w:eastAsia="Times New Roman"/>
          <w:szCs w:val="20"/>
        </w:rPr>
        <w:t>A summary description of all elements of the proposed operation must be included.</w:t>
      </w:r>
    </w:p>
    <w:p w:rsidR="00E26C8E" w:rsidRPr="00E26C8E" w:rsidRDefault="00E26C8E" w:rsidP="00E26C8E">
      <w:pPr>
        <w:ind w:left="851" w:hanging="425"/>
        <w:rPr>
          <w:rFonts w:eastAsia="Times New Roman"/>
          <w:b/>
          <w:szCs w:val="20"/>
        </w:rPr>
      </w:pPr>
      <w:r w:rsidRPr="00E26C8E">
        <w:rPr>
          <w:rFonts w:eastAsia="Times New Roman"/>
          <w:b/>
          <w:szCs w:val="20"/>
        </w:rPr>
        <w:t>2.2</w:t>
      </w:r>
      <w:r w:rsidRPr="00E26C8E">
        <w:rPr>
          <w:rFonts w:eastAsia="Times New Roman"/>
          <w:b/>
          <w:szCs w:val="20"/>
        </w:rPr>
        <w:tab/>
        <w:t>Resource and Products</w:t>
      </w:r>
    </w:p>
    <w:p w:rsidR="00E26C8E" w:rsidRPr="00E26C8E" w:rsidRDefault="00E26C8E" w:rsidP="00E26C8E">
      <w:pPr>
        <w:ind w:left="1418" w:hanging="567"/>
        <w:rPr>
          <w:rFonts w:eastAsia="Times New Roman"/>
          <w:b/>
          <w:szCs w:val="20"/>
        </w:rPr>
      </w:pPr>
      <w:r w:rsidRPr="00E26C8E">
        <w:rPr>
          <w:rFonts w:eastAsia="Times New Roman"/>
          <w:b/>
          <w:szCs w:val="20"/>
        </w:rPr>
        <w:t>2.2.1</w:t>
      </w:r>
      <w:r w:rsidRPr="00E26C8E">
        <w:rPr>
          <w:rFonts w:eastAsia="Times New Roman"/>
          <w:b/>
          <w:szCs w:val="20"/>
        </w:rPr>
        <w:tab/>
        <w:t>Resource</w:t>
      </w:r>
    </w:p>
    <w:p w:rsidR="00E26C8E" w:rsidRPr="00E26C8E" w:rsidRDefault="00E26C8E" w:rsidP="00E26C8E">
      <w:pPr>
        <w:ind w:left="1418"/>
        <w:rPr>
          <w:rFonts w:eastAsia="Times New Roman"/>
          <w:szCs w:val="20"/>
        </w:rPr>
      </w:pPr>
      <w:r w:rsidRPr="00E26C8E">
        <w:rPr>
          <w:rFonts w:eastAsia="Times New Roman"/>
          <w:szCs w:val="20"/>
        </w:rPr>
        <w:t>Provide a statement of the extractive minerals proposed to be extracted, recovered and sold.</w:t>
      </w:r>
    </w:p>
    <w:p w:rsidR="00E26C8E" w:rsidRPr="00E26C8E" w:rsidRDefault="00E26C8E" w:rsidP="00E26C8E">
      <w:pPr>
        <w:ind w:left="1418"/>
        <w:rPr>
          <w:rFonts w:eastAsia="Times New Roman"/>
          <w:szCs w:val="20"/>
        </w:rPr>
      </w:pPr>
      <w:r w:rsidRPr="00E26C8E">
        <w:rPr>
          <w:rFonts w:eastAsia="Times New Roman"/>
          <w:szCs w:val="20"/>
        </w:rPr>
        <w:t>Provide a statement of the current estimated resource or reserve (or both), including:</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details of the basis of this estimate;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a declaration that the resource or reserve (or both) has been appropriately identified and estimated.</w:t>
      </w:r>
    </w:p>
    <w:p w:rsidR="00E26C8E" w:rsidRPr="00E26C8E" w:rsidRDefault="00E26C8E" w:rsidP="00E26C8E">
      <w:pPr>
        <w:ind w:left="1418" w:hanging="567"/>
        <w:rPr>
          <w:rFonts w:eastAsia="Times New Roman"/>
          <w:b/>
          <w:szCs w:val="20"/>
        </w:rPr>
      </w:pPr>
      <w:r w:rsidRPr="00E26C8E">
        <w:rPr>
          <w:rFonts w:eastAsia="Times New Roman"/>
          <w:b/>
          <w:szCs w:val="20"/>
        </w:rPr>
        <w:t>3.2.2</w:t>
      </w:r>
      <w:r w:rsidRPr="00E26C8E">
        <w:rPr>
          <w:rFonts w:eastAsia="Times New Roman"/>
          <w:b/>
          <w:szCs w:val="20"/>
        </w:rPr>
        <w:tab/>
        <w:t>Production Rate and Products</w:t>
      </w:r>
    </w:p>
    <w:p w:rsidR="00E26C8E" w:rsidRPr="00E26C8E" w:rsidRDefault="00E26C8E" w:rsidP="00E26C8E">
      <w:pPr>
        <w:ind w:left="1843" w:hanging="425"/>
        <w:rPr>
          <w:rFonts w:eastAsia="Times New Roman"/>
          <w:szCs w:val="20"/>
        </w:rPr>
      </w:pPr>
      <w:r w:rsidRPr="00E26C8E">
        <w:rPr>
          <w:rFonts w:eastAsia="Times New Roman"/>
          <w:szCs w:val="20"/>
        </w:rPr>
        <w:t>State:</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the potential end use and products for all extractive minerals proposed to be sold. Provide estimates of the:</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annual production rate (product and overburden);</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life of the quarry;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material movement over life of quarry (product and overburden).</w:t>
      </w:r>
    </w:p>
    <w:p w:rsidR="00E26C8E" w:rsidRPr="00E26C8E" w:rsidRDefault="00E26C8E" w:rsidP="00E26C8E">
      <w:pPr>
        <w:ind w:left="851" w:hanging="425"/>
        <w:rPr>
          <w:rFonts w:eastAsia="Times New Roman"/>
          <w:b/>
          <w:szCs w:val="20"/>
        </w:rPr>
      </w:pPr>
      <w:r w:rsidRPr="00E26C8E">
        <w:rPr>
          <w:rFonts w:eastAsia="Times New Roman"/>
          <w:b/>
          <w:szCs w:val="20"/>
        </w:rPr>
        <w:t>2.3</w:t>
      </w:r>
      <w:r w:rsidRPr="00E26C8E">
        <w:rPr>
          <w:rFonts w:eastAsia="Times New Roman"/>
          <w:b/>
          <w:szCs w:val="20"/>
        </w:rPr>
        <w:tab/>
        <w:t>Quarrying Activities</w:t>
      </w:r>
    </w:p>
    <w:p w:rsidR="00E26C8E" w:rsidRPr="00E26C8E" w:rsidRDefault="00E26C8E" w:rsidP="00E26C8E">
      <w:pPr>
        <w:ind w:left="1418" w:hanging="567"/>
        <w:rPr>
          <w:rFonts w:eastAsia="Times New Roman"/>
          <w:szCs w:val="20"/>
        </w:rPr>
      </w:pPr>
      <w:r w:rsidRPr="00E26C8E">
        <w:rPr>
          <w:rFonts w:eastAsia="Times New Roman"/>
          <w:b/>
          <w:szCs w:val="20"/>
        </w:rPr>
        <w:t>2.2.1</w:t>
      </w:r>
      <w:r w:rsidRPr="00E26C8E">
        <w:rPr>
          <w:rFonts w:eastAsia="Times New Roman"/>
          <w:b/>
          <w:szCs w:val="20"/>
        </w:rPr>
        <w:tab/>
        <w:t>Type or types of proposed quarry operation to be carried out</w:t>
      </w:r>
    </w:p>
    <w:p w:rsidR="00E26C8E" w:rsidRPr="00E26C8E" w:rsidRDefault="00E26C8E" w:rsidP="00E26C8E">
      <w:pPr>
        <w:ind w:left="1418"/>
        <w:rPr>
          <w:rFonts w:eastAsia="Times New Roman"/>
          <w:szCs w:val="20"/>
        </w:rPr>
      </w:pPr>
      <w:r w:rsidRPr="00E26C8E">
        <w:rPr>
          <w:rFonts w:eastAsia="Times New Roman"/>
          <w:szCs w:val="20"/>
        </w:rPr>
        <w:t>Provide:</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a summary and map (as per 5.1.2.1) of the proposed site layout;</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a description of the proposed quarrying method;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conceptual dimensions and depth of proposed pit(s).</w:t>
      </w:r>
    </w:p>
    <w:p w:rsidR="00E26C8E" w:rsidRPr="00E26C8E" w:rsidRDefault="00E26C8E" w:rsidP="00E26C8E">
      <w:pPr>
        <w:ind w:left="1418" w:hanging="567"/>
        <w:rPr>
          <w:rFonts w:eastAsia="Times New Roman"/>
          <w:b/>
          <w:szCs w:val="20"/>
        </w:rPr>
      </w:pPr>
      <w:r w:rsidRPr="00E26C8E">
        <w:rPr>
          <w:rFonts w:eastAsia="Times New Roman"/>
          <w:b/>
          <w:szCs w:val="20"/>
        </w:rPr>
        <w:t>2.2.2</w:t>
      </w:r>
      <w:r w:rsidRPr="00E26C8E">
        <w:rPr>
          <w:rFonts w:eastAsia="Times New Roman"/>
          <w:b/>
          <w:szCs w:val="20"/>
        </w:rPr>
        <w:tab/>
        <w:t>Sequence of quarrying and progressive rehabilitation</w:t>
      </w:r>
    </w:p>
    <w:p w:rsidR="00E26C8E" w:rsidRPr="00E26C8E" w:rsidRDefault="00E26C8E" w:rsidP="00E26C8E">
      <w:pPr>
        <w:ind w:left="1418"/>
        <w:rPr>
          <w:rFonts w:eastAsia="Times New Roman"/>
          <w:szCs w:val="20"/>
        </w:rPr>
      </w:pPr>
      <w:r w:rsidRPr="00E26C8E">
        <w:rPr>
          <w:rFonts w:eastAsia="Times New Roman"/>
          <w:szCs w:val="20"/>
        </w:rPr>
        <w:t>Describe conceptually and show on a map (as per 5.1.2.2):</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staging and description of each progressive quarrying stage;</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milestones that will instigate progressive rehabilitation;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staging and description of each progressive rehabilitation stage including:</w:t>
      </w:r>
    </w:p>
    <w:p w:rsidR="00E26C8E" w:rsidRPr="00E26C8E" w:rsidRDefault="00E26C8E" w:rsidP="00E26C8E">
      <w:pPr>
        <w:ind w:left="1985" w:hanging="284"/>
        <w:rPr>
          <w:rFonts w:eastAsia="Times New Roman"/>
          <w:szCs w:val="20"/>
        </w:rPr>
      </w:pPr>
      <w:r w:rsidRPr="00E26C8E">
        <w:rPr>
          <w:rFonts w:eastAsia="Times New Roman"/>
          <w:szCs w:val="20"/>
        </w:rPr>
        <w:t>◦</w:t>
      </w:r>
      <w:r w:rsidRPr="00E26C8E">
        <w:rPr>
          <w:rFonts w:eastAsia="Times New Roman"/>
          <w:szCs w:val="20"/>
        </w:rPr>
        <w:tab/>
        <w:t>use of overburden;</w:t>
      </w:r>
    </w:p>
    <w:p w:rsidR="00E26C8E" w:rsidRPr="00E26C8E" w:rsidRDefault="00E26C8E" w:rsidP="00E26C8E">
      <w:pPr>
        <w:ind w:left="1985" w:hanging="284"/>
        <w:rPr>
          <w:rFonts w:eastAsia="Times New Roman"/>
          <w:szCs w:val="20"/>
        </w:rPr>
      </w:pPr>
      <w:r w:rsidRPr="00E26C8E">
        <w:rPr>
          <w:rFonts w:eastAsia="Times New Roman"/>
          <w:szCs w:val="20"/>
        </w:rPr>
        <w:t>◦</w:t>
      </w:r>
      <w:r w:rsidRPr="00E26C8E">
        <w:rPr>
          <w:rFonts w:eastAsia="Times New Roman"/>
          <w:szCs w:val="20"/>
        </w:rPr>
        <w:tab/>
        <w:t>battering of mining faces and other earthworks;</w:t>
      </w:r>
    </w:p>
    <w:p w:rsidR="00E26C8E" w:rsidRPr="00E26C8E" w:rsidRDefault="00E26C8E" w:rsidP="00E26C8E">
      <w:pPr>
        <w:ind w:left="1985" w:hanging="284"/>
        <w:rPr>
          <w:rFonts w:eastAsia="Times New Roman"/>
          <w:szCs w:val="20"/>
        </w:rPr>
      </w:pPr>
      <w:r w:rsidRPr="00E26C8E">
        <w:rPr>
          <w:rFonts w:eastAsia="Times New Roman"/>
          <w:szCs w:val="20"/>
        </w:rPr>
        <w:t>◦</w:t>
      </w:r>
      <w:r w:rsidRPr="00E26C8E">
        <w:rPr>
          <w:rFonts w:eastAsia="Times New Roman"/>
          <w:szCs w:val="20"/>
        </w:rPr>
        <w:tab/>
        <w:t>topsoil management; and</w:t>
      </w:r>
    </w:p>
    <w:p w:rsidR="00E26C8E" w:rsidRPr="00E26C8E" w:rsidRDefault="00E26C8E" w:rsidP="00E26C8E">
      <w:pPr>
        <w:ind w:left="1985" w:hanging="284"/>
        <w:rPr>
          <w:rFonts w:eastAsia="Times New Roman"/>
          <w:szCs w:val="20"/>
        </w:rPr>
      </w:pPr>
      <w:r w:rsidRPr="00E26C8E">
        <w:rPr>
          <w:rFonts w:eastAsia="Times New Roman"/>
          <w:szCs w:val="20"/>
        </w:rPr>
        <w:t>◦</w:t>
      </w:r>
      <w:r w:rsidRPr="00E26C8E">
        <w:rPr>
          <w:rFonts w:eastAsia="Times New Roman"/>
          <w:szCs w:val="20"/>
        </w:rPr>
        <w:tab/>
        <w:t>revegetation.</w:t>
      </w:r>
    </w:p>
    <w:p w:rsidR="00E26C8E" w:rsidRPr="00E26C8E" w:rsidRDefault="00E26C8E" w:rsidP="00E26C8E">
      <w:pPr>
        <w:ind w:left="1418" w:hanging="567"/>
        <w:rPr>
          <w:rFonts w:eastAsia="Times New Roman"/>
          <w:b/>
          <w:szCs w:val="20"/>
        </w:rPr>
      </w:pPr>
      <w:r w:rsidRPr="00E26C8E">
        <w:rPr>
          <w:rFonts w:eastAsia="Times New Roman"/>
          <w:b/>
          <w:szCs w:val="20"/>
        </w:rPr>
        <w:t>2.2.3</w:t>
      </w:r>
      <w:r w:rsidRPr="00E26C8E">
        <w:rPr>
          <w:rFonts w:eastAsia="Times New Roman"/>
          <w:b/>
          <w:szCs w:val="20"/>
        </w:rPr>
        <w:tab/>
        <w:t>Stockpiles</w:t>
      </w:r>
    </w:p>
    <w:p w:rsidR="00E26C8E" w:rsidRPr="00E26C8E" w:rsidRDefault="00E26C8E" w:rsidP="00E26C8E">
      <w:pPr>
        <w:ind w:left="2127" w:hanging="709"/>
        <w:rPr>
          <w:rFonts w:eastAsia="Times New Roman"/>
          <w:b/>
          <w:szCs w:val="20"/>
        </w:rPr>
      </w:pPr>
      <w:r w:rsidRPr="00E26C8E">
        <w:rPr>
          <w:rFonts w:eastAsia="Times New Roman"/>
          <w:b/>
          <w:szCs w:val="20"/>
        </w:rPr>
        <w:t>3.3.3.1</w:t>
      </w:r>
      <w:r w:rsidRPr="00E26C8E">
        <w:rPr>
          <w:rFonts w:eastAsia="Times New Roman"/>
          <w:b/>
          <w:szCs w:val="20"/>
        </w:rPr>
        <w:tab/>
        <w:t>Topsoil and Subsoil Stockpiles</w:t>
      </w:r>
    </w:p>
    <w:p w:rsidR="00E26C8E" w:rsidRPr="00E26C8E" w:rsidRDefault="00E26C8E" w:rsidP="00E26C8E">
      <w:pPr>
        <w:ind w:left="2127"/>
        <w:rPr>
          <w:rFonts w:eastAsia="Times New Roman"/>
          <w:szCs w:val="20"/>
        </w:rPr>
      </w:pPr>
      <w:r w:rsidRPr="00E26C8E">
        <w:rPr>
          <w:rFonts w:eastAsia="Times New Roman"/>
          <w:szCs w:val="20"/>
        </w:rPr>
        <w:t>Describe and show on a map (as per 5.1.2.1):</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conceptual location, size, shape and height of topsoil/subsoil stockpiles.</w:t>
      </w:r>
    </w:p>
    <w:p w:rsidR="00E26C8E" w:rsidRPr="00E26C8E" w:rsidRDefault="00E26C8E" w:rsidP="00E26C8E">
      <w:pPr>
        <w:ind w:left="2127" w:hanging="709"/>
        <w:rPr>
          <w:rFonts w:eastAsia="Times New Roman"/>
          <w:b/>
          <w:szCs w:val="20"/>
        </w:rPr>
      </w:pPr>
      <w:r w:rsidRPr="00E26C8E">
        <w:rPr>
          <w:rFonts w:eastAsia="Times New Roman"/>
          <w:b/>
          <w:szCs w:val="20"/>
        </w:rPr>
        <w:t>3.3.3.2 Product Stockpile</w:t>
      </w:r>
    </w:p>
    <w:p w:rsidR="00E26C8E" w:rsidRPr="00E26C8E" w:rsidRDefault="00E26C8E" w:rsidP="00E26C8E">
      <w:pPr>
        <w:ind w:left="2127"/>
        <w:rPr>
          <w:rFonts w:eastAsia="Times New Roman"/>
          <w:szCs w:val="20"/>
        </w:rPr>
      </w:pPr>
      <w:r w:rsidRPr="00E26C8E">
        <w:rPr>
          <w:rFonts w:eastAsia="Times New Roman"/>
          <w:szCs w:val="20"/>
        </w:rPr>
        <w:t>Describe and show on a map (as per 5.1.2.1):</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conceptual location and height of product stockpiles.</w:t>
      </w:r>
    </w:p>
    <w:p w:rsidR="00E26C8E" w:rsidRPr="00E26C8E" w:rsidRDefault="00E26C8E" w:rsidP="00E26C8E">
      <w:pPr>
        <w:ind w:left="1418" w:hanging="567"/>
        <w:rPr>
          <w:rFonts w:eastAsia="Times New Roman"/>
          <w:b/>
          <w:szCs w:val="20"/>
        </w:rPr>
      </w:pPr>
      <w:r w:rsidRPr="00E26C8E">
        <w:rPr>
          <w:rFonts w:eastAsia="Times New Roman"/>
          <w:b/>
          <w:szCs w:val="20"/>
        </w:rPr>
        <w:t>2.2.4</w:t>
      </w:r>
      <w:r w:rsidRPr="00E26C8E">
        <w:rPr>
          <w:rFonts w:eastAsia="Times New Roman"/>
          <w:b/>
          <w:szCs w:val="20"/>
        </w:rPr>
        <w:tab/>
        <w:t>Use of explosives</w:t>
      </w:r>
    </w:p>
    <w:p w:rsidR="00E26C8E" w:rsidRPr="00E26C8E" w:rsidRDefault="00E26C8E" w:rsidP="00E26C8E">
      <w:pPr>
        <w:ind w:left="1418"/>
        <w:rPr>
          <w:rFonts w:eastAsia="Times New Roman"/>
          <w:szCs w:val="20"/>
        </w:rPr>
      </w:pPr>
      <w:r w:rsidRPr="00E26C8E">
        <w:rPr>
          <w:rFonts w:eastAsia="Times New Roman"/>
          <w:szCs w:val="20"/>
        </w:rPr>
        <w:t>If explosives are proposed to be used, describe:</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estimated frequency of blasting;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whether explosives will be stored onsite.</w:t>
      </w:r>
    </w:p>
    <w:p w:rsidR="00E26C8E" w:rsidRPr="00E26C8E" w:rsidRDefault="00E26C8E" w:rsidP="00E26C8E">
      <w:pPr>
        <w:ind w:left="1418" w:hanging="567"/>
        <w:rPr>
          <w:rFonts w:eastAsia="Times New Roman"/>
          <w:b/>
          <w:szCs w:val="20"/>
        </w:rPr>
      </w:pPr>
      <w:r w:rsidRPr="00E26C8E">
        <w:rPr>
          <w:rFonts w:eastAsia="Times New Roman"/>
          <w:b/>
          <w:szCs w:val="20"/>
        </w:rPr>
        <w:t>2.2.5</w:t>
      </w:r>
      <w:r w:rsidRPr="00E26C8E">
        <w:rPr>
          <w:rFonts w:eastAsia="Times New Roman"/>
          <w:b/>
          <w:szCs w:val="20"/>
        </w:rPr>
        <w:tab/>
        <w:t>Modes and hours of operation</w:t>
      </w:r>
    </w:p>
    <w:p w:rsidR="00E26C8E" w:rsidRPr="00E26C8E" w:rsidRDefault="00E26C8E" w:rsidP="00E26C8E">
      <w:pPr>
        <w:ind w:left="1418"/>
        <w:rPr>
          <w:rFonts w:eastAsia="Times New Roman"/>
          <w:szCs w:val="20"/>
        </w:rPr>
      </w:pPr>
      <w:r w:rsidRPr="00E26C8E">
        <w:rPr>
          <w:rFonts w:eastAsia="Times New Roman"/>
          <w:szCs w:val="20"/>
        </w:rPr>
        <w:t>State if the proposed quarry operation will be operated on a continuous (24 hour, 7 days a week), regular periodical or campaign basis.</w:t>
      </w:r>
    </w:p>
    <w:p w:rsidR="00E26C8E" w:rsidRPr="00E26C8E" w:rsidRDefault="00E26C8E" w:rsidP="00E26C8E">
      <w:pPr>
        <w:ind w:left="1418"/>
        <w:rPr>
          <w:rFonts w:eastAsia="Times New Roman"/>
          <w:szCs w:val="20"/>
        </w:rPr>
      </w:pPr>
      <w:r w:rsidRPr="00E26C8E">
        <w:rPr>
          <w:rFonts w:eastAsia="Times New Roman"/>
          <w:szCs w:val="20"/>
        </w:rPr>
        <w:t>If the proposed quarry operation is to be operated on a regular periodical basis or campaign basis, specify:</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proposed period(s) (daily, weekly and public holidays) to be worked;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proposed start and finish hours the site is to be worked per period.</w:t>
      </w:r>
    </w:p>
    <w:p w:rsidR="00E26C8E" w:rsidRPr="00E26C8E" w:rsidRDefault="00E26C8E" w:rsidP="00E26C8E">
      <w:pPr>
        <w:ind w:left="851" w:hanging="425"/>
        <w:rPr>
          <w:rFonts w:eastAsia="Times New Roman"/>
          <w:b/>
          <w:szCs w:val="20"/>
        </w:rPr>
      </w:pPr>
      <w:r w:rsidRPr="00E26C8E">
        <w:rPr>
          <w:rFonts w:eastAsia="Times New Roman"/>
          <w:b/>
          <w:szCs w:val="20"/>
        </w:rPr>
        <w:t>2.4</w:t>
      </w:r>
      <w:r w:rsidRPr="00E26C8E">
        <w:rPr>
          <w:rFonts w:eastAsia="Times New Roman"/>
          <w:b/>
          <w:szCs w:val="20"/>
        </w:rPr>
        <w:tab/>
        <w:t>Crushing, processing and product transport</w:t>
      </w:r>
    </w:p>
    <w:p w:rsidR="00E26C8E" w:rsidRPr="00E26C8E" w:rsidRDefault="00E26C8E" w:rsidP="00E26C8E">
      <w:pPr>
        <w:ind w:left="1418" w:hanging="567"/>
        <w:rPr>
          <w:rFonts w:eastAsia="Times New Roman"/>
          <w:b/>
          <w:szCs w:val="20"/>
        </w:rPr>
      </w:pPr>
      <w:r w:rsidRPr="00E26C8E">
        <w:rPr>
          <w:rFonts w:eastAsia="Times New Roman"/>
          <w:b/>
          <w:szCs w:val="20"/>
        </w:rPr>
        <w:t>2.5.1</w:t>
      </w:r>
      <w:r w:rsidRPr="00E26C8E">
        <w:rPr>
          <w:rFonts w:eastAsia="Times New Roman"/>
          <w:b/>
          <w:szCs w:val="20"/>
        </w:rPr>
        <w:tab/>
        <w:t>Fixed plant</w:t>
      </w:r>
    </w:p>
    <w:p w:rsidR="00E26C8E" w:rsidRPr="00E26C8E" w:rsidRDefault="00E26C8E" w:rsidP="00E26C8E">
      <w:pPr>
        <w:ind w:left="1418"/>
        <w:rPr>
          <w:rFonts w:eastAsia="Times New Roman"/>
          <w:szCs w:val="20"/>
        </w:rPr>
      </w:pPr>
      <w:r w:rsidRPr="00E26C8E">
        <w:rPr>
          <w:rFonts w:eastAsia="Times New Roman"/>
          <w:szCs w:val="20"/>
        </w:rPr>
        <w:t>Describe the specifications (to at least a conceptual standard) of fixed plant including but not limited to:</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area, size, and location of fixed plant and associated structures including as applicable concrete batching plant, wheel wash facilities, silos, fuel tanks, water tanks, chemical storage proposed to be used for processing the extractive minerals on site;</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a description of rock or sand processing; in particular crushing, washing, drying, screening and separation;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the type(s) of processing/value adding used on the raw material and conducted onsite including but not limited to concrete, bitumen, separation and drying.</w:t>
      </w:r>
    </w:p>
    <w:p w:rsidR="00E26C8E" w:rsidRPr="00E26C8E" w:rsidRDefault="00E26C8E" w:rsidP="00E26C8E">
      <w:pPr>
        <w:ind w:left="1418" w:hanging="567"/>
        <w:rPr>
          <w:rFonts w:eastAsia="Times New Roman"/>
          <w:b/>
          <w:szCs w:val="20"/>
        </w:rPr>
      </w:pPr>
      <w:r w:rsidRPr="00E26C8E">
        <w:rPr>
          <w:rFonts w:eastAsia="Times New Roman"/>
          <w:b/>
          <w:szCs w:val="20"/>
        </w:rPr>
        <w:t>2.5.2</w:t>
      </w:r>
      <w:r w:rsidRPr="00E26C8E">
        <w:rPr>
          <w:rFonts w:eastAsia="Times New Roman"/>
          <w:b/>
          <w:szCs w:val="20"/>
        </w:rPr>
        <w:tab/>
        <w:t>Hours of operation</w:t>
      </w:r>
    </w:p>
    <w:p w:rsidR="00E26C8E" w:rsidRPr="00E26C8E" w:rsidRDefault="00E26C8E" w:rsidP="00E26C8E">
      <w:pPr>
        <w:ind w:left="1418"/>
        <w:rPr>
          <w:rFonts w:eastAsia="Times New Roman"/>
          <w:szCs w:val="20"/>
        </w:rPr>
      </w:pPr>
      <w:r w:rsidRPr="00E26C8E">
        <w:rPr>
          <w:rFonts w:eastAsia="Times New Roman"/>
          <w:szCs w:val="20"/>
        </w:rPr>
        <w:t>Describe the proposed hours of crushing, processing and product transport activities.</w:t>
      </w:r>
    </w:p>
    <w:p w:rsidR="00E26C8E" w:rsidRPr="00E26C8E" w:rsidRDefault="00E26C8E" w:rsidP="00E26C8E">
      <w:pPr>
        <w:ind w:left="1418" w:hanging="567"/>
        <w:rPr>
          <w:rFonts w:eastAsia="Times New Roman"/>
          <w:b/>
          <w:szCs w:val="20"/>
        </w:rPr>
      </w:pPr>
      <w:r w:rsidRPr="00E26C8E">
        <w:rPr>
          <w:rFonts w:eastAsia="Times New Roman"/>
          <w:b/>
          <w:szCs w:val="20"/>
        </w:rPr>
        <w:t>2.5.3</w:t>
      </w:r>
      <w:r w:rsidRPr="00E26C8E">
        <w:rPr>
          <w:rFonts w:eastAsia="Times New Roman"/>
          <w:b/>
          <w:szCs w:val="20"/>
        </w:rPr>
        <w:tab/>
        <w:t>Processing wastes</w:t>
      </w:r>
    </w:p>
    <w:p w:rsidR="00E26C8E" w:rsidRPr="00E26C8E" w:rsidRDefault="00E26C8E" w:rsidP="00E26C8E">
      <w:pPr>
        <w:ind w:left="1418"/>
        <w:rPr>
          <w:rFonts w:eastAsia="Times New Roman"/>
          <w:szCs w:val="20"/>
        </w:rPr>
      </w:pPr>
      <w:r w:rsidRPr="00E26C8E">
        <w:rPr>
          <w:rFonts w:eastAsia="Times New Roman"/>
          <w:szCs w:val="20"/>
        </w:rPr>
        <w:t>If processing wastes are to be generated provide a conceptual description of:</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management of any proposed chemical additives contained within waste to prevent environmental harm;</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management and disposal of processing wastes;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construction and geotechnical details of proposed storage facilities;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construction details/design of evaporation ponds and proposed use of waste material.</w:t>
      </w:r>
    </w:p>
    <w:p w:rsidR="00E26C8E" w:rsidRPr="00E26C8E" w:rsidRDefault="00E26C8E" w:rsidP="00E26C8E">
      <w:pPr>
        <w:ind w:left="1418" w:hanging="567"/>
        <w:rPr>
          <w:rFonts w:eastAsia="Times New Roman"/>
          <w:b/>
          <w:szCs w:val="20"/>
        </w:rPr>
      </w:pPr>
      <w:r w:rsidRPr="00E26C8E">
        <w:rPr>
          <w:rFonts w:eastAsia="Times New Roman"/>
          <w:b/>
          <w:szCs w:val="20"/>
        </w:rPr>
        <w:t>2.5.4</w:t>
      </w:r>
      <w:r w:rsidRPr="00E26C8E">
        <w:rPr>
          <w:rFonts w:eastAsia="Times New Roman"/>
          <w:b/>
          <w:szCs w:val="20"/>
        </w:rPr>
        <w:tab/>
        <w:t>Industrial and domestic wastes</w:t>
      </w:r>
    </w:p>
    <w:p w:rsidR="00E26C8E" w:rsidRPr="00E26C8E" w:rsidRDefault="00E26C8E" w:rsidP="00E26C8E">
      <w:pPr>
        <w:ind w:left="1418"/>
        <w:rPr>
          <w:rFonts w:eastAsia="Times New Roman"/>
          <w:szCs w:val="20"/>
        </w:rPr>
      </w:pPr>
      <w:r w:rsidRPr="00E26C8E">
        <w:rPr>
          <w:rFonts w:eastAsia="Times New Roman"/>
          <w:szCs w:val="20"/>
        </w:rPr>
        <w:t>A description of management of any of the following industrial and domestic wastes must be provided: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putrescible waste;</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oil;</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other onsite waste disposal or recycling; e.g. workshop waste, tyres, drums, oil filters;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offsite disposal;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a description of the type, area and layout of sewage systems installed at the site.</w:t>
      </w:r>
    </w:p>
    <w:p w:rsidR="00E26C8E" w:rsidRPr="00E26C8E" w:rsidRDefault="00E26C8E" w:rsidP="00E26C8E">
      <w:pPr>
        <w:ind w:left="851" w:hanging="425"/>
        <w:rPr>
          <w:rFonts w:eastAsia="Times New Roman"/>
          <w:b/>
          <w:szCs w:val="20"/>
        </w:rPr>
      </w:pPr>
      <w:r w:rsidRPr="00E26C8E">
        <w:rPr>
          <w:rFonts w:eastAsia="Times New Roman"/>
          <w:b/>
          <w:szCs w:val="20"/>
        </w:rPr>
        <w:t>2.5</w:t>
      </w:r>
      <w:r w:rsidRPr="00E26C8E">
        <w:rPr>
          <w:rFonts w:eastAsia="Times New Roman"/>
          <w:b/>
          <w:szCs w:val="20"/>
        </w:rPr>
        <w:tab/>
        <w:t>Supporting surface infrastructure</w:t>
      </w:r>
    </w:p>
    <w:p w:rsidR="00E26C8E" w:rsidRPr="00E26C8E" w:rsidRDefault="00E26C8E" w:rsidP="00E26C8E">
      <w:pPr>
        <w:ind w:left="1418" w:hanging="567"/>
        <w:rPr>
          <w:rFonts w:eastAsia="Times New Roman"/>
          <w:b/>
          <w:szCs w:val="20"/>
        </w:rPr>
      </w:pPr>
      <w:r w:rsidRPr="00E26C8E">
        <w:rPr>
          <w:rFonts w:eastAsia="Times New Roman"/>
          <w:b/>
          <w:szCs w:val="20"/>
        </w:rPr>
        <w:t>2.6.1</w:t>
      </w:r>
      <w:r w:rsidRPr="00E26C8E">
        <w:rPr>
          <w:rFonts w:eastAsia="Times New Roman"/>
          <w:b/>
          <w:szCs w:val="20"/>
        </w:rPr>
        <w:tab/>
        <w:t>Access and Roads</w:t>
      </w:r>
    </w:p>
    <w:p w:rsidR="00E26C8E" w:rsidRPr="00E26C8E" w:rsidRDefault="00E26C8E" w:rsidP="00E26C8E">
      <w:pPr>
        <w:ind w:left="1418"/>
        <w:rPr>
          <w:rFonts w:eastAsia="Times New Roman"/>
          <w:szCs w:val="20"/>
        </w:rPr>
      </w:pPr>
      <w:r w:rsidRPr="00E26C8E">
        <w:rPr>
          <w:rFonts w:eastAsia="Times New Roman"/>
          <w:szCs w:val="20"/>
        </w:rPr>
        <w:t>Describe:</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access route to the site and show on a map (as per 5.1.2.3);</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indicate if any new roads are to be constructed, or if existing roads or intersections (public and private) are to be upgraded;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transport system(s) used to and from the site and the estimated number of vehicle movements per day.</w:t>
      </w:r>
    </w:p>
    <w:p w:rsidR="00E26C8E" w:rsidRPr="00E26C8E" w:rsidRDefault="00E26C8E" w:rsidP="00E26C8E">
      <w:pPr>
        <w:ind w:left="1418" w:hanging="567"/>
        <w:rPr>
          <w:rFonts w:eastAsia="Times New Roman"/>
          <w:b/>
          <w:szCs w:val="20"/>
        </w:rPr>
      </w:pPr>
      <w:r w:rsidRPr="00E26C8E">
        <w:rPr>
          <w:rFonts w:eastAsia="Times New Roman"/>
          <w:b/>
          <w:szCs w:val="20"/>
        </w:rPr>
        <w:t>2.6.2</w:t>
      </w:r>
      <w:r w:rsidRPr="00E26C8E">
        <w:rPr>
          <w:rFonts w:eastAsia="Times New Roman"/>
          <w:b/>
          <w:szCs w:val="20"/>
        </w:rPr>
        <w:tab/>
        <w:t>Accommodation and offices</w:t>
      </w:r>
    </w:p>
    <w:p w:rsidR="00E26C8E" w:rsidRPr="00E26C8E" w:rsidRDefault="00E26C8E" w:rsidP="00E26C8E">
      <w:pPr>
        <w:ind w:left="1418"/>
        <w:rPr>
          <w:rFonts w:eastAsia="Times New Roman"/>
          <w:szCs w:val="20"/>
        </w:rPr>
      </w:pPr>
      <w:r w:rsidRPr="00E26C8E">
        <w:rPr>
          <w:rFonts w:eastAsia="Times New Roman"/>
          <w:szCs w:val="20"/>
        </w:rPr>
        <w:t>Describe onsite personnel accommodation and offices, including but not limited to:</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number, area, size, type of construction and location of accommodation, office, meals or laboratory buildings, caravans or camp, and associated structures (e.g. car parks, water tanks, etc.) to be used on site;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if temporary or permanent.</w:t>
      </w:r>
    </w:p>
    <w:p w:rsidR="00E26C8E" w:rsidRPr="00E26C8E" w:rsidRDefault="00E26C8E" w:rsidP="00E26C8E">
      <w:pPr>
        <w:ind w:left="1418" w:hanging="567"/>
        <w:rPr>
          <w:rFonts w:eastAsia="Times New Roman"/>
          <w:b/>
          <w:szCs w:val="20"/>
        </w:rPr>
      </w:pPr>
      <w:r w:rsidRPr="00E26C8E">
        <w:rPr>
          <w:rFonts w:eastAsia="Times New Roman"/>
          <w:b/>
          <w:szCs w:val="20"/>
        </w:rPr>
        <w:t>2.6.3</w:t>
      </w:r>
      <w:r w:rsidRPr="00E26C8E">
        <w:rPr>
          <w:rFonts w:eastAsia="Times New Roman"/>
          <w:b/>
          <w:szCs w:val="20"/>
        </w:rPr>
        <w:tab/>
        <w:t>Public services and utilities used by the operation</w:t>
      </w:r>
    </w:p>
    <w:p w:rsidR="00E26C8E" w:rsidRPr="00E26C8E" w:rsidRDefault="00E26C8E" w:rsidP="00E26C8E">
      <w:pPr>
        <w:ind w:left="1418"/>
        <w:rPr>
          <w:rFonts w:eastAsia="Times New Roman"/>
          <w:szCs w:val="20"/>
        </w:rPr>
      </w:pPr>
      <w:r w:rsidRPr="00E26C8E">
        <w:rPr>
          <w:rFonts w:eastAsia="Times New Roman"/>
          <w:szCs w:val="20"/>
        </w:rPr>
        <w:t>Describe:</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sources of services or utilities that are, or are to be supplied to the proposed site, such as power, water, telecommunications etc.;</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if new connections to services and utilities are required, the proposed routes for connection;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the effects to any existing services or utilities that have been or may be affected by the mining operations.</w:t>
      </w:r>
    </w:p>
    <w:p w:rsidR="00E26C8E" w:rsidRPr="00E26C8E" w:rsidRDefault="00E26C8E" w:rsidP="00E26C8E">
      <w:pPr>
        <w:ind w:left="1418" w:hanging="567"/>
        <w:rPr>
          <w:rFonts w:eastAsia="Times New Roman"/>
          <w:b/>
          <w:szCs w:val="20"/>
        </w:rPr>
      </w:pPr>
      <w:r w:rsidRPr="00E26C8E">
        <w:rPr>
          <w:rFonts w:eastAsia="Times New Roman"/>
          <w:b/>
          <w:szCs w:val="20"/>
        </w:rPr>
        <w:t>2.6.4</w:t>
      </w:r>
      <w:r w:rsidRPr="00E26C8E">
        <w:rPr>
          <w:rFonts w:eastAsia="Times New Roman"/>
          <w:b/>
          <w:szCs w:val="20"/>
        </w:rPr>
        <w:tab/>
        <w:t>Visual screening</w:t>
      </w:r>
    </w:p>
    <w:p w:rsidR="00E26C8E" w:rsidRPr="00E26C8E" w:rsidRDefault="00E26C8E" w:rsidP="00E26C8E">
      <w:pPr>
        <w:ind w:left="1418"/>
        <w:rPr>
          <w:rFonts w:eastAsia="Times New Roman"/>
          <w:szCs w:val="20"/>
        </w:rPr>
      </w:pPr>
      <w:r w:rsidRPr="00E26C8E">
        <w:rPr>
          <w:rFonts w:eastAsia="Times New Roman"/>
          <w:szCs w:val="20"/>
        </w:rPr>
        <w:t>Describe the type of screening, including existing or proposed vegetation (i.e. species and density of plantings) and show on a map (as per 5.1.2.1 or 5.1.2.2).</w:t>
      </w:r>
    </w:p>
    <w:p w:rsidR="00E26C8E" w:rsidRPr="00E26C8E" w:rsidRDefault="00E26C8E" w:rsidP="00E26C8E">
      <w:pPr>
        <w:ind w:left="1418" w:hanging="567"/>
        <w:rPr>
          <w:rFonts w:eastAsia="Times New Roman"/>
          <w:b/>
          <w:szCs w:val="20"/>
        </w:rPr>
      </w:pPr>
      <w:r w:rsidRPr="00E26C8E">
        <w:rPr>
          <w:rFonts w:eastAsia="Times New Roman"/>
          <w:b/>
          <w:szCs w:val="20"/>
        </w:rPr>
        <w:t>2.6.5</w:t>
      </w:r>
      <w:r w:rsidRPr="00E26C8E">
        <w:rPr>
          <w:rFonts w:eastAsia="Times New Roman"/>
          <w:b/>
          <w:szCs w:val="20"/>
        </w:rPr>
        <w:tab/>
        <w:t>Fuel and chemical storage</w:t>
      </w:r>
    </w:p>
    <w:p w:rsidR="00E26C8E" w:rsidRPr="00E26C8E" w:rsidRDefault="00E26C8E" w:rsidP="00E26C8E">
      <w:pPr>
        <w:ind w:left="1418"/>
        <w:rPr>
          <w:rFonts w:eastAsia="Times New Roman"/>
          <w:szCs w:val="20"/>
        </w:rPr>
      </w:pPr>
      <w:r w:rsidRPr="00E26C8E">
        <w:rPr>
          <w:rFonts w:eastAsia="Times New Roman"/>
          <w:szCs w:val="20"/>
        </w:rPr>
        <w:t>For all fuels and chemicals stored on site show the proposed location of storage on a map (as per 5.1.2.1) and provide detail on:</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types of bulk chemicals and the volumes of each;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proposed bunding and containment for all chemical and fuel storage vessels.</w:t>
      </w:r>
    </w:p>
    <w:p w:rsidR="00E26C8E" w:rsidRPr="00E26C8E" w:rsidRDefault="00E26C8E" w:rsidP="00E26C8E">
      <w:pPr>
        <w:spacing w:after="0" w:line="240" w:lineRule="auto"/>
        <w:jc w:val="left"/>
        <w:rPr>
          <w:rFonts w:eastAsia="Times New Roman"/>
          <w:b/>
          <w:szCs w:val="20"/>
        </w:rPr>
      </w:pPr>
      <w:r w:rsidRPr="00E26C8E">
        <w:rPr>
          <w:rFonts w:eastAsia="Times New Roman"/>
          <w:b/>
          <w:szCs w:val="20"/>
        </w:rPr>
        <w:br w:type="page"/>
      </w:r>
    </w:p>
    <w:p w:rsidR="00E26C8E" w:rsidRPr="00E26C8E" w:rsidRDefault="00E26C8E" w:rsidP="00E26C8E">
      <w:pPr>
        <w:ind w:left="1418" w:hanging="567"/>
        <w:rPr>
          <w:rFonts w:eastAsia="Times New Roman"/>
          <w:b/>
          <w:szCs w:val="20"/>
        </w:rPr>
      </w:pPr>
      <w:r w:rsidRPr="00E26C8E">
        <w:rPr>
          <w:rFonts w:eastAsia="Times New Roman"/>
          <w:b/>
          <w:szCs w:val="20"/>
        </w:rPr>
        <w:t>2.6.6</w:t>
      </w:r>
      <w:r w:rsidRPr="00E26C8E">
        <w:rPr>
          <w:rFonts w:eastAsia="Times New Roman"/>
          <w:b/>
          <w:szCs w:val="20"/>
        </w:rPr>
        <w:tab/>
        <w:t>Site security</w:t>
      </w:r>
    </w:p>
    <w:p w:rsidR="00E26C8E" w:rsidRPr="00E26C8E" w:rsidRDefault="00E26C8E" w:rsidP="00E26C8E">
      <w:pPr>
        <w:ind w:left="1418"/>
        <w:rPr>
          <w:rFonts w:eastAsia="Times New Roman"/>
          <w:szCs w:val="20"/>
        </w:rPr>
      </w:pPr>
      <w:r w:rsidRPr="00E26C8E">
        <w:rPr>
          <w:rFonts w:eastAsia="Times New Roman"/>
          <w:szCs w:val="20"/>
        </w:rPr>
        <w:t>Describe infrastructure and measures that will be adopted to prevent unauthorised access by the public, including, but not limited to:</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fencing;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signage.</w:t>
      </w:r>
    </w:p>
    <w:p w:rsidR="00E26C8E" w:rsidRPr="00E26C8E" w:rsidRDefault="00E26C8E" w:rsidP="00E26C8E">
      <w:pPr>
        <w:ind w:left="1418" w:hanging="567"/>
        <w:rPr>
          <w:rFonts w:eastAsia="Times New Roman"/>
          <w:b/>
          <w:szCs w:val="20"/>
        </w:rPr>
      </w:pPr>
      <w:r w:rsidRPr="00E26C8E">
        <w:rPr>
          <w:rFonts w:eastAsia="Times New Roman"/>
          <w:b/>
          <w:szCs w:val="20"/>
        </w:rPr>
        <w:t>2.6.7</w:t>
      </w:r>
      <w:r w:rsidRPr="00E26C8E">
        <w:rPr>
          <w:rFonts w:eastAsia="Times New Roman"/>
          <w:b/>
          <w:szCs w:val="20"/>
        </w:rPr>
        <w:tab/>
        <w:t>Erosion, Sediment and Silt Control</w:t>
      </w:r>
    </w:p>
    <w:p w:rsidR="00E26C8E" w:rsidRPr="00E26C8E" w:rsidRDefault="00E26C8E" w:rsidP="00E26C8E">
      <w:pPr>
        <w:ind w:left="1418"/>
        <w:rPr>
          <w:rFonts w:eastAsia="Times New Roman"/>
          <w:szCs w:val="20"/>
        </w:rPr>
      </w:pPr>
      <w:r w:rsidRPr="00E26C8E">
        <w:rPr>
          <w:rFonts w:eastAsia="Times New Roman"/>
          <w:szCs w:val="20"/>
        </w:rPr>
        <w:t>Describe and show on a map (as per 5.1.2.1):</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location and design of sediment management structures;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management and disposal of silt;</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strategies to control runoff on disturbed areas and rehabilitated areas;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storage, diversion and release of clean water.</w:t>
      </w:r>
    </w:p>
    <w:p w:rsidR="00E26C8E" w:rsidRPr="00E26C8E" w:rsidRDefault="00E26C8E" w:rsidP="00E26C8E">
      <w:pPr>
        <w:ind w:left="851" w:hanging="425"/>
        <w:rPr>
          <w:rFonts w:eastAsia="Times New Roman"/>
          <w:b/>
          <w:szCs w:val="20"/>
        </w:rPr>
      </w:pPr>
      <w:r w:rsidRPr="00E26C8E">
        <w:rPr>
          <w:rFonts w:eastAsia="Times New Roman"/>
          <w:b/>
          <w:szCs w:val="20"/>
        </w:rPr>
        <w:t>2.6</w:t>
      </w:r>
      <w:r w:rsidRPr="00E26C8E">
        <w:rPr>
          <w:rFonts w:eastAsia="Times New Roman"/>
          <w:b/>
          <w:szCs w:val="20"/>
        </w:rPr>
        <w:tab/>
        <w:t>Vegetation clearance</w:t>
      </w:r>
    </w:p>
    <w:p w:rsidR="00E26C8E" w:rsidRPr="00E26C8E" w:rsidRDefault="00E26C8E" w:rsidP="00E26C8E">
      <w:pPr>
        <w:ind w:left="851"/>
        <w:rPr>
          <w:rFonts w:eastAsia="Times New Roman"/>
          <w:szCs w:val="20"/>
        </w:rPr>
      </w:pPr>
      <w:r w:rsidRPr="00E26C8E">
        <w:rPr>
          <w:rFonts w:eastAsia="Times New Roman"/>
          <w:szCs w:val="20"/>
        </w:rPr>
        <w:t>If clearance of native vegetation is proposed, a description of the vegetation type to be cleared and map (as per 5.1.2.2) showing the proposed clearance area must be provided.</w:t>
      </w:r>
    </w:p>
    <w:p w:rsidR="00E26C8E" w:rsidRPr="00E26C8E" w:rsidRDefault="00E26C8E" w:rsidP="00E26C8E">
      <w:pPr>
        <w:ind w:left="851"/>
        <w:rPr>
          <w:rFonts w:eastAsia="Times New Roman"/>
          <w:szCs w:val="20"/>
        </w:rPr>
      </w:pPr>
      <w:r w:rsidRPr="00E26C8E">
        <w:rPr>
          <w:rFonts w:eastAsia="Times New Roman"/>
          <w:szCs w:val="20"/>
        </w:rPr>
        <w:t>State the estimated quantum of significant environmental benefit (SEB) to be gained in exchange for the proposed clearance and describe how the SEB will be provided.</w:t>
      </w:r>
    </w:p>
    <w:p w:rsidR="00E26C8E" w:rsidRPr="00E26C8E" w:rsidRDefault="00E26C8E" w:rsidP="00E26C8E">
      <w:pPr>
        <w:ind w:left="851" w:hanging="425"/>
        <w:rPr>
          <w:rFonts w:eastAsia="Times New Roman"/>
          <w:b/>
          <w:szCs w:val="20"/>
        </w:rPr>
      </w:pPr>
      <w:r w:rsidRPr="00E26C8E">
        <w:rPr>
          <w:rFonts w:eastAsia="Times New Roman"/>
          <w:b/>
          <w:szCs w:val="20"/>
        </w:rPr>
        <w:t>2.7</w:t>
      </w:r>
      <w:r w:rsidRPr="00E26C8E">
        <w:rPr>
          <w:rFonts w:eastAsia="Times New Roman"/>
          <w:b/>
          <w:szCs w:val="20"/>
        </w:rPr>
        <w:tab/>
        <w:t>Site Water Management</w:t>
      </w:r>
    </w:p>
    <w:p w:rsidR="00E26C8E" w:rsidRPr="00E26C8E" w:rsidRDefault="00E26C8E" w:rsidP="00E26C8E">
      <w:pPr>
        <w:ind w:left="851"/>
        <w:rPr>
          <w:rFonts w:eastAsia="Times New Roman"/>
          <w:szCs w:val="20"/>
        </w:rPr>
      </w:pPr>
      <w:r w:rsidRPr="00E26C8E">
        <w:rPr>
          <w:rFonts w:eastAsia="Times New Roman"/>
          <w:szCs w:val="20"/>
        </w:rPr>
        <w:t>Provide an estimate of the quantity of water to be used and the proposed source of that water. If processing water is to be used, provide a water balance including:</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approximate water volumes required for processing; and</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a summary of all water inputs and outputs.</w:t>
      </w:r>
    </w:p>
    <w:p w:rsidR="00E26C8E" w:rsidRPr="00E26C8E" w:rsidRDefault="00E26C8E" w:rsidP="00E26C8E">
      <w:pPr>
        <w:ind w:left="851"/>
        <w:rPr>
          <w:rFonts w:eastAsia="Times New Roman"/>
          <w:szCs w:val="20"/>
        </w:rPr>
      </w:pPr>
      <w:r w:rsidRPr="00E26C8E">
        <w:rPr>
          <w:rFonts w:eastAsia="Times New Roman"/>
          <w:szCs w:val="20"/>
        </w:rPr>
        <w:t>Provide a description of all process water ponds, including:</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size, capacity, layout and location of ponds;</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design and construction methods; and</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minimum freeboard to be maintained.</w:t>
      </w:r>
    </w:p>
    <w:p w:rsidR="00E26C8E" w:rsidRPr="00E26C8E" w:rsidRDefault="00E26C8E" w:rsidP="00E26C8E">
      <w:pPr>
        <w:ind w:left="851" w:hanging="425"/>
        <w:rPr>
          <w:rFonts w:eastAsia="Times New Roman"/>
          <w:b/>
          <w:szCs w:val="20"/>
        </w:rPr>
      </w:pPr>
      <w:r w:rsidRPr="00E26C8E">
        <w:rPr>
          <w:rFonts w:eastAsia="Times New Roman"/>
          <w:b/>
          <w:szCs w:val="20"/>
        </w:rPr>
        <w:t>2.8</w:t>
      </w:r>
      <w:r w:rsidRPr="00E26C8E">
        <w:rPr>
          <w:rFonts w:eastAsia="Times New Roman"/>
          <w:b/>
          <w:szCs w:val="20"/>
        </w:rPr>
        <w:tab/>
        <w:t>Description of Quarry Site at Completion</w:t>
      </w:r>
    </w:p>
    <w:p w:rsidR="00E26C8E" w:rsidRPr="00E26C8E" w:rsidRDefault="00E26C8E" w:rsidP="00E26C8E">
      <w:pPr>
        <w:ind w:left="851"/>
        <w:rPr>
          <w:rFonts w:eastAsia="Times New Roman"/>
          <w:szCs w:val="20"/>
        </w:rPr>
      </w:pPr>
      <w:r w:rsidRPr="00E26C8E">
        <w:rPr>
          <w:rFonts w:eastAsia="Times New Roman"/>
          <w:szCs w:val="20"/>
        </w:rPr>
        <w:t>Provide a map (as per 5.1.2.4), cross-section (as per 5.2.2.2) and a conceptual description of the quarry site as it will be at completion after all rehabilitation and closure activities have been completed, including:</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potential land use options;</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landforms;</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proposed vegetation covers (including native vegetation that will not be disturbed due to proposed quarrying operations);</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any quarrying infrastructure that may remain on site and become the responsibility of the landowner;</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location, description and management of waste disposal areas;</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location of reshaped and rehabilitated areas, proposed surface contours and revegetation; and</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location of surface water infrastructure including ponds and diversions.</w:t>
      </w:r>
    </w:p>
    <w:p w:rsidR="00E26C8E" w:rsidRPr="00E26C8E" w:rsidRDefault="00E26C8E" w:rsidP="00E26C8E">
      <w:pPr>
        <w:ind w:left="851"/>
        <w:rPr>
          <w:rFonts w:eastAsia="Times New Roman"/>
          <w:szCs w:val="20"/>
        </w:rPr>
      </w:pPr>
      <w:r w:rsidRPr="00E26C8E">
        <w:rPr>
          <w:rFonts w:eastAsia="Times New Roman"/>
          <w:szCs w:val="20"/>
        </w:rPr>
        <w:t>Provide a description of the proposed mechanism for transferring responsibility for any potential residual liability (e.g. ongoing maintenance or monitoring) subsequent to surrender of the tenement.</w:t>
      </w:r>
    </w:p>
    <w:p w:rsidR="00E26C8E" w:rsidRPr="00E26C8E" w:rsidRDefault="00E26C8E" w:rsidP="00E26C8E">
      <w:pPr>
        <w:ind w:left="851" w:hanging="425"/>
        <w:rPr>
          <w:rFonts w:eastAsia="Times New Roman"/>
          <w:b/>
          <w:szCs w:val="20"/>
        </w:rPr>
      </w:pPr>
      <w:r w:rsidRPr="00E26C8E">
        <w:rPr>
          <w:rFonts w:eastAsia="Times New Roman"/>
          <w:b/>
          <w:szCs w:val="20"/>
        </w:rPr>
        <w:t>2.9</w:t>
      </w:r>
      <w:r w:rsidRPr="00E26C8E">
        <w:rPr>
          <w:rFonts w:eastAsia="Times New Roman"/>
          <w:b/>
          <w:szCs w:val="20"/>
        </w:rPr>
        <w:tab/>
        <w:t>Description of workforce and local procurement</w:t>
      </w:r>
    </w:p>
    <w:p w:rsidR="00E26C8E" w:rsidRPr="00E26C8E" w:rsidRDefault="00E26C8E" w:rsidP="00E26C8E">
      <w:pPr>
        <w:ind w:left="851"/>
        <w:rPr>
          <w:rFonts w:eastAsia="Times New Roman"/>
          <w:szCs w:val="20"/>
        </w:rPr>
      </w:pPr>
      <w:r w:rsidRPr="00E26C8E">
        <w:rPr>
          <w:rFonts w:eastAsia="Times New Roman"/>
          <w:szCs w:val="20"/>
        </w:rPr>
        <w:t>Describe:</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number of full-time equivalent employee positions that would be directly created by the proposal (not to include existing positions);</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the proportion of the workforce that would likely reside in the local community and the estimated impact on local employment;</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any programs to target and assist Indigenous or local employment at the quarry;</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training to be provided to employees and potential employees;</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approximate timelines for creation of the positions; and</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potential for local business participation, and procurement of local goods and services.</w:t>
      </w:r>
    </w:p>
    <w:p w:rsidR="00E26C8E" w:rsidRPr="00E26C8E" w:rsidRDefault="00E26C8E" w:rsidP="00E26C8E">
      <w:pPr>
        <w:ind w:left="426" w:hanging="284"/>
        <w:rPr>
          <w:rFonts w:eastAsia="Times New Roman"/>
          <w:b/>
          <w:szCs w:val="20"/>
        </w:rPr>
      </w:pPr>
      <w:r w:rsidRPr="00E26C8E">
        <w:rPr>
          <w:rFonts w:eastAsia="Times New Roman"/>
          <w:b/>
          <w:szCs w:val="20"/>
        </w:rPr>
        <w:t>3.</w:t>
      </w:r>
      <w:r w:rsidRPr="00E26C8E">
        <w:rPr>
          <w:rFonts w:eastAsia="Times New Roman"/>
          <w:b/>
          <w:szCs w:val="20"/>
        </w:rPr>
        <w:tab/>
        <w:t>CONSULTATION</w:t>
      </w:r>
    </w:p>
    <w:p w:rsidR="00E26C8E" w:rsidRPr="00E26C8E" w:rsidRDefault="00E26C8E" w:rsidP="00E26C8E">
      <w:pPr>
        <w:ind w:left="426"/>
        <w:rPr>
          <w:rFonts w:eastAsia="Times New Roman"/>
          <w:szCs w:val="20"/>
        </w:rPr>
      </w:pPr>
      <w:r w:rsidRPr="00E26C8E">
        <w:rPr>
          <w:rFonts w:eastAsia="Times New Roman"/>
          <w:szCs w:val="20"/>
        </w:rPr>
        <w:t xml:space="preserve">In setting out the result of the consultation undertaken in connection with the proposed operations in accordance with sections 36(1)(c)(iv) and 49(1)(c)(iv) of the </w:t>
      </w:r>
      <w:r w:rsidRPr="00E26C8E">
        <w:rPr>
          <w:rFonts w:eastAsia="Times New Roman"/>
          <w:i/>
          <w:szCs w:val="20"/>
        </w:rPr>
        <w:t>Mining Act 1971</w:t>
      </w:r>
      <w:r w:rsidRPr="00E26C8E">
        <w:rPr>
          <w:rFonts w:eastAsia="Times New Roman"/>
          <w:szCs w:val="20"/>
        </w:rPr>
        <w:t xml:space="preserve"> and regulation 47 of the </w:t>
      </w:r>
      <w:r w:rsidRPr="00E26C8E">
        <w:rPr>
          <w:rFonts w:eastAsia="Times New Roman"/>
          <w:i/>
          <w:szCs w:val="20"/>
        </w:rPr>
        <w:t>Mining Regulations 2020</w:t>
      </w:r>
      <w:r w:rsidRPr="00E26C8E">
        <w:rPr>
          <w:rFonts w:eastAsia="Times New Roman"/>
          <w:szCs w:val="20"/>
        </w:rPr>
        <w:t xml:space="preserve">, the Minister determines in accordance with regulation 46(7)(e) of the </w:t>
      </w:r>
      <w:r w:rsidRPr="00E26C8E">
        <w:rPr>
          <w:rFonts w:eastAsia="Times New Roman"/>
          <w:i/>
          <w:szCs w:val="20"/>
        </w:rPr>
        <w:t>Mining Regulations 2020</w:t>
      </w:r>
      <w:r w:rsidRPr="00E26C8E">
        <w:rPr>
          <w:rFonts w:eastAsia="Times New Roman"/>
          <w:szCs w:val="20"/>
        </w:rPr>
        <w:t xml:space="preserve"> that a proposal must include:</w:t>
      </w:r>
    </w:p>
    <w:p w:rsidR="00E26C8E" w:rsidRPr="00E26C8E" w:rsidRDefault="00E26C8E" w:rsidP="00E26C8E">
      <w:pPr>
        <w:ind w:left="567"/>
        <w:rPr>
          <w:rFonts w:eastAsia="Times New Roman"/>
          <w:szCs w:val="20"/>
        </w:rPr>
      </w:pPr>
      <w:r w:rsidRPr="00E26C8E">
        <w:rPr>
          <w:rFonts w:eastAsia="Times New Roman"/>
          <w:szCs w:val="20"/>
        </w:rPr>
        <w:t>A description of:</w:t>
      </w:r>
    </w:p>
    <w:p w:rsidR="00E26C8E" w:rsidRPr="00E26C8E" w:rsidRDefault="00E26C8E" w:rsidP="00E26C8E">
      <w:pPr>
        <w:ind w:left="851" w:hanging="283"/>
        <w:rPr>
          <w:rFonts w:eastAsia="Times New Roman"/>
          <w:szCs w:val="20"/>
        </w:rPr>
      </w:pPr>
      <w:r w:rsidRPr="00E26C8E">
        <w:rPr>
          <w:rFonts w:eastAsia="Times New Roman"/>
          <w:szCs w:val="20"/>
        </w:rPr>
        <w:t>•</w:t>
      </w:r>
      <w:r w:rsidRPr="00E26C8E">
        <w:rPr>
          <w:rFonts w:eastAsia="Times New Roman"/>
          <w:szCs w:val="20"/>
        </w:rPr>
        <w:tab/>
        <w:t>the process undertaken for identifying stakeholders with an interest in, or stakeholders likely to be directly affected by the proposed quarry operation;</w:t>
      </w:r>
    </w:p>
    <w:p w:rsidR="00E26C8E" w:rsidRPr="00E26C8E" w:rsidRDefault="00E26C8E" w:rsidP="00E26C8E">
      <w:pPr>
        <w:ind w:left="851" w:hanging="283"/>
        <w:rPr>
          <w:rFonts w:eastAsia="Times New Roman"/>
          <w:szCs w:val="20"/>
        </w:rPr>
      </w:pPr>
      <w:r w:rsidRPr="00E26C8E">
        <w:rPr>
          <w:rFonts w:eastAsia="Times New Roman"/>
          <w:szCs w:val="20"/>
        </w:rPr>
        <w:t>•</w:t>
      </w:r>
      <w:r w:rsidRPr="00E26C8E">
        <w:rPr>
          <w:rFonts w:eastAsia="Times New Roman"/>
          <w:szCs w:val="20"/>
        </w:rPr>
        <w:tab/>
        <w:t>the process undertaken for the delivery of information to, gathering of feedback from, and responding to those identified stakeholders;</w:t>
      </w:r>
    </w:p>
    <w:p w:rsidR="00E26C8E" w:rsidRPr="00E26C8E" w:rsidRDefault="00E26C8E" w:rsidP="00E26C8E">
      <w:pPr>
        <w:ind w:left="851" w:hanging="283"/>
        <w:rPr>
          <w:rFonts w:eastAsia="Times New Roman"/>
          <w:szCs w:val="20"/>
        </w:rPr>
      </w:pPr>
      <w:r w:rsidRPr="00E26C8E">
        <w:rPr>
          <w:rFonts w:eastAsia="Times New Roman"/>
          <w:szCs w:val="20"/>
        </w:rPr>
        <w:t>•</w:t>
      </w:r>
      <w:r w:rsidRPr="00E26C8E">
        <w:rPr>
          <w:rFonts w:eastAsia="Times New Roman"/>
          <w:szCs w:val="20"/>
        </w:rPr>
        <w:tab/>
        <w:t>if any individual or group of similar affected persons were not able to be consulted, the steps taken to consult with them; and</w:t>
      </w:r>
    </w:p>
    <w:p w:rsidR="00E26C8E" w:rsidRPr="00E26C8E" w:rsidRDefault="00E26C8E" w:rsidP="00E26C8E">
      <w:pPr>
        <w:ind w:left="851" w:hanging="283"/>
        <w:rPr>
          <w:rFonts w:eastAsia="Times New Roman"/>
          <w:szCs w:val="20"/>
        </w:rPr>
      </w:pPr>
      <w:r w:rsidRPr="00E26C8E">
        <w:rPr>
          <w:rFonts w:eastAsia="Times New Roman"/>
          <w:szCs w:val="20"/>
        </w:rPr>
        <w:t>•</w:t>
      </w:r>
      <w:r w:rsidRPr="00E26C8E">
        <w:rPr>
          <w:rFonts w:eastAsia="Times New Roman"/>
          <w:szCs w:val="20"/>
        </w:rPr>
        <w:tab/>
        <w:t>the extent to which the outcomes proposed in clause 4.2.2 have been developed in consultation with the landowner and any other person who may be directly affected by the proposed quarry operations.</w:t>
      </w:r>
    </w:p>
    <w:p w:rsidR="00E26C8E" w:rsidRPr="00E26C8E" w:rsidRDefault="00E26C8E" w:rsidP="00E26C8E">
      <w:pPr>
        <w:spacing w:after="0" w:line="240" w:lineRule="auto"/>
        <w:jc w:val="left"/>
        <w:rPr>
          <w:rFonts w:eastAsia="Times New Roman"/>
          <w:szCs w:val="20"/>
        </w:rPr>
      </w:pPr>
      <w:r w:rsidRPr="00E26C8E">
        <w:rPr>
          <w:rFonts w:eastAsia="Times New Roman"/>
          <w:szCs w:val="20"/>
        </w:rPr>
        <w:br w:type="page"/>
      </w:r>
    </w:p>
    <w:p w:rsidR="00E26C8E" w:rsidRPr="00E26C8E" w:rsidRDefault="00E26C8E" w:rsidP="00E26C8E">
      <w:pPr>
        <w:ind w:left="567"/>
        <w:rPr>
          <w:rFonts w:eastAsia="Times New Roman"/>
          <w:szCs w:val="20"/>
        </w:rPr>
      </w:pPr>
      <w:r w:rsidRPr="00E26C8E">
        <w:rPr>
          <w:rFonts w:eastAsia="Times New Roman"/>
          <w:szCs w:val="20"/>
        </w:rPr>
        <w:t>The results of the consultation undertaken with those identified stakeholders, including:</w:t>
      </w:r>
    </w:p>
    <w:p w:rsidR="00E26C8E" w:rsidRPr="00E26C8E" w:rsidRDefault="00E26C8E" w:rsidP="00E26C8E">
      <w:pPr>
        <w:ind w:left="851" w:hanging="283"/>
        <w:rPr>
          <w:rFonts w:eastAsia="Times New Roman"/>
          <w:szCs w:val="20"/>
        </w:rPr>
      </w:pPr>
      <w:r w:rsidRPr="00E26C8E">
        <w:rPr>
          <w:rFonts w:eastAsia="Times New Roman"/>
          <w:szCs w:val="20"/>
        </w:rPr>
        <w:t>•</w:t>
      </w:r>
      <w:r w:rsidRPr="00E26C8E">
        <w:rPr>
          <w:rFonts w:eastAsia="Times New Roman"/>
          <w:szCs w:val="20"/>
        </w:rPr>
        <w:tab/>
        <w:t>the persons consulted;</w:t>
      </w:r>
    </w:p>
    <w:p w:rsidR="00E26C8E" w:rsidRPr="00E26C8E" w:rsidRDefault="00E26C8E" w:rsidP="00E26C8E">
      <w:pPr>
        <w:ind w:left="851" w:hanging="283"/>
        <w:rPr>
          <w:rFonts w:eastAsia="Times New Roman"/>
          <w:szCs w:val="20"/>
        </w:rPr>
      </w:pPr>
      <w:r w:rsidRPr="00E26C8E">
        <w:rPr>
          <w:rFonts w:eastAsia="Times New Roman"/>
          <w:szCs w:val="20"/>
        </w:rPr>
        <w:t>•</w:t>
      </w:r>
      <w:r w:rsidRPr="00E26C8E">
        <w:rPr>
          <w:rFonts w:eastAsia="Times New Roman"/>
          <w:szCs w:val="20"/>
        </w:rPr>
        <w:tab/>
        <w:t>any concerns/issues raised; and</w:t>
      </w:r>
    </w:p>
    <w:p w:rsidR="00E26C8E" w:rsidRPr="00E26C8E" w:rsidRDefault="00E26C8E" w:rsidP="00E26C8E">
      <w:pPr>
        <w:ind w:left="851" w:hanging="283"/>
        <w:rPr>
          <w:rFonts w:eastAsia="Times New Roman"/>
          <w:szCs w:val="20"/>
        </w:rPr>
      </w:pPr>
      <w:r w:rsidRPr="00E26C8E">
        <w:rPr>
          <w:rFonts w:eastAsia="Times New Roman"/>
          <w:szCs w:val="20"/>
        </w:rPr>
        <w:t>•</w:t>
      </w:r>
      <w:r w:rsidRPr="00E26C8E">
        <w:rPr>
          <w:rFonts w:eastAsia="Times New Roman"/>
          <w:szCs w:val="20"/>
        </w:rPr>
        <w:tab/>
        <w:t>the response and steps (if any) taken or proposed to address those concerns.</w:t>
      </w:r>
    </w:p>
    <w:p w:rsidR="00E26C8E" w:rsidRPr="00E26C8E" w:rsidRDefault="00E26C8E" w:rsidP="00E26C8E">
      <w:pPr>
        <w:ind w:left="426" w:hanging="284"/>
        <w:rPr>
          <w:rFonts w:eastAsia="Times New Roman"/>
          <w:b/>
          <w:szCs w:val="20"/>
        </w:rPr>
      </w:pPr>
      <w:r w:rsidRPr="00E26C8E">
        <w:rPr>
          <w:rFonts w:eastAsia="Times New Roman"/>
          <w:b/>
          <w:szCs w:val="20"/>
        </w:rPr>
        <w:t>4.</w:t>
      </w:r>
      <w:r w:rsidRPr="00E26C8E">
        <w:rPr>
          <w:rFonts w:eastAsia="Times New Roman"/>
          <w:b/>
          <w:szCs w:val="20"/>
        </w:rPr>
        <w:tab/>
        <w:t>MANAGEMENT OF ENVIRONMENTAL IMPACTS</w:t>
      </w:r>
    </w:p>
    <w:p w:rsidR="00E26C8E" w:rsidRPr="00E26C8E" w:rsidRDefault="00E26C8E" w:rsidP="00E26C8E">
      <w:pPr>
        <w:ind w:left="851" w:hanging="425"/>
        <w:rPr>
          <w:rFonts w:eastAsia="Times New Roman"/>
          <w:b/>
          <w:szCs w:val="20"/>
        </w:rPr>
      </w:pPr>
      <w:r w:rsidRPr="00E26C8E">
        <w:rPr>
          <w:rFonts w:eastAsia="Times New Roman"/>
          <w:b/>
          <w:szCs w:val="20"/>
        </w:rPr>
        <w:t>4.1</w:t>
      </w:r>
      <w:r w:rsidRPr="00E26C8E">
        <w:rPr>
          <w:rFonts w:eastAsia="Times New Roman"/>
          <w:b/>
          <w:szCs w:val="20"/>
        </w:rPr>
        <w:tab/>
        <w:t>Assessment of environmental impacts</w:t>
      </w:r>
    </w:p>
    <w:p w:rsidR="00E26C8E" w:rsidRPr="00E26C8E" w:rsidRDefault="00E26C8E" w:rsidP="00E26C8E">
      <w:pPr>
        <w:ind w:left="851"/>
        <w:rPr>
          <w:rFonts w:eastAsia="Times New Roman"/>
          <w:szCs w:val="20"/>
        </w:rPr>
      </w:pPr>
      <w:r w:rsidRPr="00E26C8E">
        <w:rPr>
          <w:rFonts w:eastAsia="Times New Roman"/>
          <w:szCs w:val="20"/>
        </w:rPr>
        <w:t xml:space="preserve">In setting out an assessment of the environmental impacts of the proposed authorised operations in accordance with sections 36(1)(c)(ii)(A) and 49(1)(c)(ii)(A) of the </w:t>
      </w:r>
      <w:r w:rsidRPr="00E26C8E">
        <w:rPr>
          <w:rFonts w:eastAsia="Times New Roman"/>
          <w:i/>
          <w:szCs w:val="20"/>
        </w:rPr>
        <w:t>Mining Act 1971</w:t>
      </w:r>
      <w:r w:rsidRPr="00E26C8E">
        <w:rPr>
          <w:rFonts w:eastAsia="Times New Roman"/>
          <w:szCs w:val="20"/>
        </w:rPr>
        <w:t xml:space="preserve"> and regulation 46(2) of the </w:t>
      </w:r>
      <w:r w:rsidRPr="00E26C8E">
        <w:rPr>
          <w:rFonts w:eastAsia="Times New Roman"/>
          <w:i/>
          <w:szCs w:val="20"/>
        </w:rPr>
        <w:t>Mining Regulations 2020</w:t>
      </w:r>
      <w:r w:rsidRPr="00E26C8E">
        <w:rPr>
          <w:rFonts w:eastAsia="Times New Roman"/>
          <w:szCs w:val="20"/>
        </w:rPr>
        <w:t xml:space="preserve">, the Minister determines in accordance with regulation 46(7)(e) of the </w:t>
      </w:r>
      <w:r w:rsidRPr="00E26C8E">
        <w:rPr>
          <w:rFonts w:eastAsia="Times New Roman"/>
          <w:i/>
          <w:szCs w:val="20"/>
        </w:rPr>
        <w:t>Mining Regulations 2020</w:t>
      </w:r>
      <w:r w:rsidRPr="00E26C8E">
        <w:rPr>
          <w:rFonts w:eastAsia="Times New Roman"/>
          <w:szCs w:val="20"/>
        </w:rPr>
        <w:t xml:space="preserve"> that a proposal must include an assessment of the environment as set out in this Terms of Reference.</w:t>
      </w:r>
    </w:p>
    <w:p w:rsidR="00E26C8E" w:rsidRPr="00E26C8E" w:rsidRDefault="00E26C8E" w:rsidP="00E26C8E">
      <w:pPr>
        <w:ind w:left="1418" w:hanging="567"/>
        <w:rPr>
          <w:rFonts w:eastAsia="Times New Roman"/>
          <w:b/>
          <w:szCs w:val="20"/>
        </w:rPr>
      </w:pPr>
      <w:r w:rsidRPr="00E26C8E">
        <w:rPr>
          <w:rFonts w:eastAsia="Times New Roman"/>
          <w:b/>
          <w:szCs w:val="20"/>
        </w:rPr>
        <w:t>4.1.1</w:t>
      </w:r>
      <w:r w:rsidRPr="00E26C8E">
        <w:rPr>
          <w:rFonts w:eastAsia="Times New Roman"/>
          <w:b/>
          <w:szCs w:val="20"/>
        </w:rPr>
        <w:tab/>
        <w:t>Elements of the environment</w:t>
      </w:r>
    </w:p>
    <w:p w:rsidR="00E26C8E" w:rsidRPr="00E26C8E" w:rsidRDefault="00E26C8E" w:rsidP="00E26C8E">
      <w:pPr>
        <w:ind w:left="1418"/>
        <w:rPr>
          <w:rFonts w:eastAsia="Times New Roman"/>
          <w:szCs w:val="20"/>
        </w:rPr>
      </w:pPr>
      <w:r w:rsidRPr="00E26C8E">
        <w:rPr>
          <w:rFonts w:eastAsia="Times New Roman"/>
          <w:szCs w:val="20"/>
        </w:rPr>
        <w:t xml:space="preserve">Describe the specific elements of the environment (the environment is defined in Section 6(4) of the </w:t>
      </w:r>
      <w:r w:rsidRPr="00E26C8E">
        <w:rPr>
          <w:rFonts w:eastAsia="Times New Roman"/>
          <w:i/>
          <w:szCs w:val="20"/>
        </w:rPr>
        <w:t>Mining Act 1971</w:t>
      </w:r>
      <w:r w:rsidRPr="00E26C8E">
        <w:rPr>
          <w:rFonts w:eastAsia="Times New Roman"/>
          <w:szCs w:val="20"/>
        </w:rPr>
        <w:t>) that may reasonably be expected to be impacted on by the proposed quarry operation during construction, operation, and indefinitely post completion.</w:t>
      </w:r>
    </w:p>
    <w:p w:rsidR="00E26C8E" w:rsidRPr="00E26C8E" w:rsidRDefault="00E26C8E" w:rsidP="00E26C8E">
      <w:pPr>
        <w:ind w:left="1418"/>
        <w:rPr>
          <w:rFonts w:eastAsia="Times New Roman"/>
          <w:szCs w:val="20"/>
        </w:rPr>
      </w:pPr>
      <w:r w:rsidRPr="00E26C8E">
        <w:rPr>
          <w:rFonts w:eastAsia="Times New Roman"/>
          <w:szCs w:val="20"/>
        </w:rPr>
        <w:t>For each element of the environment identified: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provide a summary of any issues or considerations raised by stakeholders, and any relevant legislated or recognised standards in relation to the element of the environment;</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describe all potential environmental receptors;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undertake an impact assessment of how the element could be potentially impacted by proposed quarry operations (during construction, operation and post completion) through the provision of the information listed in the following clause 4.1.2.</w:t>
      </w:r>
    </w:p>
    <w:p w:rsidR="00E26C8E" w:rsidRPr="00E26C8E" w:rsidRDefault="00E26C8E" w:rsidP="00E26C8E">
      <w:pPr>
        <w:ind w:left="1418" w:hanging="567"/>
        <w:rPr>
          <w:rFonts w:eastAsia="Times New Roman"/>
          <w:b/>
          <w:szCs w:val="20"/>
        </w:rPr>
      </w:pPr>
      <w:r w:rsidRPr="00E26C8E">
        <w:rPr>
          <w:rFonts w:eastAsia="Times New Roman"/>
          <w:b/>
          <w:szCs w:val="20"/>
        </w:rPr>
        <w:t>4.1.2</w:t>
      </w:r>
      <w:r w:rsidRPr="00E26C8E">
        <w:rPr>
          <w:rFonts w:eastAsia="Times New Roman"/>
          <w:b/>
          <w:szCs w:val="20"/>
        </w:rPr>
        <w:tab/>
        <w:t>Potential impact events</w:t>
      </w:r>
    </w:p>
    <w:p w:rsidR="00E26C8E" w:rsidRPr="00E26C8E" w:rsidRDefault="00E26C8E" w:rsidP="00E26C8E">
      <w:pPr>
        <w:ind w:left="1418"/>
        <w:rPr>
          <w:rFonts w:eastAsia="Times New Roman"/>
          <w:szCs w:val="20"/>
        </w:rPr>
      </w:pPr>
      <w:r w:rsidRPr="00E26C8E">
        <w:rPr>
          <w:rFonts w:eastAsia="Times New Roman"/>
          <w:szCs w:val="20"/>
        </w:rPr>
        <w:t>Describe potential impact events associated with each phase of the proposed quarry operations (construction, operation and post completion) and relevant to each element of the environment.</w:t>
      </w:r>
    </w:p>
    <w:p w:rsidR="00E26C8E" w:rsidRPr="00E26C8E" w:rsidRDefault="00E26C8E" w:rsidP="00E26C8E">
      <w:pPr>
        <w:ind w:left="1418"/>
        <w:rPr>
          <w:rFonts w:eastAsia="Times New Roman"/>
          <w:szCs w:val="20"/>
        </w:rPr>
      </w:pPr>
      <w:r w:rsidRPr="00E26C8E">
        <w:rPr>
          <w:rFonts w:eastAsia="Times New Roman"/>
          <w:szCs w:val="20"/>
        </w:rPr>
        <w:t>For the purpose of the impact assessment, a potential impact event is the combination of a source, a pathway and an environmental receptor.</w:t>
      </w:r>
    </w:p>
    <w:p w:rsidR="00E26C8E" w:rsidRPr="00E26C8E" w:rsidRDefault="00E26C8E" w:rsidP="00E26C8E">
      <w:pPr>
        <w:ind w:left="1418"/>
        <w:rPr>
          <w:rFonts w:eastAsia="Times New Roman"/>
          <w:szCs w:val="20"/>
        </w:rPr>
      </w:pPr>
      <w:r w:rsidRPr="00E26C8E">
        <w:rPr>
          <w:rFonts w:eastAsia="Times New Roman"/>
          <w:szCs w:val="20"/>
        </w:rPr>
        <w:t>The source, pathway and environmental receptor of each potential impact event must be described prior to the implementation of engineering or administrative control measures.</w:t>
      </w:r>
    </w:p>
    <w:p w:rsidR="00E26C8E" w:rsidRPr="00E26C8E" w:rsidRDefault="00E26C8E" w:rsidP="00E26C8E">
      <w:pPr>
        <w:ind w:left="1418"/>
        <w:rPr>
          <w:rFonts w:eastAsia="Times New Roman"/>
          <w:szCs w:val="20"/>
        </w:rPr>
      </w:pPr>
      <w:r w:rsidRPr="00E26C8E">
        <w:rPr>
          <w:rFonts w:eastAsia="Times New Roman"/>
          <w:szCs w:val="20"/>
        </w:rPr>
        <w:t>For each potential impact event identified in clause 4.1.2, provide:</w:t>
      </w:r>
    </w:p>
    <w:p w:rsidR="00E26C8E" w:rsidRPr="00E26C8E" w:rsidRDefault="00E26C8E" w:rsidP="00E26C8E">
      <w:pPr>
        <w:ind w:left="2127" w:hanging="709"/>
        <w:rPr>
          <w:rFonts w:eastAsia="Times New Roman"/>
          <w:b/>
          <w:szCs w:val="20"/>
        </w:rPr>
      </w:pPr>
      <w:r w:rsidRPr="00E26C8E">
        <w:rPr>
          <w:rFonts w:eastAsia="Times New Roman"/>
          <w:b/>
          <w:szCs w:val="20"/>
        </w:rPr>
        <w:t>4.1.2.1</w:t>
      </w:r>
      <w:r w:rsidRPr="00E26C8E">
        <w:rPr>
          <w:rFonts w:eastAsia="Times New Roman"/>
          <w:b/>
          <w:szCs w:val="20"/>
        </w:rPr>
        <w:tab/>
        <w:t>Source</w:t>
      </w:r>
    </w:p>
    <w:p w:rsidR="00E26C8E" w:rsidRPr="00E26C8E" w:rsidRDefault="00E26C8E" w:rsidP="00E26C8E">
      <w:pPr>
        <w:ind w:left="2127"/>
        <w:rPr>
          <w:rFonts w:eastAsia="Times New Roman"/>
          <w:szCs w:val="20"/>
        </w:rPr>
      </w:pPr>
      <w:r w:rsidRPr="00E26C8E">
        <w:rPr>
          <w:rFonts w:eastAsia="Times New Roman"/>
          <w:szCs w:val="20"/>
        </w:rPr>
        <w:t>A description of the source of the potential impact event, which alone or in combination has the potential to cause harm to an environmental receptor.</w:t>
      </w:r>
    </w:p>
    <w:p w:rsidR="00E26C8E" w:rsidRPr="00E26C8E" w:rsidRDefault="00E26C8E" w:rsidP="00E26C8E">
      <w:pPr>
        <w:ind w:left="2127" w:hanging="709"/>
        <w:rPr>
          <w:rFonts w:eastAsia="Times New Roman"/>
          <w:b/>
          <w:szCs w:val="20"/>
        </w:rPr>
      </w:pPr>
      <w:r w:rsidRPr="00E26C8E">
        <w:rPr>
          <w:rFonts w:eastAsia="Times New Roman"/>
          <w:b/>
          <w:szCs w:val="20"/>
        </w:rPr>
        <w:t>4.1.2.2</w:t>
      </w:r>
      <w:r w:rsidRPr="00E26C8E">
        <w:rPr>
          <w:rFonts w:eastAsia="Times New Roman"/>
          <w:b/>
          <w:szCs w:val="20"/>
        </w:rPr>
        <w:tab/>
        <w:t>Pathway</w:t>
      </w:r>
    </w:p>
    <w:p w:rsidR="00E26C8E" w:rsidRPr="00E26C8E" w:rsidRDefault="00E26C8E" w:rsidP="00E26C8E">
      <w:pPr>
        <w:ind w:left="2127"/>
        <w:rPr>
          <w:rFonts w:eastAsia="Times New Roman"/>
          <w:szCs w:val="20"/>
        </w:rPr>
      </w:pPr>
      <w:r w:rsidRPr="00E26C8E">
        <w:rPr>
          <w:rFonts w:eastAsia="Times New Roman"/>
          <w:szCs w:val="20"/>
        </w:rPr>
        <w:t>A description of the potential pathway (with consideration of any natural barriers) by which an identified environmental receptor can be exposed to, or may reasonably be expected to be impacted by an identified source.</w:t>
      </w:r>
    </w:p>
    <w:p w:rsidR="00E26C8E" w:rsidRPr="00E26C8E" w:rsidRDefault="00E26C8E" w:rsidP="00E26C8E">
      <w:pPr>
        <w:ind w:left="2127" w:hanging="709"/>
        <w:rPr>
          <w:rFonts w:eastAsia="Times New Roman"/>
          <w:b/>
          <w:szCs w:val="20"/>
        </w:rPr>
      </w:pPr>
      <w:r w:rsidRPr="00E26C8E">
        <w:rPr>
          <w:rFonts w:eastAsia="Times New Roman"/>
          <w:b/>
          <w:szCs w:val="20"/>
        </w:rPr>
        <w:t>4.1.2.3</w:t>
      </w:r>
      <w:r w:rsidRPr="00E26C8E">
        <w:rPr>
          <w:rFonts w:eastAsia="Times New Roman"/>
          <w:b/>
          <w:szCs w:val="20"/>
        </w:rPr>
        <w:tab/>
        <w:t>Environmental receptor</w:t>
      </w:r>
    </w:p>
    <w:p w:rsidR="00E26C8E" w:rsidRPr="00E26C8E" w:rsidRDefault="00E26C8E" w:rsidP="00E26C8E">
      <w:pPr>
        <w:ind w:left="2127"/>
        <w:rPr>
          <w:rFonts w:eastAsia="Times New Roman"/>
          <w:szCs w:val="20"/>
        </w:rPr>
      </w:pPr>
      <w:r w:rsidRPr="00E26C8E">
        <w:rPr>
          <w:rFonts w:eastAsia="Times New Roman"/>
          <w:szCs w:val="20"/>
        </w:rPr>
        <w:t>A description of the environmental receptors that may reasonably be expected to be adversely impacted by the source, taking into account the considerations for the element of the environment described under clause 4.1.1</w:t>
      </w:r>
    </w:p>
    <w:p w:rsidR="00E26C8E" w:rsidRPr="00E26C8E" w:rsidRDefault="00E26C8E" w:rsidP="00E26C8E">
      <w:pPr>
        <w:ind w:left="2127" w:hanging="709"/>
        <w:rPr>
          <w:rFonts w:eastAsia="Times New Roman"/>
          <w:b/>
          <w:szCs w:val="20"/>
        </w:rPr>
      </w:pPr>
      <w:r w:rsidRPr="00E26C8E">
        <w:rPr>
          <w:rFonts w:eastAsia="Times New Roman"/>
          <w:b/>
          <w:szCs w:val="20"/>
        </w:rPr>
        <w:t>4.1.2.4</w:t>
      </w:r>
      <w:r w:rsidRPr="00E26C8E">
        <w:rPr>
          <w:rFonts w:eastAsia="Times New Roman"/>
          <w:b/>
          <w:szCs w:val="20"/>
        </w:rPr>
        <w:tab/>
        <w:t>Description of uncertainty</w:t>
      </w:r>
    </w:p>
    <w:p w:rsidR="00E26C8E" w:rsidRPr="00E26C8E" w:rsidRDefault="00E26C8E" w:rsidP="00E26C8E">
      <w:pPr>
        <w:ind w:left="2127"/>
        <w:rPr>
          <w:rFonts w:eastAsia="Times New Roman"/>
          <w:szCs w:val="20"/>
        </w:rPr>
      </w:pPr>
      <w:r w:rsidRPr="00E26C8E">
        <w:rPr>
          <w:rFonts w:eastAsia="Times New Roman"/>
          <w:szCs w:val="20"/>
        </w:rPr>
        <w:t>Describe any significant degree of uncertainty pertaining to the evaluation of sources, pathways and environmental receptors, including (but not limited to) lack of site specific information, limitations on modelling and quality of data.</w:t>
      </w:r>
    </w:p>
    <w:p w:rsidR="00E26C8E" w:rsidRPr="00E26C8E" w:rsidRDefault="00E26C8E" w:rsidP="00E26C8E">
      <w:pPr>
        <w:ind w:left="2127"/>
        <w:rPr>
          <w:rFonts w:eastAsia="Times New Roman"/>
          <w:szCs w:val="20"/>
        </w:rPr>
      </w:pPr>
      <w:r w:rsidRPr="00E26C8E">
        <w:rPr>
          <w:rFonts w:eastAsia="Times New Roman"/>
          <w:szCs w:val="20"/>
        </w:rPr>
        <w:t>Describe any assumptions connected with the identified uncertainty.</w:t>
      </w:r>
    </w:p>
    <w:p w:rsidR="00E26C8E" w:rsidRPr="00E26C8E" w:rsidRDefault="00E26C8E" w:rsidP="00E26C8E">
      <w:pPr>
        <w:ind w:left="2127"/>
        <w:rPr>
          <w:rFonts w:eastAsia="Times New Roman"/>
          <w:szCs w:val="20"/>
        </w:rPr>
      </w:pPr>
      <w:r w:rsidRPr="00E26C8E">
        <w:rPr>
          <w:rFonts w:eastAsia="Times New Roman"/>
          <w:szCs w:val="20"/>
        </w:rPr>
        <w:t>So far as is relevant, identify the sensitivity to change of any assumption that has been made, including whether a change in assumption may result in a new environmental impact.</w:t>
      </w:r>
    </w:p>
    <w:p w:rsidR="00E26C8E" w:rsidRPr="00E26C8E" w:rsidRDefault="00E26C8E" w:rsidP="00E26C8E">
      <w:pPr>
        <w:ind w:left="2127" w:hanging="709"/>
        <w:rPr>
          <w:rFonts w:eastAsia="Times New Roman"/>
          <w:b/>
          <w:szCs w:val="20"/>
        </w:rPr>
      </w:pPr>
      <w:r w:rsidRPr="00E26C8E">
        <w:rPr>
          <w:rFonts w:eastAsia="Times New Roman"/>
          <w:b/>
          <w:szCs w:val="20"/>
        </w:rPr>
        <w:t>4.1.2.5</w:t>
      </w:r>
      <w:r w:rsidRPr="00E26C8E">
        <w:rPr>
          <w:rFonts w:eastAsia="Times New Roman"/>
          <w:b/>
          <w:szCs w:val="20"/>
        </w:rPr>
        <w:tab/>
        <w:t>Confirmation of potential impact events</w:t>
      </w:r>
    </w:p>
    <w:p w:rsidR="00E26C8E" w:rsidRPr="00E26C8E" w:rsidRDefault="00E26C8E" w:rsidP="00E26C8E">
      <w:pPr>
        <w:ind w:left="2127"/>
        <w:rPr>
          <w:rFonts w:eastAsia="Times New Roman"/>
          <w:szCs w:val="20"/>
        </w:rPr>
      </w:pPr>
      <w:r w:rsidRPr="00E26C8E">
        <w:rPr>
          <w:rFonts w:eastAsia="Times New Roman"/>
          <w:szCs w:val="20"/>
        </w:rPr>
        <w:t>For each potential impact event provide:</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an analysis of whether a source, pathway and receptor does exist (and if not, or if it remains uncertain, provide an explanation for the conclusion); and</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a description of the likely impact from the source on the environmental receptor.</w:t>
      </w:r>
    </w:p>
    <w:p w:rsidR="00E26C8E" w:rsidRPr="00E26C8E" w:rsidRDefault="00E26C8E" w:rsidP="00E26C8E">
      <w:pPr>
        <w:ind w:left="851" w:hanging="425"/>
        <w:rPr>
          <w:rFonts w:eastAsia="Times New Roman"/>
          <w:b/>
          <w:szCs w:val="20"/>
        </w:rPr>
      </w:pPr>
      <w:r w:rsidRPr="00E26C8E">
        <w:rPr>
          <w:rFonts w:eastAsia="Times New Roman"/>
          <w:b/>
          <w:szCs w:val="20"/>
        </w:rPr>
        <w:t>4.2</w:t>
      </w:r>
      <w:r w:rsidRPr="00E26C8E">
        <w:rPr>
          <w:rFonts w:eastAsia="Times New Roman"/>
          <w:b/>
          <w:szCs w:val="20"/>
        </w:rPr>
        <w:tab/>
        <w:t>Control measures, uncertainty assessment, statement of environmental outcomes and criteria</w:t>
      </w:r>
    </w:p>
    <w:p w:rsidR="00E26C8E" w:rsidRPr="00E26C8E" w:rsidRDefault="00E26C8E" w:rsidP="00E26C8E">
      <w:pPr>
        <w:ind w:left="851"/>
        <w:rPr>
          <w:rFonts w:eastAsia="Times New Roman"/>
          <w:szCs w:val="20"/>
        </w:rPr>
      </w:pPr>
      <w:r w:rsidRPr="00E26C8E">
        <w:rPr>
          <w:rFonts w:eastAsia="Times New Roman"/>
          <w:szCs w:val="20"/>
        </w:rPr>
        <w:t>For each impact event confirmed in clause 4.1.2.5, the information listed in clauses 4.2.1—4.2.3 must be provided:</w:t>
      </w:r>
    </w:p>
    <w:p w:rsidR="00E26C8E" w:rsidRPr="00E26C8E" w:rsidRDefault="00E26C8E" w:rsidP="00E26C8E">
      <w:pPr>
        <w:ind w:left="1418" w:hanging="567"/>
        <w:rPr>
          <w:rFonts w:eastAsia="Times New Roman"/>
          <w:b/>
          <w:szCs w:val="20"/>
        </w:rPr>
      </w:pPr>
      <w:r w:rsidRPr="00E26C8E">
        <w:rPr>
          <w:rFonts w:eastAsia="Times New Roman"/>
          <w:b/>
          <w:szCs w:val="20"/>
        </w:rPr>
        <w:t>4.2.1</w:t>
      </w:r>
      <w:r w:rsidRPr="00E26C8E">
        <w:rPr>
          <w:rFonts w:eastAsia="Times New Roman"/>
          <w:b/>
          <w:szCs w:val="20"/>
        </w:rPr>
        <w:tab/>
        <w:t>Control measures</w:t>
      </w:r>
    </w:p>
    <w:p w:rsidR="00E26C8E" w:rsidRPr="00E26C8E" w:rsidRDefault="00E26C8E" w:rsidP="00E26C8E">
      <w:pPr>
        <w:ind w:left="1418"/>
        <w:rPr>
          <w:rFonts w:eastAsia="Times New Roman"/>
          <w:spacing w:val="-2"/>
          <w:szCs w:val="20"/>
        </w:rPr>
      </w:pPr>
      <w:r w:rsidRPr="00E26C8E">
        <w:rPr>
          <w:rFonts w:eastAsia="Times New Roman"/>
          <w:spacing w:val="-2"/>
          <w:szCs w:val="20"/>
        </w:rPr>
        <w:t xml:space="preserve">In setting out an outline of the measures that the applicant intends to take to manage, limit or remedy environmental impacts as confirmed in clause 4.1.2.5 in accordance with sections 36(1)(c)(ii)(B) and 49(1)(c)(ii)(B) of the </w:t>
      </w:r>
      <w:r w:rsidRPr="00E26C8E">
        <w:rPr>
          <w:rFonts w:eastAsia="Times New Roman"/>
          <w:i/>
          <w:spacing w:val="-2"/>
          <w:szCs w:val="20"/>
        </w:rPr>
        <w:t>Mining Act 1971</w:t>
      </w:r>
      <w:r w:rsidRPr="00E26C8E">
        <w:rPr>
          <w:rFonts w:eastAsia="Times New Roman"/>
          <w:spacing w:val="-2"/>
          <w:szCs w:val="20"/>
        </w:rPr>
        <w:t xml:space="preserve"> and regulation 46(3) of the </w:t>
      </w:r>
      <w:r w:rsidRPr="00E26C8E">
        <w:rPr>
          <w:rFonts w:eastAsia="Times New Roman"/>
          <w:i/>
          <w:spacing w:val="-2"/>
          <w:szCs w:val="20"/>
        </w:rPr>
        <w:t>Mining Regulations 2020</w:t>
      </w:r>
      <w:r w:rsidRPr="00E26C8E">
        <w:rPr>
          <w:rFonts w:eastAsia="Times New Roman"/>
          <w:spacing w:val="-2"/>
          <w:szCs w:val="20"/>
        </w:rPr>
        <w:t xml:space="preserve">, the Minister determines in accordance with regulation 46(7)(e) of the </w:t>
      </w:r>
      <w:r w:rsidRPr="00E26C8E">
        <w:rPr>
          <w:rFonts w:eastAsia="Times New Roman"/>
          <w:i/>
          <w:spacing w:val="-2"/>
          <w:szCs w:val="20"/>
        </w:rPr>
        <w:t>Mining Regulations 2020</w:t>
      </w:r>
      <w:r w:rsidRPr="00E26C8E">
        <w:rPr>
          <w:rFonts w:eastAsia="Times New Roman"/>
          <w:spacing w:val="-2"/>
          <w:szCs w:val="20"/>
        </w:rPr>
        <w:t xml:space="preserve"> that a proposal must:</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Include a description of the measures proposed to manage, limit or remedy each impact event;</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Demonstrate that the measures proposed are commensurate with the potential impacts, achieve compliance with other applicable statutory requirements and promote progressive rehabilitation;</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Include a description of any significant degree of uncertainty pertaining to the likely effectiveness of proposed control measures, including but not limited to lack of site specific information, limitations on modelling and quality of data</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Include a description of any assumptions connected with the identified uncertainty;</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So far as is relevant, identify the sensitivity to change of any assumption that has been made and assess the likelihood of an outcome not being achieved if an assumption is later found to be incorrect.</w:t>
      </w:r>
    </w:p>
    <w:p w:rsidR="00E26C8E" w:rsidRPr="00E26C8E" w:rsidRDefault="00E26C8E" w:rsidP="00E26C8E">
      <w:pPr>
        <w:ind w:left="1418" w:hanging="567"/>
        <w:rPr>
          <w:rFonts w:eastAsia="Times New Roman"/>
          <w:b/>
          <w:szCs w:val="20"/>
        </w:rPr>
      </w:pPr>
      <w:r w:rsidRPr="00E26C8E">
        <w:rPr>
          <w:rFonts w:eastAsia="Times New Roman"/>
          <w:b/>
          <w:szCs w:val="20"/>
        </w:rPr>
        <w:t>4.2.2</w:t>
      </w:r>
      <w:r w:rsidRPr="00E26C8E">
        <w:rPr>
          <w:rFonts w:eastAsia="Times New Roman"/>
          <w:b/>
          <w:szCs w:val="20"/>
        </w:rPr>
        <w:tab/>
        <w:t>Statement of proposed environmental outcomes</w:t>
      </w:r>
    </w:p>
    <w:p w:rsidR="00E26C8E" w:rsidRPr="00E26C8E" w:rsidRDefault="00E26C8E" w:rsidP="00E26C8E">
      <w:pPr>
        <w:ind w:left="1418"/>
        <w:rPr>
          <w:rFonts w:eastAsia="Times New Roman"/>
          <w:szCs w:val="20"/>
        </w:rPr>
      </w:pPr>
      <w:r w:rsidRPr="00E26C8E">
        <w:rPr>
          <w:rFonts w:eastAsia="Times New Roman"/>
          <w:szCs w:val="20"/>
        </w:rPr>
        <w:t xml:space="preserve">Statements of the environmental outcomes that are expected to occur are required in accordance with sections 36(1)(c)(ii)(C) and 49(1)(c)(ii)(C) of the </w:t>
      </w:r>
      <w:r w:rsidRPr="00E26C8E">
        <w:rPr>
          <w:rFonts w:eastAsia="Times New Roman"/>
          <w:i/>
          <w:szCs w:val="20"/>
        </w:rPr>
        <w:t>Mining Act 1971</w:t>
      </w:r>
      <w:r w:rsidRPr="00E26C8E">
        <w:rPr>
          <w:rFonts w:eastAsia="Times New Roman"/>
          <w:szCs w:val="20"/>
        </w:rPr>
        <w:t xml:space="preserve"> and regulation 46(4) of the </w:t>
      </w:r>
      <w:r w:rsidRPr="00E26C8E">
        <w:rPr>
          <w:rFonts w:eastAsia="Times New Roman"/>
          <w:i/>
          <w:szCs w:val="20"/>
        </w:rPr>
        <w:t>Mining Regulations 2020</w:t>
      </w:r>
      <w:r w:rsidRPr="00E26C8E">
        <w:rPr>
          <w:rFonts w:eastAsia="Times New Roman"/>
          <w:szCs w:val="20"/>
        </w:rPr>
        <w:t xml:space="preserve"> and must be made for each impact event confirmed in clause 4.1.2.5. The Minister determines in accordance with regulation 46(7)(e) of the </w:t>
      </w:r>
      <w:r w:rsidRPr="00E26C8E">
        <w:rPr>
          <w:rFonts w:eastAsia="Times New Roman"/>
          <w:i/>
          <w:szCs w:val="20"/>
        </w:rPr>
        <w:t>Mining Regulations 2020</w:t>
      </w:r>
      <w:r w:rsidRPr="00E26C8E">
        <w:rPr>
          <w:rFonts w:eastAsia="Times New Roman"/>
          <w:szCs w:val="20"/>
        </w:rPr>
        <w:t xml:space="preserve"> that a proposal must:</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Provide a statement of the proposed environmental outcome(s) (including completion outcomes assessed on a long term basis) for each impact event confirmed in clause 4.1.2.5;</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Ensure that the statement of environmental outcome(s) describe the likely consequence of the expected impact on the environment by the proposed quarry operations subsequent to the implementation of the control measures described in clause 6.2.1;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Provide a statement that demonstrates the environmental outcomes would be able to be achieved taking into consideration the effectiveness of the control measures (clause 4.2.1) and description of uncertainty (clause 4.2.1).</w:t>
      </w:r>
    </w:p>
    <w:p w:rsidR="00E26C8E" w:rsidRPr="00E26C8E" w:rsidRDefault="00E26C8E" w:rsidP="00E26C8E">
      <w:pPr>
        <w:ind w:left="1418" w:hanging="567"/>
        <w:rPr>
          <w:rFonts w:eastAsia="Times New Roman"/>
          <w:b/>
          <w:szCs w:val="20"/>
        </w:rPr>
      </w:pPr>
      <w:r w:rsidRPr="00E26C8E">
        <w:rPr>
          <w:rFonts w:eastAsia="Times New Roman"/>
          <w:b/>
          <w:szCs w:val="20"/>
        </w:rPr>
        <w:t>4.2.3</w:t>
      </w:r>
      <w:r w:rsidRPr="00E26C8E">
        <w:rPr>
          <w:rFonts w:eastAsia="Times New Roman"/>
          <w:b/>
          <w:szCs w:val="20"/>
        </w:rPr>
        <w:tab/>
        <w:t>Draft measurement criteria</w:t>
      </w:r>
    </w:p>
    <w:p w:rsidR="00E26C8E" w:rsidRPr="00E26C8E" w:rsidRDefault="00E26C8E" w:rsidP="00E26C8E">
      <w:pPr>
        <w:ind w:left="1418"/>
        <w:rPr>
          <w:rFonts w:eastAsia="Times New Roman"/>
          <w:szCs w:val="20"/>
        </w:rPr>
      </w:pPr>
      <w:r w:rsidRPr="00E26C8E">
        <w:rPr>
          <w:rFonts w:eastAsia="Times New Roman"/>
          <w:szCs w:val="20"/>
        </w:rPr>
        <w:t xml:space="preserve">In preparing a draft statement of the criteria to be adopted to measure each of the proposed environmental outcomes in accordance with sections 36(1)(c)(iii) and 49(1)(c)(iii) of the </w:t>
      </w:r>
      <w:r w:rsidRPr="00E26C8E">
        <w:rPr>
          <w:rFonts w:eastAsia="Times New Roman"/>
          <w:i/>
          <w:szCs w:val="20"/>
        </w:rPr>
        <w:t>Mining Act 1971</w:t>
      </w:r>
      <w:r w:rsidRPr="00E26C8E">
        <w:rPr>
          <w:rFonts w:eastAsia="Times New Roman"/>
          <w:szCs w:val="20"/>
        </w:rPr>
        <w:t xml:space="preserve"> and regulation 46(5) of the </w:t>
      </w:r>
      <w:r w:rsidRPr="00E26C8E">
        <w:rPr>
          <w:rFonts w:eastAsia="Times New Roman"/>
          <w:i/>
          <w:szCs w:val="20"/>
        </w:rPr>
        <w:t>Mining Regulations 2020</w:t>
      </w:r>
      <w:r w:rsidRPr="00E26C8E">
        <w:rPr>
          <w:rFonts w:eastAsia="Times New Roman"/>
          <w:szCs w:val="20"/>
        </w:rPr>
        <w:t xml:space="preserve">, the Minister determines in accordance with regulation 46(7)(e) of the </w:t>
      </w:r>
      <w:r w:rsidRPr="00E26C8E">
        <w:rPr>
          <w:rFonts w:eastAsia="Times New Roman"/>
          <w:i/>
          <w:szCs w:val="20"/>
        </w:rPr>
        <w:t>Mining Regulations 2020</w:t>
      </w:r>
      <w:r w:rsidRPr="00E26C8E">
        <w:rPr>
          <w:rFonts w:eastAsia="Times New Roman"/>
          <w:szCs w:val="20"/>
        </w:rPr>
        <w:t xml:space="preserve"> that the draft criteria must:</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 xml:space="preserve">As far as practical comply with the five elements set out in regulation 46(5) of the </w:t>
      </w:r>
      <w:r w:rsidRPr="00E26C8E">
        <w:rPr>
          <w:rFonts w:eastAsia="Times New Roman"/>
          <w:i/>
          <w:szCs w:val="20"/>
        </w:rPr>
        <w:t>Mining Regulations 2020</w:t>
      </w:r>
      <w:r w:rsidRPr="00E26C8E">
        <w:rPr>
          <w:rFonts w:eastAsia="Times New Roman"/>
          <w:szCs w:val="20"/>
        </w:rPr>
        <w:t>;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Include demonstration of the successful implementation of the significant environmental benefit, if native vegetation is proposed to be cleared and an on-ground off-set proposed.</w:t>
      </w:r>
    </w:p>
    <w:p w:rsidR="00E26C8E" w:rsidRPr="00E26C8E" w:rsidRDefault="00E26C8E" w:rsidP="00E26C8E">
      <w:pPr>
        <w:ind w:left="426" w:hanging="284"/>
        <w:rPr>
          <w:rFonts w:eastAsia="Times New Roman"/>
          <w:b/>
          <w:szCs w:val="20"/>
        </w:rPr>
      </w:pPr>
      <w:r w:rsidRPr="00E26C8E">
        <w:rPr>
          <w:rFonts w:eastAsia="Times New Roman"/>
          <w:b/>
          <w:szCs w:val="20"/>
        </w:rPr>
        <w:t>5</w:t>
      </w:r>
      <w:r w:rsidRPr="00E26C8E">
        <w:rPr>
          <w:rFonts w:eastAsia="Times New Roman"/>
          <w:b/>
          <w:szCs w:val="20"/>
        </w:rPr>
        <w:tab/>
        <w:t>MAPS AND CROSS-SECTIONS</w:t>
      </w:r>
    </w:p>
    <w:p w:rsidR="00E26C8E" w:rsidRPr="00E26C8E" w:rsidRDefault="00E26C8E" w:rsidP="00E26C8E">
      <w:pPr>
        <w:ind w:left="426"/>
        <w:rPr>
          <w:rFonts w:eastAsia="Times New Roman"/>
          <w:szCs w:val="20"/>
        </w:rPr>
      </w:pPr>
      <w:r w:rsidRPr="00E26C8E">
        <w:rPr>
          <w:rFonts w:eastAsia="Times New Roman"/>
          <w:szCs w:val="20"/>
        </w:rPr>
        <w:t xml:space="preserve">In preparing a proposal in accordance with sections 36(1)(c) and 49(1)(c) of the </w:t>
      </w:r>
      <w:r w:rsidRPr="00E26C8E">
        <w:rPr>
          <w:rFonts w:eastAsia="Times New Roman"/>
          <w:i/>
          <w:szCs w:val="20"/>
        </w:rPr>
        <w:t>Mining Act 1971</w:t>
      </w:r>
      <w:r w:rsidRPr="00E26C8E">
        <w:rPr>
          <w:rFonts w:eastAsia="Times New Roman"/>
          <w:szCs w:val="20"/>
        </w:rPr>
        <w:t xml:space="preserve"> and regulation 46 of the </w:t>
      </w:r>
      <w:r w:rsidRPr="00E26C8E">
        <w:rPr>
          <w:rFonts w:eastAsia="Times New Roman"/>
          <w:i/>
          <w:szCs w:val="20"/>
        </w:rPr>
        <w:t>Mining Regulations 2020</w:t>
      </w:r>
      <w:r w:rsidRPr="00E26C8E">
        <w:rPr>
          <w:rFonts w:eastAsia="Times New Roman"/>
          <w:szCs w:val="20"/>
        </w:rPr>
        <w:t xml:space="preserve">, the Minister determines in accordance with regulation 46(7)(e) of the </w:t>
      </w:r>
      <w:r w:rsidRPr="00E26C8E">
        <w:rPr>
          <w:rFonts w:eastAsia="Times New Roman"/>
          <w:i/>
          <w:szCs w:val="20"/>
        </w:rPr>
        <w:t>Mining Regulations 2020</w:t>
      </w:r>
      <w:r w:rsidRPr="00E26C8E">
        <w:rPr>
          <w:rFonts w:eastAsia="Times New Roman"/>
          <w:szCs w:val="20"/>
        </w:rPr>
        <w:t xml:space="preserve"> that all maps and plans must comply with the following requirements relating to the amount of detail or information to be provided:</w:t>
      </w:r>
    </w:p>
    <w:p w:rsidR="00E26C8E" w:rsidRPr="00E26C8E" w:rsidRDefault="00E26C8E" w:rsidP="00E26C8E">
      <w:pPr>
        <w:ind w:left="709" w:hanging="283"/>
        <w:rPr>
          <w:rFonts w:eastAsia="Times New Roman"/>
          <w:szCs w:val="20"/>
        </w:rPr>
      </w:pPr>
      <w:r w:rsidRPr="00E26C8E">
        <w:rPr>
          <w:rFonts w:eastAsia="Times New Roman"/>
          <w:szCs w:val="20"/>
        </w:rPr>
        <w:t>•</w:t>
      </w:r>
      <w:r w:rsidRPr="00E26C8E">
        <w:rPr>
          <w:rFonts w:eastAsia="Times New Roman"/>
          <w:szCs w:val="20"/>
        </w:rPr>
        <w:tab/>
        <w:t>state and show the relevant datum (Australian Height Datum (AHD) is preferred);</w:t>
      </w:r>
    </w:p>
    <w:p w:rsidR="00E26C8E" w:rsidRPr="00E26C8E" w:rsidRDefault="00E26C8E" w:rsidP="00E26C8E">
      <w:pPr>
        <w:ind w:left="709" w:hanging="283"/>
        <w:rPr>
          <w:rFonts w:eastAsia="Times New Roman"/>
          <w:szCs w:val="20"/>
        </w:rPr>
      </w:pPr>
      <w:r w:rsidRPr="00E26C8E">
        <w:rPr>
          <w:rFonts w:eastAsia="Times New Roman"/>
          <w:szCs w:val="20"/>
        </w:rPr>
        <w:t>•</w:t>
      </w:r>
      <w:r w:rsidRPr="00E26C8E">
        <w:rPr>
          <w:rFonts w:eastAsia="Times New Roman"/>
          <w:szCs w:val="20"/>
        </w:rPr>
        <w:tab/>
        <w:t>metric units;</w:t>
      </w:r>
    </w:p>
    <w:p w:rsidR="00E26C8E" w:rsidRPr="00E26C8E" w:rsidRDefault="00E26C8E" w:rsidP="00E26C8E">
      <w:pPr>
        <w:ind w:left="709" w:hanging="283"/>
        <w:rPr>
          <w:rFonts w:eastAsia="Times New Roman"/>
          <w:szCs w:val="20"/>
        </w:rPr>
      </w:pPr>
      <w:r w:rsidRPr="00E26C8E">
        <w:rPr>
          <w:rFonts w:eastAsia="Times New Roman"/>
          <w:szCs w:val="20"/>
        </w:rPr>
        <w:t>•</w:t>
      </w:r>
      <w:r w:rsidRPr="00E26C8E">
        <w:rPr>
          <w:rFonts w:eastAsia="Times New Roman"/>
          <w:szCs w:val="20"/>
        </w:rPr>
        <w:tab/>
        <w:t>title, north arrow, scale bar, text and legend;</w:t>
      </w:r>
    </w:p>
    <w:p w:rsidR="00E26C8E" w:rsidRPr="00E26C8E" w:rsidRDefault="00E26C8E" w:rsidP="00E26C8E">
      <w:pPr>
        <w:ind w:left="709" w:hanging="283"/>
        <w:rPr>
          <w:rFonts w:eastAsia="Times New Roman"/>
          <w:szCs w:val="20"/>
        </w:rPr>
      </w:pPr>
      <w:r w:rsidRPr="00E26C8E">
        <w:rPr>
          <w:rFonts w:eastAsia="Times New Roman"/>
          <w:szCs w:val="20"/>
        </w:rPr>
        <w:t>•</w:t>
      </w:r>
      <w:r w:rsidRPr="00E26C8E">
        <w:rPr>
          <w:rFonts w:eastAsia="Times New Roman"/>
          <w:szCs w:val="20"/>
        </w:rPr>
        <w:tab/>
        <w:t>date prepared and author;</w:t>
      </w:r>
    </w:p>
    <w:p w:rsidR="00E26C8E" w:rsidRPr="00E26C8E" w:rsidRDefault="00E26C8E" w:rsidP="00E26C8E">
      <w:pPr>
        <w:ind w:left="709" w:hanging="283"/>
        <w:rPr>
          <w:rFonts w:eastAsia="Times New Roman"/>
          <w:szCs w:val="20"/>
        </w:rPr>
      </w:pPr>
      <w:r w:rsidRPr="00E26C8E">
        <w:rPr>
          <w:rFonts w:eastAsia="Times New Roman"/>
          <w:szCs w:val="20"/>
        </w:rPr>
        <w:t>•</w:t>
      </w:r>
      <w:r w:rsidRPr="00E26C8E">
        <w:rPr>
          <w:rFonts w:eastAsia="Times New Roman"/>
          <w:szCs w:val="20"/>
        </w:rPr>
        <w:tab/>
        <w:t>be of appropriate resolution and scale for represented information; and</w:t>
      </w:r>
    </w:p>
    <w:p w:rsidR="00E26C8E" w:rsidRPr="00E26C8E" w:rsidRDefault="00E26C8E" w:rsidP="00E26C8E">
      <w:pPr>
        <w:ind w:left="709" w:hanging="283"/>
        <w:rPr>
          <w:rFonts w:eastAsia="Times New Roman"/>
          <w:szCs w:val="20"/>
        </w:rPr>
      </w:pPr>
      <w:r w:rsidRPr="00E26C8E">
        <w:rPr>
          <w:rFonts w:eastAsia="Times New Roman"/>
          <w:szCs w:val="20"/>
        </w:rPr>
        <w:t>•</w:t>
      </w:r>
      <w:r w:rsidRPr="00E26C8E">
        <w:rPr>
          <w:rFonts w:eastAsia="Times New Roman"/>
          <w:szCs w:val="20"/>
        </w:rPr>
        <w:tab/>
        <w:t>be legible in both the hardcopy and electronic versions of the submission.</w:t>
      </w:r>
    </w:p>
    <w:p w:rsidR="00E26C8E" w:rsidRPr="00E26C8E" w:rsidRDefault="00E26C8E" w:rsidP="00E26C8E">
      <w:pPr>
        <w:ind w:left="426"/>
        <w:rPr>
          <w:rFonts w:eastAsia="Times New Roman"/>
          <w:szCs w:val="20"/>
        </w:rPr>
      </w:pPr>
      <w:r w:rsidRPr="00E26C8E">
        <w:rPr>
          <w:rFonts w:eastAsia="Times New Roman"/>
          <w:szCs w:val="20"/>
        </w:rPr>
        <w:t>All cross-sections must conform to the following standards:</w:t>
      </w:r>
    </w:p>
    <w:p w:rsidR="00E26C8E" w:rsidRPr="00E26C8E" w:rsidRDefault="00E26C8E" w:rsidP="00E26C8E">
      <w:pPr>
        <w:ind w:left="709" w:hanging="283"/>
        <w:rPr>
          <w:rFonts w:eastAsia="Times New Roman"/>
          <w:szCs w:val="20"/>
        </w:rPr>
      </w:pPr>
      <w:r w:rsidRPr="00E26C8E">
        <w:rPr>
          <w:rFonts w:eastAsia="Times New Roman"/>
          <w:szCs w:val="20"/>
        </w:rPr>
        <w:t>•</w:t>
      </w:r>
      <w:r w:rsidRPr="00E26C8E">
        <w:rPr>
          <w:rFonts w:eastAsia="Times New Roman"/>
          <w:szCs w:val="20"/>
        </w:rPr>
        <w:tab/>
        <w:t>state and show the relevant datum (Australian Height Datum (AHD) is preferred);</w:t>
      </w:r>
    </w:p>
    <w:p w:rsidR="00E26C8E" w:rsidRPr="00E26C8E" w:rsidRDefault="00E26C8E" w:rsidP="00E26C8E">
      <w:pPr>
        <w:ind w:left="709" w:hanging="283"/>
        <w:rPr>
          <w:rFonts w:eastAsia="Times New Roman"/>
          <w:szCs w:val="20"/>
        </w:rPr>
      </w:pPr>
      <w:r w:rsidRPr="00E26C8E">
        <w:rPr>
          <w:rFonts w:eastAsia="Times New Roman"/>
          <w:szCs w:val="20"/>
        </w:rPr>
        <w:t>•</w:t>
      </w:r>
      <w:r w:rsidRPr="00E26C8E">
        <w:rPr>
          <w:rFonts w:eastAsia="Times New Roman"/>
          <w:szCs w:val="20"/>
        </w:rPr>
        <w:tab/>
        <w:t>metric units;</w:t>
      </w:r>
    </w:p>
    <w:p w:rsidR="00E26C8E" w:rsidRPr="00E26C8E" w:rsidRDefault="00E26C8E" w:rsidP="00E26C8E">
      <w:pPr>
        <w:ind w:left="709" w:hanging="283"/>
        <w:rPr>
          <w:rFonts w:eastAsia="Times New Roman"/>
          <w:szCs w:val="20"/>
        </w:rPr>
      </w:pPr>
      <w:r w:rsidRPr="00E26C8E">
        <w:rPr>
          <w:rFonts w:eastAsia="Times New Roman"/>
          <w:szCs w:val="20"/>
        </w:rPr>
        <w:t>•</w:t>
      </w:r>
      <w:r w:rsidRPr="00E26C8E">
        <w:rPr>
          <w:rFonts w:eastAsia="Times New Roman"/>
          <w:szCs w:val="20"/>
        </w:rPr>
        <w:tab/>
        <w:t>title, scale bar, text and legend;</w:t>
      </w:r>
    </w:p>
    <w:p w:rsidR="00E26C8E" w:rsidRPr="00E26C8E" w:rsidRDefault="00E26C8E" w:rsidP="00E26C8E">
      <w:pPr>
        <w:ind w:left="709" w:hanging="283"/>
        <w:rPr>
          <w:rFonts w:eastAsia="Times New Roman"/>
          <w:szCs w:val="20"/>
        </w:rPr>
      </w:pPr>
      <w:r w:rsidRPr="00E26C8E">
        <w:rPr>
          <w:rFonts w:eastAsia="Times New Roman"/>
          <w:szCs w:val="20"/>
        </w:rPr>
        <w:t>•</w:t>
      </w:r>
      <w:r w:rsidRPr="00E26C8E">
        <w:rPr>
          <w:rFonts w:eastAsia="Times New Roman"/>
          <w:szCs w:val="20"/>
        </w:rPr>
        <w:tab/>
        <w:t>date prepared and author;</w:t>
      </w:r>
    </w:p>
    <w:p w:rsidR="00E26C8E" w:rsidRPr="00E26C8E" w:rsidRDefault="00E26C8E" w:rsidP="00E26C8E">
      <w:pPr>
        <w:ind w:left="709" w:hanging="283"/>
        <w:rPr>
          <w:rFonts w:eastAsia="Times New Roman"/>
          <w:szCs w:val="20"/>
        </w:rPr>
      </w:pPr>
      <w:r w:rsidRPr="00E26C8E">
        <w:rPr>
          <w:rFonts w:eastAsia="Times New Roman"/>
          <w:szCs w:val="20"/>
        </w:rPr>
        <w:t>•</w:t>
      </w:r>
      <w:r w:rsidRPr="00E26C8E">
        <w:rPr>
          <w:rFonts w:eastAsia="Times New Roman"/>
          <w:szCs w:val="20"/>
        </w:rPr>
        <w:tab/>
        <w:t>be of appropriate resolution and scale for represented information; and</w:t>
      </w:r>
    </w:p>
    <w:p w:rsidR="00E26C8E" w:rsidRPr="00E26C8E" w:rsidRDefault="00E26C8E" w:rsidP="00E26C8E">
      <w:pPr>
        <w:ind w:left="709" w:hanging="283"/>
        <w:rPr>
          <w:rFonts w:eastAsia="Times New Roman"/>
          <w:szCs w:val="20"/>
        </w:rPr>
      </w:pPr>
      <w:r w:rsidRPr="00E26C8E">
        <w:rPr>
          <w:rFonts w:eastAsia="Times New Roman"/>
          <w:szCs w:val="20"/>
        </w:rPr>
        <w:t>•</w:t>
      </w:r>
      <w:r w:rsidRPr="00E26C8E">
        <w:rPr>
          <w:rFonts w:eastAsia="Times New Roman"/>
          <w:szCs w:val="20"/>
        </w:rPr>
        <w:tab/>
        <w:t>be legible in both the hardcopy and electronic versions of the submission.</w:t>
      </w:r>
    </w:p>
    <w:p w:rsidR="00E26C8E" w:rsidRPr="00E26C8E" w:rsidRDefault="00E26C8E" w:rsidP="00E26C8E">
      <w:pPr>
        <w:ind w:left="851" w:hanging="425"/>
        <w:rPr>
          <w:rFonts w:eastAsia="Times New Roman"/>
          <w:b/>
          <w:szCs w:val="20"/>
        </w:rPr>
      </w:pPr>
      <w:r w:rsidRPr="00E26C8E">
        <w:rPr>
          <w:rFonts w:eastAsia="Times New Roman"/>
          <w:b/>
          <w:szCs w:val="20"/>
        </w:rPr>
        <w:t>5.1</w:t>
      </w:r>
      <w:r w:rsidRPr="00E26C8E">
        <w:rPr>
          <w:rFonts w:eastAsia="Times New Roman"/>
          <w:b/>
          <w:szCs w:val="20"/>
        </w:rPr>
        <w:tab/>
        <w:t>List of Maps</w:t>
      </w:r>
    </w:p>
    <w:p w:rsidR="00E26C8E" w:rsidRPr="00E26C8E" w:rsidRDefault="00E26C8E" w:rsidP="00E26C8E">
      <w:pPr>
        <w:ind w:left="1418" w:hanging="567"/>
        <w:rPr>
          <w:rFonts w:eastAsia="Times New Roman"/>
          <w:b/>
          <w:szCs w:val="20"/>
        </w:rPr>
      </w:pPr>
      <w:r w:rsidRPr="00E26C8E">
        <w:rPr>
          <w:rFonts w:eastAsia="Times New Roman"/>
          <w:b/>
          <w:szCs w:val="20"/>
        </w:rPr>
        <w:t>5.1.1</w:t>
      </w:r>
      <w:r w:rsidRPr="00E26C8E">
        <w:rPr>
          <w:rFonts w:eastAsia="Times New Roman"/>
          <w:b/>
          <w:szCs w:val="20"/>
        </w:rPr>
        <w:tab/>
        <w:t>Maps required for Description of the Existing Environment (as per clause 2)</w:t>
      </w:r>
    </w:p>
    <w:p w:rsidR="00E26C8E" w:rsidRPr="00E26C8E" w:rsidRDefault="00E26C8E" w:rsidP="00E26C8E">
      <w:pPr>
        <w:ind w:left="2127" w:hanging="709"/>
        <w:rPr>
          <w:rFonts w:eastAsia="Times New Roman"/>
          <w:i/>
          <w:szCs w:val="20"/>
        </w:rPr>
      </w:pPr>
      <w:r w:rsidRPr="00E26C8E">
        <w:rPr>
          <w:rFonts w:eastAsia="Times New Roman"/>
          <w:i/>
          <w:szCs w:val="20"/>
        </w:rPr>
        <w:t>5.1.1.1</w:t>
      </w:r>
      <w:r w:rsidRPr="00E26C8E">
        <w:rPr>
          <w:rFonts w:eastAsia="Times New Roman"/>
          <w:i/>
          <w:szCs w:val="20"/>
        </w:rPr>
        <w:tab/>
        <w:t>Topographic Map showing:</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mineral claim boundaries;</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existing surface contours; existing vegetation;</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location of watercourses, including ephemeral and permanent rivers, creeks, swamps, streams, wetlands and any man-made water management structures;</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surface water catchment boundaries;</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direction of drainage and discharge from the application area;</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location and extent of all previously disturbed areas associated with previous mining; and</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location and extent of any adjacent conservation reserves, heritage sites or any other significant areas.</w:t>
      </w:r>
    </w:p>
    <w:p w:rsidR="00E26C8E" w:rsidRPr="00E26C8E" w:rsidRDefault="00E26C8E" w:rsidP="00E26C8E">
      <w:pPr>
        <w:ind w:left="2127" w:hanging="709"/>
        <w:rPr>
          <w:rFonts w:eastAsia="Times New Roman"/>
          <w:i/>
          <w:szCs w:val="20"/>
        </w:rPr>
      </w:pPr>
      <w:r w:rsidRPr="00E26C8E">
        <w:rPr>
          <w:rFonts w:eastAsia="Times New Roman"/>
          <w:i/>
          <w:szCs w:val="20"/>
        </w:rPr>
        <w:t>5.1.1.2</w:t>
      </w:r>
      <w:r w:rsidRPr="00E26C8E">
        <w:rPr>
          <w:rFonts w:eastAsia="Times New Roman"/>
          <w:i/>
          <w:szCs w:val="20"/>
        </w:rPr>
        <w:tab/>
        <w:t>Local Geological Map showing:</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mineral claim boundaries;</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location and dimensions of the deposit; and</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topsoil/subsoil variation if there is a variation in soils over the application area.</w:t>
      </w:r>
    </w:p>
    <w:p w:rsidR="00E26C8E" w:rsidRPr="00E26C8E" w:rsidRDefault="00E26C8E" w:rsidP="00E26C8E">
      <w:pPr>
        <w:ind w:left="2127" w:hanging="709"/>
        <w:rPr>
          <w:rFonts w:eastAsia="Times New Roman"/>
          <w:i/>
          <w:szCs w:val="20"/>
        </w:rPr>
      </w:pPr>
      <w:r w:rsidRPr="00E26C8E">
        <w:rPr>
          <w:rFonts w:eastAsia="Times New Roman"/>
          <w:i/>
          <w:szCs w:val="20"/>
        </w:rPr>
        <w:t>5.1.1.3</w:t>
      </w:r>
      <w:r w:rsidRPr="00E26C8E">
        <w:rPr>
          <w:rFonts w:eastAsia="Times New Roman"/>
          <w:i/>
          <w:szCs w:val="20"/>
        </w:rPr>
        <w:tab/>
        <w:t>Groundwater Map showing:</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groundwater wells in the surrounding area highlighting those used to determine the groundwater level.</w:t>
      </w:r>
    </w:p>
    <w:p w:rsidR="00E26C8E" w:rsidRPr="00E26C8E" w:rsidRDefault="00E26C8E" w:rsidP="00E26C8E">
      <w:pPr>
        <w:spacing w:after="0" w:line="240" w:lineRule="auto"/>
        <w:jc w:val="left"/>
        <w:rPr>
          <w:rFonts w:eastAsia="Times New Roman"/>
          <w:i/>
          <w:szCs w:val="20"/>
        </w:rPr>
      </w:pPr>
      <w:r w:rsidRPr="00E26C8E">
        <w:rPr>
          <w:rFonts w:eastAsia="Times New Roman"/>
          <w:i/>
          <w:szCs w:val="20"/>
        </w:rPr>
        <w:br w:type="page"/>
      </w:r>
    </w:p>
    <w:p w:rsidR="00E26C8E" w:rsidRPr="00E26C8E" w:rsidRDefault="00E26C8E" w:rsidP="00E26C8E">
      <w:pPr>
        <w:ind w:left="2127" w:hanging="709"/>
        <w:rPr>
          <w:rFonts w:eastAsia="Times New Roman"/>
          <w:i/>
          <w:szCs w:val="20"/>
        </w:rPr>
      </w:pPr>
      <w:r w:rsidRPr="00E26C8E">
        <w:rPr>
          <w:rFonts w:eastAsia="Times New Roman"/>
          <w:i/>
          <w:szCs w:val="20"/>
        </w:rPr>
        <w:t>5.1.1.4</w:t>
      </w:r>
      <w:r w:rsidRPr="00E26C8E">
        <w:rPr>
          <w:rFonts w:eastAsia="Times New Roman"/>
          <w:i/>
          <w:szCs w:val="20"/>
        </w:rPr>
        <w:tab/>
        <w:t>Land Access Map showing:</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mineral claim boundaries;</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proposed tenement boundary if an area smaller than the mineral claim is proposed</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any exempt land;</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location of residences within and near the application area; and</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human infrastructure as per clause 1.12.</w:t>
      </w:r>
    </w:p>
    <w:p w:rsidR="00E26C8E" w:rsidRPr="00E26C8E" w:rsidRDefault="00E26C8E" w:rsidP="00E26C8E">
      <w:pPr>
        <w:ind w:left="2835" w:hanging="709"/>
        <w:rPr>
          <w:rFonts w:eastAsia="Times New Roman"/>
          <w:szCs w:val="20"/>
        </w:rPr>
      </w:pPr>
      <w:r w:rsidRPr="00E26C8E">
        <w:rPr>
          <w:rFonts w:eastAsia="Times New Roman"/>
          <w:szCs w:val="20"/>
        </w:rPr>
        <w:t>If relevant:</w:t>
      </w:r>
    </w:p>
    <w:p w:rsidR="00E26C8E" w:rsidRPr="00E26C8E" w:rsidRDefault="00E26C8E" w:rsidP="00E26C8E">
      <w:pPr>
        <w:ind w:left="2127" w:hanging="709"/>
        <w:rPr>
          <w:rFonts w:eastAsia="Times New Roman"/>
          <w:i/>
          <w:szCs w:val="20"/>
        </w:rPr>
      </w:pPr>
      <w:r w:rsidRPr="00E26C8E">
        <w:rPr>
          <w:rFonts w:eastAsia="Times New Roman"/>
          <w:i/>
          <w:szCs w:val="20"/>
        </w:rPr>
        <w:t>5.1.1.5</w:t>
      </w:r>
      <w:r w:rsidRPr="00E26C8E">
        <w:rPr>
          <w:rFonts w:eastAsia="Times New Roman"/>
          <w:i/>
          <w:szCs w:val="20"/>
        </w:rPr>
        <w:tab/>
        <w:t>Caves Map showing:</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mineral claim boundaries;</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potential cave hosting geology; and</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location of the cave(s).</w:t>
      </w:r>
    </w:p>
    <w:p w:rsidR="00E26C8E" w:rsidRPr="00E26C8E" w:rsidRDefault="00E26C8E" w:rsidP="00E26C8E">
      <w:pPr>
        <w:ind w:left="1418" w:hanging="567"/>
        <w:rPr>
          <w:rFonts w:eastAsia="Times New Roman"/>
          <w:b/>
          <w:szCs w:val="20"/>
        </w:rPr>
      </w:pPr>
      <w:r w:rsidRPr="00E26C8E">
        <w:rPr>
          <w:rFonts w:eastAsia="Times New Roman"/>
          <w:b/>
          <w:szCs w:val="20"/>
        </w:rPr>
        <w:t>5.1.2</w:t>
      </w:r>
      <w:r w:rsidRPr="00E26C8E">
        <w:rPr>
          <w:rFonts w:eastAsia="Times New Roman"/>
          <w:b/>
          <w:szCs w:val="20"/>
        </w:rPr>
        <w:tab/>
        <w:t>Maps required for Description of the Proposed Quarrying Operations (as per clause 3)</w:t>
      </w:r>
    </w:p>
    <w:p w:rsidR="00E26C8E" w:rsidRPr="00E26C8E" w:rsidRDefault="00E26C8E" w:rsidP="00E26C8E">
      <w:pPr>
        <w:ind w:left="2127" w:hanging="709"/>
        <w:rPr>
          <w:rFonts w:eastAsia="Times New Roman"/>
          <w:i/>
          <w:szCs w:val="20"/>
        </w:rPr>
      </w:pPr>
      <w:r w:rsidRPr="00E26C8E">
        <w:rPr>
          <w:rFonts w:eastAsia="Times New Roman"/>
          <w:i/>
          <w:szCs w:val="20"/>
        </w:rPr>
        <w:t>5.1.2.1</w:t>
      </w:r>
      <w:r w:rsidRPr="00E26C8E">
        <w:rPr>
          <w:rFonts w:eastAsia="Times New Roman"/>
          <w:i/>
          <w:szCs w:val="20"/>
        </w:rPr>
        <w:tab/>
        <w:t>Proposed Site Layout Map showing all components of the proposed quarry operation including, but not limited to:</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tenement boundaries;</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location of sediment management infrastructure;</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if relevant location of process water dams;</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location of haul roads;</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if relevant location of fixed plant;</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location of mobile plant for stage 1 of quarrying;</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Location of overburden; and</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location and extent of topsoil/subsoil and product stockpiles.</w:t>
      </w:r>
    </w:p>
    <w:p w:rsidR="00E26C8E" w:rsidRPr="00E26C8E" w:rsidRDefault="00E26C8E" w:rsidP="00E26C8E">
      <w:pPr>
        <w:ind w:left="2127" w:hanging="709"/>
        <w:rPr>
          <w:rFonts w:eastAsia="Times New Roman"/>
          <w:i/>
          <w:szCs w:val="20"/>
        </w:rPr>
      </w:pPr>
      <w:r w:rsidRPr="00E26C8E">
        <w:rPr>
          <w:rFonts w:eastAsia="Times New Roman"/>
          <w:i/>
          <w:szCs w:val="20"/>
        </w:rPr>
        <w:t>5.1.2.2</w:t>
      </w:r>
      <w:r w:rsidRPr="00E26C8E">
        <w:rPr>
          <w:rFonts w:eastAsia="Times New Roman"/>
          <w:i/>
          <w:szCs w:val="20"/>
        </w:rPr>
        <w:tab/>
        <w:t>Sequence of Quarrying and Progressive Rehabilitation Map showing:</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proposed tenement boundaries;</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conceptual staging of each progressive quarrying stage;</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proposed native vegetation clearance; and</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conceptual staging of each progressive rehabilitation stage.</w:t>
      </w:r>
    </w:p>
    <w:p w:rsidR="00E26C8E" w:rsidRPr="00E26C8E" w:rsidRDefault="00E26C8E" w:rsidP="00E26C8E">
      <w:pPr>
        <w:ind w:left="2127" w:hanging="709"/>
        <w:rPr>
          <w:rFonts w:eastAsia="Times New Roman"/>
          <w:i/>
          <w:szCs w:val="20"/>
        </w:rPr>
      </w:pPr>
      <w:r w:rsidRPr="00E26C8E">
        <w:rPr>
          <w:rFonts w:eastAsia="Times New Roman"/>
          <w:i/>
          <w:szCs w:val="20"/>
        </w:rPr>
        <w:t>5.1.2.3</w:t>
      </w:r>
      <w:r w:rsidRPr="00E26C8E">
        <w:rPr>
          <w:rFonts w:eastAsia="Times New Roman"/>
          <w:i/>
          <w:szCs w:val="20"/>
        </w:rPr>
        <w:tab/>
        <w:t>Access Route Map showing:</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proposed access route for heavy vehicles;</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proposed exit route for heavy vehicles; and</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any road upgrades or new roads to be constructed if relevant.</w:t>
      </w:r>
    </w:p>
    <w:p w:rsidR="00E26C8E" w:rsidRPr="00E26C8E" w:rsidRDefault="00E26C8E" w:rsidP="00E26C8E">
      <w:pPr>
        <w:ind w:left="2127" w:hanging="709"/>
        <w:rPr>
          <w:rFonts w:eastAsia="Times New Roman"/>
          <w:i/>
          <w:szCs w:val="20"/>
        </w:rPr>
      </w:pPr>
      <w:r w:rsidRPr="00E26C8E">
        <w:rPr>
          <w:rFonts w:eastAsia="Times New Roman"/>
          <w:i/>
          <w:szCs w:val="20"/>
        </w:rPr>
        <w:t>5.1.2.4</w:t>
      </w:r>
      <w:r w:rsidRPr="00E26C8E">
        <w:rPr>
          <w:rFonts w:eastAsia="Times New Roman"/>
          <w:i/>
          <w:szCs w:val="20"/>
        </w:rPr>
        <w:tab/>
        <w:t>Quarry Completion Map showing:</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final landforms (including rehabilitated and non-disturbed areas); and</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proposed topographical contours of the entire site (including rehabilitated and non-disturbed areas).</w:t>
      </w:r>
    </w:p>
    <w:p w:rsidR="00E26C8E" w:rsidRPr="00E26C8E" w:rsidRDefault="00E26C8E" w:rsidP="00E26C8E">
      <w:pPr>
        <w:ind w:left="851" w:hanging="425"/>
        <w:rPr>
          <w:rFonts w:eastAsia="Times New Roman"/>
          <w:b/>
          <w:szCs w:val="20"/>
        </w:rPr>
      </w:pPr>
      <w:r w:rsidRPr="00E26C8E">
        <w:rPr>
          <w:rFonts w:eastAsia="Times New Roman"/>
          <w:b/>
          <w:szCs w:val="20"/>
        </w:rPr>
        <w:t>5.2</w:t>
      </w:r>
      <w:r w:rsidRPr="00E26C8E">
        <w:rPr>
          <w:rFonts w:eastAsia="Times New Roman"/>
          <w:b/>
          <w:szCs w:val="20"/>
        </w:rPr>
        <w:tab/>
        <w:t>Summary of Cross-Sections</w:t>
      </w:r>
    </w:p>
    <w:p w:rsidR="00E26C8E" w:rsidRPr="00E26C8E" w:rsidRDefault="00E26C8E" w:rsidP="00E26C8E">
      <w:pPr>
        <w:ind w:left="851"/>
        <w:rPr>
          <w:rFonts w:eastAsia="Times New Roman"/>
          <w:szCs w:val="20"/>
        </w:rPr>
      </w:pPr>
      <w:r w:rsidRPr="00E26C8E">
        <w:rPr>
          <w:rFonts w:eastAsia="Times New Roman"/>
          <w:szCs w:val="20"/>
        </w:rPr>
        <w:t>Following is a summary of all cross-sections required in the proposal:</w:t>
      </w:r>
    </w:p>
    <w:p w:rsidR="00E26C8E" w:rsidRPr="00E26C8E" w:rsidRDefault="00E26C8E" w:rsidP="00E26C8E">
      <w:pPr>
        <w:ind w:left="1418" w:hanging="567"/>
        <w:rPr>
          <w:rFonts w:eastAsia="Times New Roman"/>
          <w:b/>
          <w:szCs w:val="20"/>
        </w:rPr>
      </w:pPr>
      <w:r w:rsidRPr="00E26C8E">
        <w:rPr>
          <w:rFonts w:eastAsia="Times New Roman"/>
          <w:b/>
          <w:szCs w:val="20"/>
        </w:rPr>
        <w:t>5.2.1</w:t>
      </w:r>
      <w:r w:rsidRPr="00E26C8E">
        <w:rPr>
          <w:rFonts w:eastAsia="Times New Roman"/>
          <w:b/>
          <w:szCs w:val="20"/>
        </w:rPr>
        <w:tab/>
        <w:t>Cross-Sections required for Description of the Existing Environment (as per clause 2)</w:t>
      </w:r>
    </w:p>
    <w:p w:rsidR="00E26C8E" w:rsidRPr="00E26C8E" w:rsidRDefault="00E26C8E" w:rsidP="00E26C8E">
      <w:pPr>
        <w:ind w:left="2127" w:hanging="709"/>
        <w:rPr>
          <w:rFonts w:eastAsia="Times New Roman"/>
          <w:i/>
          <w:szCs w:val="20"/>
        </w:rPr>
      </w:pPr>
      <w:r w:rsidRPr="00E26C8E">
        <w:rPr>
          <w:rFonts w:eastAsia="Times New Roman"/>
          <w:i/>
          <w:szCs w:val="20"/>
        </w:rPr>
        <w:t>5.2.1.1</w:t>
      </w:r>
      <w:r w:rsidRPr="00E26C8E">
        <w:rPr>
          <w:rFonts w:eastAsia="Times New Roman"/>
          <w:i/>
          <w:szCs w:val="20"/>
        </w:rPr>
        <w:tab/>
        <w:t>Geological Cross-Section(s) showing:</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a representation of the geological profile within the application area; and</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depth of the resource and any overlying overburden.</w:t>
      </w:r>
    </w:p>
    <w:p w:rsidR="00E26C8E" w:rsidRPr="00E26C8E" w:rsidRDefault="00E26C8E" w:rsidP="00E26C8E">
      <w:pPr>
        <w:ind w:left="2127" w:hanging="709"/>
        <w:rPr>
          <w:rFonts w:eastAsia="Times New Roman"/>
          <w:i/>
          <w:szCs w:val="20"/>
        </w:rPr>
      </w:pPr>
      <w:r w:rsidRPr="00E26C8E">
        <w:rPr>
          <w:rFonts w:eastAsia="Times New Roman"/>
          <w:i/>
          <w:szCs w:val="20"/>
        </w:rPr>
        <w:t>5.2.1.2</w:t>
      </w:r>
      <w:r w:rsidRPr="00E26C8E">
        <w:rPr>
          <w:rFonts w:eastAsia="Times New Roman"/>
          <w:i/>
          <w:szCs w:val="20"/>
        </w:rPr>
        <w:tab/>
        <w:t>Groundwater Cross-Section(s) showing:</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the proposed depth of mining; and</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the depth to groundwater.</w:t>
      </w:r>
    </w:p>
    <w:p w:rsidR="00E26C8E" w:rsidRPr="00E26C8E" w:rsidRDefault="00E26C8E" w:rsidP="00E26C8E">
      <w:pPr>
        <w:ind w:left="1418" w:hanging="567"/>
        <w:rPr>
          <w:rFonts w:eastAsia="Times New Roman"/>
          <w:b/>
          <w:szCs w:val="20"/>
        </w:rPr>
      </w:pPr>
      <w:r w:rsidRPr="00E26C8E">
        <w:rPr>
          <w:rFonts w:eastAsia="Times New Roman"/>
          <w:b/>
          <w:szCs w:val="20"/>
        </w:rPr>
        <w:t>5.2.2</w:t>
      </w:r>
      <w:r w:rsidRPr="00E26C8E">
        <w:rPr>
          <w:rFonts w:eastAsia="Times New Roman"/>
          <w:b/>
          <w:szCs w:val="20"/>
        </w:rPr>
        <w:tab/>
        <w:t>Cross-Sections required for Description of the Proposed Mining Operations (as per clause 3)</w:t>
      </w:r>
    </w:p>
    <w:p w:rsidR="00E26C8E" w:rsidRPr="00E26C8E" w:rsidRDefault="00E26C8E" w:rsidP="00E26C8E">
      <w:pPr>
        <w:ind w:left="2127" w:hanging="709"/>
        <w:rPr>
          <w:rFonts w:eastAsia="Times New Roman"/>
          <w:i/>
          <w:szCs w:val="20"/>
        </w:rPr>
      </w:pPr>
      <w:r w:rsidRPr="00E26C8E">
        <w:rPr>
          <w:rFonts w:eastAsia="Times New Roman"/>
          <w:i/>
          <w:szCs w:val="20"/>
        </w:rPr>
        <w:t>5.2.2.1</w:t>
      </w:r>
      <w:r w:rsidRPr="00E26C8E">
        <w:rPr>
          <w:rFonts w:eastAsia="Times New Roman"/>
          <w:i/>
          <w:szCs w:val="20"/>
        </w:rPr>
        <w:tab/>
        <w:t>Proposed Quarry Operation Cross-Section(s) showing:</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proposed pit depth; and</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proposed pit dimensions.</w:t>
      </w:r>
    </w:p>
    <w:p w:rsidR="00E26C8E" w:rsidRPr="00E26C8E" w:rsidRDefault="00E26C8E" w:rsidP="00E26C8E">
      <w:pPr>
        <w:ind w:left="2127" w:hanging="709"/>
        <w:rPr>
          <w:rFonts w:eastAsia="Times New Roman"/>
          <w:i/>
          <w:szCs w:val="20"/>
        </w:rPr>
      </w:pPr>
      <w:r w:rsidRPr="00E26C8E">
        <w:rPr>
          <w:rFonts w:eastAsia="Times New Roman"/>
          <w:i/>
          <w:szCs w:val="20"/>
        </w:rPr>
        <w:t>5.2.2.2</w:t>
      </w:r>
      <w:r w:rsidRPr="00E26C8E">
        <w:rPr>
          <w:rFonts w:eastAsia="Times New Roman"/>
          <w:i/>
          <w:szCs w:val="20"/>
        </w:rPr>
        <w:tab/>
        <w:t>Quarry Completion Cross Section(s) showing:</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pre quarrying natural surface; and</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proposed final rehabilitated surface.</w:t>
      </w:r>
    </w:p>
    <w:p w:rsidR="00E26C8E" w:rsidRPr="00E26C8E" w:rsidRDefault="00E26C8E" w:rsidP="00E26C8E">
      <w:pPr>
        <w:spacing w:after="0" w:line="240" w:lineRule="auto"/>
        <w:jc w:val="left"/>
        <w:rPr>
          <w:rFonts w:eastAsia="Times New Roman"/>
          <w:b/>
          <w:szCs w:val="20"/>
        </w:rPr>
      </w:pPr>
      <w:r w:rsidRPr="00E26C8E">
        <w:rPr>
          <w:rFonts w:eastAsia="Times New Roman"/>
          <w:b/>
          <w:szCs w:val="20"/>
        </w:rPr>
        <w:br w:type="page"/>
      </w:r>
    </w:p>
    <w:p w:rsidR="00E26C8E" w:rsidRPr="00E26C8E" w:rsidRDefault="00E26C8E" w:rsidP="00E26C8E">
      <w:pPr>
        <w:rPr>
          <w:rFonts w:eastAsia="Times New Roman"/>
          <w:b/>
          <w:szCs w:val="20"/>
        </w:rPr>
      </w:pPr>
      <w:r w:rsidRPr="00E26C8E">
        <w:rPr>
          <w:rFonts w:eastAsia="Times New Roman"/>
          <w:b/>
          <w:szCs w:val="20"/>
        </w:rPr>
        <w:t>ADDITONAL INFORMATION TO ACCOMPANY APPLICATION</w:t>
      </w:r>
    </w:p>
    <w:p w:rsidR="00E26C8E" w:rsidRPr="00E26C8E" w:rsidRDefault="00E26C8E" w:rsidP="00E26C8E">
      <w:pPr>
        <w:ind w:left="142"/>
        <w:rPr>
          <w:rFonts w:eastAsia="Times New Roman"/>
          <w:szCs w:val="20"/>
        </w:rPr>
      </w:pPr>
      <w:r w:rsidRPr="00E26C8E">
        <w:rPr>
          <w:rFonts w:eastAsia="Times New Roman"/>
          <w:szCs w:val="20"/>
        </w:rPr>
        <w:t xml:space="preserve">An application for an EML and/or MPL must be accompanied by additional information as set out in regulations 30, 37 and 48 of the </w:t>
      </w:r>
      <w:r w:rsidRPr="00E26C8E">
        <w:rPr>
          <w:rFonts w:eastAsia="Times New Roman"/>
          <w:i/>
          <w:szCs w:val="20"/>
        </w:rPr>
        <w:t>Mining Regulations 2020</w:t>
      </w:r>
      <w:r w:rsidRPr="00E26C8E">
        <w:rPr>
          <w:rFonts w:eastAsia="Times New Roman"/>
          <w:szCs w:val="20"/>
        </w:rPr>
        <w:t>, and must comply with the following determinations of this Terms of Reference:</w:t>
      </w:r>
    </w:p>
    <w:p w:rsidR="00E26C8E" w:rsidRPr="00E26C8E" w:rsidRDefault="00E26C8E" w:rsidP="00E26C8E">
      <w:pPr>
        <w:ind w:left="426" w:hanging="284"/>
        <w:rPr>
          <w:rFonts w:eastAsia="Times New Roman"/>
          <w:b/>
          <w:szCs w:val="20"/>
        </w:rPr>
      </w:pPr>
      <w:r w:rsidRPr="00E26C8E">
        <w:rPr>
          <w:rFonts w:eastAsia="Times New Roman"/>
          <w:b/>
          <w:szCs w:val="20"/>
        </w:rPr>
        <w:t>6</w:t>
      </w:r>
      <w:r w:rsidRPr="00E26C8E">
        <w:rPr>
          <w:rFonts w:eastAsia="Times New Roman"/>
          <w:b/>
          <w:szCs w:val="20"/>
        </w:rPr>
        <w:tab/>
        <w:t>Reasonable prospect of access to land</w:t>
      </w:r>
    </w:p>
    <w:p w:rsidR="00E26C8E" w:rsidRPr="00E26C8E" w:rsidRDefault="00E26C8E" w:rsidP="00E26C8E">
      <w:pPr>
        <w:ind w:left="426"/>
        <w:rPr>
          <w:rFonts w:eastAsia="Times New Roman"/>
          <w:szCs w:val="20"/>
        </w:rPr>
      </w:pPr>
      <w:r w:rsidRPr="00E26C8E">
        <w:rPr>
          <w:rFonts w:eastAsia="Times New Roman"/>
          <w:szCs w:val="20"/>
        </w:rPr>
        <w:t xml:space="preserve">In preparing a statement under regulation 30(1)(e)(i) of the </w:t>
      </w:r>
      <w:r w:rsidRPr="00E26C8E">
        <w:rPr>
          <w:rFonts w:eastAsia="Times New Roman"/>
          <w:i/>
          <w:szCs w:val="20"/>
        </w:rPr>
        <w:t>Mining Regulations 2020</w:t>
      </w:r>
      <w:r w:rsidRPr="00E26C8E">
        <w:rPr>
          <w:rFonts w:eastAsia="Times New Roman"/>
          <w:szCs w:val="20"/>
        </w:rPr>
        <w:t xml:space="preserve"> that demonstrates that there is a reasonable prospect that the land in respect of which an EML is sought could be effectively and efficiently mined, the Minister determines in accordance with regulation 30(2) of the </w:t>
      </w:r>
      <w:r w:rsidRPr="00E26C8E">
        <w:rPr>
          <w:rFonts w:eastAsia="Times New Roman"/>
          <w:i/>
          <w:szCs w:val="20"/>
        </w:rPr>
        <w:t>Mining Regulations 2020</w:t>
      </w:r>
      <w:r w:rsidRPr="00E26C8E">
        <w:rPr>
          <w:rFonts w:eastAsia="Times New Roman"/>
          <w:szCs w:val="20"/>
        </w:rPr>
        <w:t xml:space="preserve"> that this statement must be supported by the following evidence:</w:t>
      </w:r>
    </w:p>
    <w:p w:rsidR="00E26C8E" w:rsidRPr="00E26C8E" w:rsidRDefault="00E26C8E" w:rsidP="00E26C8E">
      <w:pPr>
        <w:ind w:left="709" w:hanging="283"/>
        <w:rPr>
          <w:rFonts w:eastAsia="Times New Roman"/>
          <w:szCs w:val="20"/>
        </w:rPr>
      </w:pPr>
      <w:r w:rsidRPr="00E26C8E">
        <w:rPr>
          <w:rFonts w:eastAsia="Times New Roman"/>
          <w:szCs w:val="20"/>
        </w:rPr>
        <w:t>•</w:t>
      </w:r>
      <w:r w:rsidRPr="00E26C8E">
        <w:rPr>
          <w:rFonts w:eastAsia="Times New Roman"/>
          <w:szCs w:val="20"/>
        </w:rPr>
        <w:tab/>
        <w:t xml:space="preserve">A description of any waivers of exemption obtained, and/or information on the status of waivers of exemption yet to be negotiated/finalised under Section 9AA of the </w:t>
      </w:r>
      <w:r w:rsidRPr="00E26C8E">
        <w:rPr>
          <w:rFonts w:eastAsia="Times New Roman"/>
          <w:i/>
          <w:szCs w:val="20"/>
        </w:rPr>
        <w:t>Mining Act 1971</w:t>
      </w:r>
      <w:r w:rsidRPr="00E26C8E">
        <w:rPr>
          <w:rFonts w:eastAsia="Times New Roman"/>
          <w:szCs w:val="20"/>
        </w:rPr>
        <w:t>; and</w:t>
      </w:r>
    </w:p>
    <w:p w:rsidR="00E26C8E" w:rsidRPr="00E26C8E" w:rsidRDefault="00E26C8E" w:rsidP="00E26C8E">
      <w:pPr>
        <w:ind w:left="709" w:hanging="283"/>
        <w:rPr>
          <w:rFonts w:eastAsia="Times New Roman"/>
          <w:szCs w:val="20"/>
        </w:rPr>
      </w:pPr>
      <w:r w:rsidRPr="00E26C8E">
        <w:rPr>
          <w:rFonts w:eastAsia="Times New Roman"/>
          <w:szCs w:val="20"/>
        </w:rPr>
        <w:t>•</w:t>
      </w:r>
      <w:r w:rsidRPr="00E26C8E">
        <w:rPr>
          <w:rFonts w:eastAsia="Times New Roman"/>
          <w:szCs w:val="20"/>
        </w:rPr>
        <w:tab/>
        <w:t xml:space="preserve">A description of any native title mining agreements obtained under the </w:t>
      </w:r>
      <w:r w:rsidRPr="00E26C8E">
        <w:rPr>
          <w:rFonts w:eastAsia="Times New Roman"/>
          <w:i/>
          <w:szCs w:val="20"/>
        </w:rPr>
        <w:t>Mining Act 1971</w:t>
      </w:r>
      <w:r w:rsidRPr="00E26C8E">
        <w:rPr>
          <w:rFonts w:eastAsia="Times New Roman"/>
          <w:szCs w:val="20"/>
        </w:rPr>
        <w:t xml:space="preserve"> or </w:t>
      </w:r>
      <w:r w:rsidRPr="00E26C8E">
        <w:rPr>
          <w:rFonts w:eastAsia="Times New Roman"/>
          <w:i/>
          <w:szCs w:val="20"/>
        </w:rPr>
        <w:t>Indigenous Land Use Agreements (ILUA) under the Native Act 1993 (Cth)</w:t>
      </w:r>
      <w:r w:rsidRPr="00E26C8E">
        <w:rPr>
          <w:rFonts w:eastAsia="Times New Roman"/>
          <w:szCs w:val="20"/>
        </w:rPr>
        <w:t>.</w:t>
      </w:r>
    </w:p>
    <w:p w:rsidR="00E26C8E" w:rsidRPr="00E26C8E" w:rsidRDefault="00E26C8E" w:rsidP="00E26C8E">
      <w:pPr>
        <w:ind w:left="426" w:hanging="284"/>
        <w:rPr>
          <w:rFonts w:eastAsia="Times New Roman"/>
          <w:b/>
          <w:szCs w:val="20"/>
        </w:rPr>
      </w:pPr>
      <w:r w:rsidRPr="00E26C8E">
        <w:rPr>
          <w:rFonts w:eastAsia="Times New Roman"/>
          <w:b/>
          <w:szCs w:val="20"/>
        </w:rPr>
        <w:t>7</w:t>
      </w:r>
      <w:r w:rsidRPr="00E26C8E">
        <w:rPr>
          <w:rFonts w:eastAsia="Times New Roman"/>
          <w:b/>
          <w:szCs w:val="20"/>
        </w:rPr>
        <w:tab/>
        <w:t>Description of contributions to the economy</w:t>
      </w:r>
    </w:p>
    <w:p w:rsidR="00E26C8E" w:rsidRPr="00E26C8E" w:rsidRDefault="00E26C8E" w:rsidP="00E26C8E">
      <w:pPr>
        <w:ind w:left="426"/>
        <w:rPr>
          <w:rFonts w:eastAsia="Times New Roman"/>
          <w:szCs w:val="20"/>
        </w:rPr>
      </w:pPr>
      <w:r w:rsidRPr="00E26C8E">
        <w:rPr>
          <w:rFonts w:eastAsia="Times New Roman"/>
          <w:szCs w:val="20"/>
        </w:rPr>
        <w:t xml:space="preserve">For the purposes of regulation 30(1)(g) of the </w:t>
      </w:r>
      <w:r w:rsidRPr="00E26C8E">
        <w:rPr>
          <w:rFonts w:eastAsia="Times New Roman"/>
          <w:i/>
          <w:szCs w:val="20"/>
        </w:rPr>
        <w:t>Mining Regulations 2020</w:t>
      </w:r>
      <w:r w:rsidRPr="00E26C8E">
        <w:rPr>
          <w:rFonts w:eastAsia="Times New Roman"/>
          <w:szCs w:val="20"/>
        </w:rPr>
        <w:t>, the Minister determines that the following information must accompany an application for an EML:</w:t>
      </w:r>
    </w:p>
    <w:p w:rsidR="00E26C8E" w:rsidRPr="00E26C8E" w:rsidRDefault="00E26C8E" w:rsidP="00E26C8E">
      <w:pPr>
        <w:ind w:left="709" w:hanging="283"/>
        <w:rPr>
          <w:rFonts w:eastAsia="Times New Roman"/>
          <w:szCs w:val="20"/>
        </w:rPr>
      </w:pPr>
      <w:r w:rsidRPr="00E26C8E">
        <w:rPr>
          <w:rFonts w:eastAsia="Times New Roman"/>
          <w:szCs w:val="20"/>
        </w:rPr>
        <w:t>•</w:t>
      </w:r>
      <w:r w:rsidRPr="00E26C8E">
        <w:rPr>
          <w:rFonts w:eastAsia="Times New Roman"/>
          <w:szCs w:val="20"/>
        </w:rPr>
        <w:tab/>
        <w:t>A description of the economic contributions of the proposed operations, including (but not limited to):</w:t>
      </w:r>
    </w:p>
    <w:p w:rsidR="00E26C8E" w:rsidRPr="00E26C8E" w:rsidRDefault="00E26C8E" w:rsidP="00E26C8E">
      <w:pPr>
        <w:ind w:left="709" w:hanging="283"/>
        <w:rPr>
          <w:rFonts w:eastAsia="Times New Roman"/>
          <w:szCs w:val="20"/>
        </w:rPr>
      </w:pPr>
      <w:r w:rsidRPr="00E26C8E">
        <w:rPr>
          <w:rFonts w:eastAsia="Times New Roman"/>
          <w:szCs w:val="20"/>
        </w:rPr>
        <w:t>•</w:t>
      </w:r>
      <w:r w:rsidRPr="00E26C8E">
        <w:rPr>
          <w:rFonts w:eastAsia="Times New Roman"/>
          <w:szCs w:val="20"/>
        </w:rPr>
        <w:tab/>
        <w:t>goods and services used in the local community, state and external to state;</w:t>
      </w:r>
    </w:p>
    <w:p w:rsidR="00E26C8E" w:rsidRPr="00E26C8E" w:rsidRDefault="00E26C8E" w:rsidP="00E26C8E">
      <w:pPr>
        <w:ind w:left="709" w:hanging="283"/>
        <w:rPr>
          <w:rFonts w:eastAsia="Times New Roman"/>
          <w:szCs w:val="20"/>
        </w:rPr>
      </w:pPr>
      <w:r w:rsidRPr="00E26C8E">
        <w:rPr>
          <w:rFonts w:eastAsia="Times New Roman"/>
          <w:szCs w:val="20"/>
        </w:rPr>
        <w:t>•</w:t>
      </w:r>
      <w:r w:rsidRPr="00E26C8E">
        <w:rPr>
          <w:rFonts w:eastAsia="Times New Roman"/>
          <w:szCs w:val="20"/>
        </w:rPr>
        <w:tab/>
        <w:t>wages and other employee benefits;</w:t>
      </w:r>
    </w:p>
    <w:p w:rsidR="00E26C8E" w:rsidRPr="00E26C8E" w:rsidRDefault="00E26C8E" w:rsidP="00E26C8E">
      <w:pPr>
        <w:ind w:left="709" w:hanging="283"/>
        <w:rPr>
          <w:rFonts w:eastAsia="Times New Roman"/>
          <w:szCs w:val="20"/>
        </w:rPr>
      </w:pPr>
      <w:r w:rsidRPr="00E26C8E">
        <w:rPr>
          <w:rFonts w:eastAsia="Times New Roman"/>
          <w:szCs w:val="20"/>
        </w:rPr>
        <w:t>•</w:t>
      </w:r>
      <w:r w:rsidRPr="00E26C8E">
        <w:rPr>
          <w:rFonts w:eastAsia="Times New Roman"/>
          <w:szCs w:val="20"/>
        </w:rPr>
        <w:tab/>
        <w:t>economic benefits derived from local employment;</w:t>
      </w:r>
    </w:p>
    <w:p w:rsidR="00E26C8E" w:rsidRPr="00E26C8E" w:rsidRDefault="00E26C8E" w:rsidP="00E26C8E">
      <w:pPr>
        <w:ind w:left="709" w:hanging="283"/>
        <w:rPr>
          <w:rFonts w:eastAsia="Times New Roman"/>
          <w:szCs w:val="20"/>
        </w:rPr>
      </w:pPr>
      <w:r w:rsidRPr="00E26C8E">
        <w:rPr>
          <w:rFonts w:eastAsia="Times New Roman"/>
          <w:szCs w:val="20"/>
        </w:rPr>
        <w:t>•</w:t>
      </w:r>
      <w:r w:rsidRPr="00E26C8E">
        <w:rPr>
          <w:rFonts w:eastAsia="Times New Roman"/>
          <w:szCs w:val="20"/>
        </w:rPr>
        <w:tab/>
        <w:t>approximate royalty payments and other direct state government taxes; and</w:t>
      </w:r>
    </w:p>
    <w:p w:rsidR="00E26C8E" w:rsidRPr="00E26C8E" w:rsidRDefault="00E26C8E" w:rsidP="00E26C8E">
      <w:pPr>
        <w:ind w:left="709" w:hanging="283"/>
        <w:rPr>
          <w:rFonts w:eastAsia="Times New Roman"/>
          <w:szCs w:val="20"/>
        </w:rPr>
      </w:pPr>
      <w:r w:rsidRPr="00E26C8E">
        <w:rPr>
          <w:rFonts w:eastAsia="Times New Roman"/>
          <w:szCs w:val="20"/>
        </w:rPr>
        <w:t>•</w:t>
      </w:r>
      <w:r w:rsidRPr="00E26C8E">
        <w:rPr>
          <w:rFonts w:eastAsia="Times New Roman"/>
          <w:szCs w:val="20"/>
        </w:rPr>
        <w:tab/>
        <w:t>any other potential economic contributions proposed during the development of the quarry, operation of the proposed quarry and post quarry completion.</w:t>
      </w:r>
    </w:p>
    <w:p w:rsidR="00E26C8E" w:rsidRPr="00E26C8E" w:rsidRDefault="00E26C8E" w:rsidP="00E26C8E">
      <w:pPr>
        <w:spacing w:after="0"/>
        <w:rPr>
          <w:rFonts w:eastAsia="Times New Roman"/>
          <w:szCs w:val="17"/>
        </w:rPr>
      </w:pPr>
      <w:r w:rsidRPr="00E26C8E">
        <w:rPr>
          <w:rFonts w:eastAsia="Times New Roman"/>
          <w:szCs w:val="17"/>
        </w:rPr>
        <w:t>Dated: 11 December 2020</w:t>
      </w:r>
    </w:p>
    <w:p w:rsidR="00E26C8E" w:rsidRPr="00E26C8E" w:rsidRDefault="00E26C8E" w:rsidP="00E26C8E">
      <w:pPr>
        <w:spacing w:after="0"/>
        <w:jc w:val="right"/>
        <w:rPr>
          <w:rFonts w:eastAsia="Times New Roman"/>
          <w:smallCaps/>
          <w:szCs w:val="20"/>
        </w:rPr>
      </w:pPr>
      <w:r w:rsidRPr="00E26C8E">
        <w:rPr>
          <w:rFonts w:eastAsia="Times New Roman"/>
          <w:smallCaps/>
          <w:szCs w:val="20"/>
        </w:rPr>
        <w:t>Hon. Daniel van Holst Pellekaan</w:t>
      </w:r>
    </w:p>
    <w:p w:rsidR="00E26C8E" w:rsidRPr="00E26C8E" w:rsidRDefault="00E26C8E" w:rsidP="00E26C8E">
      <w:pPr>
        <w:spacing w:after="0"/>
        <w:jc w:val="right"/>
        <w:rPr>
          <w:rFonts w:eastAsia="Times New Roman"/>
          <w:szCs w:val="17"/>
        </w:rPr>
      </w:pPr>
      <w:r w:rsidRPr="00E26C8E">
        <w:rPr>
          <w:rFonts w:eastAsia="Times New Roman"/>
          <w:szCs w:val="17"/>
        </w:rPr>
        <w:t>Minister for Energy and Mining</w:t>
      </w:r>
    </w:p>
    <w:p w:rsidR="00E26C8E" w:rsidRPr="00E26C8E" w:rsidRDefault="00E26C8E" w:rsidP="00E26C8E">
      <w:pPr>
        <w:pBdr>
          <w:top w:val="single" w:sz="4" w:space="1" w:color="auto"/>
        </w:pBdr>
        <w:spacing w:before="100" w:after="0" w:line="14" w:lineRule="exact"/>
        <w:jc w:val="center"/>
        <w:rPr>
          <w:rFonts w:eastAsia="Times New Roman"/>
          <w:szCs w:val="20"/>
        </w:rPr>
      </w:pPr>
    </w:p>
    <w:p w:rsidR="00E26C8E" w:rsidRPr="00E26C8E" w:rsidRDefault="00E26C8E" w:rsidP="00E26C8E">
      <w:pPr>
        <w:rPr>
          <w:rFonts w:eastAsia="Times New Roman"/>
          <w:szCs w:val="20"/>
        </w:rPr>
      </w:pPr>
    </w:p>
    <w:p w:rsidR="00E26C8E" w:rsidRPr="00E26C8E" w:rsidRDefault="00E26C8E" w:rsidP="00E26C8E">
      <w:pPr>
        <w:jc w:val="center"/>
        <w:rPr>
          <w:caps/>
          <w:szCs w:val="17"/>
        </w:rPr>
      </w:pPr>
      <w:r w:rsidRPr="00E26C8E">
        <w:rPr>
          <w:caps/>
          <w:szCs w:val="17"/>
        </w:rPr>
        <w:t>Mining Act 1971</w:t>
      </w:r>
    </w:p>
    <w:p w:rsidR="00E26C8E" w:rsidRPr="00E26C8E" w:rsidRDefault="00E26C8E" w:rsidP="00E26C8E">
      <w:pPr>
        <w:jc w:val="center"/>
        <w:rPr>
          <w:smallCaps/>
          <w:szCs w:val="17"/>
        </w:rPr>
      </w:pPr>
      <w:r w:rsidRPr="00E26C8E">
        <w:rPr>
          <w:smallCaps/>
          <w:szCs w:val="17"/>
        </w:rPr>
        <w:t>Section 36</w:t>
      </w:r>
    </w:p>
    <w:p w:rsidR="00E26C8E" w:rsidRPr="00E26C8E" w:rsidRDefault="00E26C8E" w:rsidP="00E26C8E">
      <w:pPr>
        <w:jc w:val="center"/>
        <w:rPr>
          <w:i/>
          <w:szCs w:val="17"/>
        </w:rPr>
      </w:pPr>
      <w:r w:rsidRPr="00E26C8E">
        <w:rPr>
          <w:i/>
          <w:szCs w:val="17"/>
        </w:rPr>
        <w:t>Terms of Reference for Mineral Mine Lease/Licence Applications</w:t>
      </w:r>
    </w:p>
    <w:p w:rsidR="00E26C8E" w:rsidRPr="00E26C8E" w:rsidRDefault="00E26C8E" w:rsidP="00E26C8E">
      <w:pPr>
        <w:rPr>
          <w:rFonts w:eastAsia="Times New Roman"/>
          <w:szCs w:val="20"/>
        </w:rPr>
      </w:pPr>
      <w:r w:rsidRPr="00E26C8E">
        <w:rPr>
          <w:rFonts w:eastAsia="Times New Roman"/>
          <w:szCs w:val="20"/>
        </w:rPr>
        <w:t>An application for a mining lease (ML) for the recovery of metallic and industrial minerals must be accompanied by:</w:t>
      </w:r>
    </w:p>
    <w:p w:rsidR="00E26C8E" w:rsidRPr="00E26C8E" w:rsidRDefault="00E26C8E" w:rsidP="00E26C8E">
      <w:pPr>
        <w:ind w:left="284" w:hanging="284"/>
        <w:rPr>
          <w:rFonts w:eastAsia="Times New Roman"/>
          <w:szCs w:val="20"/>
        </w:rPr>
      </w:pPr>
      <w:r w:rsidRPr="00E26C8E">
        <w:rPr>
          <w:rFonts w:eastAsia="Times New Roman"/>
          <w:szCs w:val="20"/>
        </w:rPr>
        <w:t>•</w:t>
      </w:r>
      <w:r w:rsidRPr="00E26C8E">
        <w:rPr>
          <w:rFonts w:eastAsia="Times New Roman"/>
          <w:szCs w:val="20"/>
        </w:rPr>
        <w:tab/>
        <w:t xml:space="preserve">a proposal that complies with section 36 of the </w:t>
      </w:r>
      <w:r w:rsidRPr="00E26C8E">
        <w:rPr>
          <w:rFonts w:eastAsia="Times New Roman"/>
          <w:i/>
          <w:szCs w:val="20"/>
        </w:rPr>
        <w:t>Mining Act 1971</w:t>
      </w:r>
      <w:r w:rsidRPr="00E26C8E">
        <w:rPr>
          <w:rFonts w:eastAsia="Times New Roman"/>
          <w:szCs w:val="20"/>
        </w:rPr>
        <w:t xml:space="preserve">, regulations 46 and 47 of the </w:t>
      </w:r>
      <w:r w:rsidRPr="00E26C8E">
        <w:rPr>
          <w:rFonts w:eastAsia="Times New Roman"/>
          <w:i/>
          <w:szCs w:val="20"/>
        </w:rPr>
        <w:t>Mining Regulations 2020</w:t>
      </w:r>
      <w:r w:rsidRPr="00E26C8E">
        <w:rPr>
          <w:rFonts w:eastAsia="Times New Roman"/>
          <w:szCs w:val="20"/>
        </w:rPr>
        <w:t xml:space="preserve"> and any determinations set out in this Terms of Reference; and</w:t>
      </w:r>
    </w:p>
    <w:p w:rsidR="00E26C8E" w:rsidRPr="00E26C8E" w:rsidRDefault="00E26C8E" w:rsidP="00E26C8E">
      <w:pPr>
        <w:ind w:left="284" w:hanging="284"/>
        <w:rPr>
          <w:rFonts w:eastAsia="Times New Roman"/>
          <w:szCs w:val="20"/>
        </w:rPr>
      </w:pPr>
      <w:r w:rsidRPr="00E26C8E">
        <w:rPr>
          <w:rFonts w:eastAsia="Times New Roman"/>
          <w:szCs w:val="20"/>
        </w:rPr>
        <w:t>•</w:t>
      </w:r>
      <w:r w:rsidRPr="00E26C8E">
        <w:rPr>
          <w:rFonts w:eastAsia="Times New Roman"/>
          <w:szCs w:val="20"/>
        </w:rPr>
        <w:tab/>
        <w:t xml:space="preserve">information that complies with regulation 30 of the </w:t>
      </w:r>
      <w:r w:rsidRPr="00E26C8E">
        <w:rPr>
          <w:rFonts w:eastAsia="Times New Roman"/>
          <w:i/>
          <w:szCs w:val="20"/>
        </w:rPr>
        <w:t>Mining Regulations 2020</w:t>
      </w:r>
      <w:r w:rsidRPr="00E26C8E">
        <w:rPr>
          <w:rFonts w:eastAsia="Times New Roman"/>
          <w:szCs w:val="20"/>
        </w:rPr>
        <w:t xml:space="preserve"> and any determinations set out in this Terms of Reference; and</w:t>
      </w:r>
    </w:p>
    <w:p w:rsidR="00E26C8E" w:rsidRPr="00E26C8E" w:rsidRDefault="00E26C8E" w:rsidP="00E26C8E">
      <w:pPr>
        <w:ind w:left="284" w:hanging="284"/>
        <w:rPr>
          <w:rFonts w:eastAsia="Times New Roman"/>
          <w:szCs w:val="20"/>
        </w:rPr>
      </w:pPr>
      <w:r w:rsidRPr="00E26C8E">
        <w:rPr>
          <w:rFonts w:eastAsia="Times New Roman"/>
          <w:szCs w:val="20"/>
        </w:rPr>
        <w:t>•</w:t>
      </w:r>
      <w:r w:rsidRPr="00E26C8E">
        <w:rPr>
          <w:rFonts w:eastAsia="Times New Roman"/>
          <w:szCs w:val="20"/>
        </w:rPr>
        <w:tab/>
        <w:t xml:space="preserve">a declaration of accuracy that complies with regulation 84 of the </w:t>
      </w:r>
      <w:r w:rsidRPr="00E26C8E">
        <w:rPr>
          <w:rFonts w:eastAsia="Times New Roman"/>
          <w:i/>
          <w:szCs w:val="20"/>
        </w:rPr>
        <w:t>Mining Regulations 2020</w:t>
      </w:r>
      <w:r w:rsidRPr="00E26C8E">
        <w:rPr>
          <w:rFonts w:eastAsia="Times New Roman"/>
          <w:szCs w:val="20"/>
        </w:rPr>
        <w:t>; and</w:t>
      </w:r>
    </w:p>
    <w:p w:rsidR="00E26C8E" w:rsidRPr="00E26C8E" w:rsidRDefault="00E26C8E" w:rsidP="00E26C8E">
      <w:pPr>
        <w:ind w:left="284" w:hanging="284"/>
        <w:rPr>
          <w:rFonts w:eastAsia="Times New Roman"/>
          <w:szCs w:val="20"/>
        </w:rPr>
      </w:pPr>
      <w:r w:rsidRPr="00E26C8E">
        <w:rPr>
          <w:rFonts w:eastAsia="Times New Roman"/>
          <w:szCs w:val="20"/>
        </w:rPr>
        <w:t>•</w:t>
      </w:r>
      <w:r w:rsidRPr="00E26C8E">
        <w:rPr>
          <w:rFonts w:eastAsia="Times New Roman"/>
          <w:szCs w:val="20"/>
        </w:rPr>
        <w:tab/>
        <w:t>the relevant application fee.</w:t>
      </w:r>
    </w:p>
    <w:p w:rsidR="00E26C8E" w:rsidRPr="00E26C8E" w:rsidRDefault="00E26C8E" w:rsidP="00E26C8E">
      <w:pPr>
        <w:rPr>
          <w:rFonts w:eastAsia="Times New Roman"/>
          <w:szCs w:val="20"/>
        </w:rPr>
      </w:pPr>
      <w:r w:rsidRPr="00E26C8E">
        <w:rPr>
          <w:rFonts w:eastAsia="Times New Roman"/>
          <w:szCs w:val="20"/>
        </w:rPr>
        <w:t>An application for a miscellaneous purposes licence (MPL) for the recovery of metallic and industrial minerals must be accompanied by:</w:t>
      </w:r>
    </w:p>
    <w:p w:rsidR="00E26C8E" w:rsidRPr="00E26C8E" w:rsidRDefault="00E26C8E" w:rsidP="00E26C8E">
      <w:pPr>
        <w:ind w:left="284" w:hanging="284"/>
        <w:rPr>
          <w:rFonts w:eastAsia="Times New Roman"/>
          <w:szCs w:val="20"/>
        </w:rPr>
      </w:pPr>
      <w:r w:rsidRPr="00E26C8E">
        <w:rPr>
          <w:rFonts w:eastAsia="Times New Roman"/>
          <w:szCs w:val="20"/>
        </w:rPr>
        <w:t>•</w:t>
      </w:r>
      <w:r w:rsidRPr="00E26C8E">
        <w:rPr>
          <w:rFonts w:eastAsia="Times New Roman"/>
          <w:szCs w:val="20"/>
        </w:rPr>
        <w:tab/>
        <w:t xml:space="preserve">a proposal that complies with section 49 of the </w:t>
      </w:r>
      <w:r w:rsidRPr="00E26C8E">
        <w:rPr>
          <w:rFonts w:eastAsia="Times New Roman"/>
          <w:i/>
          <w:szCs w:val="20"/>
        </w:rPr>
        <w:t>Mining Act 1971</w:t>
      </w:r>
      <w:r w:rsidRPr="00E26C8E">
        <w:rPr>
          <w:rFonts w:eastAsia="Times New Roman"/>
          <w:szCs w:val="20"/>
        </w:rPr>
        <w:t xml:space="preserve">, regulations 46 and 47 of the </w:t>
      </w:r>
      <w:r w:rsidRPr="00E26C8E">
        <w:rPr>
          <w:rFonts w:eastAsia="Times New Roman"/>
          <w:i/>
          <w:szCs w:val="20"/>
        </w:rPr>
        <w:t>Mining Regulations 2020</w:t>
      </w:r>
      <w:r w:rsidRPr="00E26C8E">
        <w:rPr>
          <w:rFonts w:eastAsia="Times New Roman"/>
          <w:szCs w:val="20"/>
        </w:rPr>
        <w:t xml:space="preserve"> and any determinations set out in this Terms of Reference; and</w:t>
      </w:r>
    </w:p>
    <w:p w:rsidR="00E26C8E" w:rsidRPr="00E26C8E" w:rsidRDefault="00E26C8E" w:rsidP="00E26C8E">
      <w:pPr>
        <w:ind w:left="284" w:hanging="284"/>
        <w:rPr>
          <w:rFonts w:eastAsia="Times New Roman"/>
          <w:szCs w:val="20"/>
        </w:rPr>
      </w:pPr>
      <w:r w:rsidRPr="00E26C8E">
        <w:rPr>
          <w:rFonts w:eastAsia="Times New Roman"/>
          <w:szCs w:val="20"/>
        </w:rPr>
        <w:t>•</w:t>
      </w:r>
      <w:r w:rsidRPr="00E26C8E">
        <w:rPr>
          <w:rFonts w:eastAsia="Times New Roman"/>
          <w:szCs w:val="20"/>
        </w:rPr>
        <w:tab/>
        <w:t xml:space="preserve">information that complies with regulations 37 and 38 of the </w:t>
      </w:r>
      <w:r w:rsidRPr="00E26C8E">
        <w:rPr>
          <w:rFonts w:eastAsia="Times New Roman"/>
          <w:i/>
          <w:szCs w:val="20"/>
        </w:rPr>
        <w:t>Mining Regulations 2020</w:t>
      </w:r>
      <w:r w:rsidRPr="00E26C8E">
        <w:rPr>
          <w:rFonts w:eastAsia="Times New Roman"/>
          <w:szCs w:val="20"/>
        </w:rPr>
        <w:t xml:space="preserve"> and any determinations set out in this Terms of Reference; and</w:t>
      </w:r>
    </w:p>
    <w:p w:rsidR="00E26C8E" w:rsidRPr="00E26C8E" w:rsidRDefault="00E26C8E" w:rsidP="00E26C8E">
      <w:pPr>
        <w:ind w:left="284" w:hanging="284"/>
        <w:rPr>
          <w:rFonts w:eastAsia="Times New Roman"/>
          <w:szCs w:val="20"/>
        </w:rPr>
      </w:pPr>
      <w:r w:rsidRPr="00E26C8E">
        <w:rPr>
          <w:rFonts w:eastAsia="Times New Roman"/>
          <w:szCs w:val="20"/>
        </w:rPr>
        <w:t>•</w:t>
      </w:r>
      <w:r w:rsidRPr="00E26C8E">
        <w:rPr>
          <w:rFonts w:eastAsia="Times New Roman"/>
          <w:szCs w:val="20"/>
        </w:rPr>
        <w:tab/>
        <w:t xml:space="preserve">a declaration of accuracy that complies with regulation 84 of the </w:t>
      </w:r>
      <w:r w:rsidRPr="00E26C8E">
        <w:rPr>
          <w:rFonts w:eastAsia="Times New Roman"/>
          <w:i/>
          <w:szCs w:val="20"/>
        </w:rPr>
        <w:t>Mining Regulations 2020</w:t>
      </w:r>
      <w:r w:rsidRPr="00E26C8E">
        <w:rPr>
          <w:rFonts w:eastAsia="Times New Roman"/>
          <w:szCs w:val="20"/>
        </w:rPr>
        <w:t>; and</w:t>
      </w:r>
    </w:p>
    <w:p w:rsidR="00E26C8E" w:rsidRPr="00E26C8E" w:rsidRDefault="00E26C8E" w:rsidP="00E26C8E">
      <w:pPr>
        <w:ind w:left="284" w:hanging="284"/>
        <w:rPr>
          <w:rFonts w:eastAsia="Times New Roman"/>
          <w:szCs w:val="20"/>
        </w:rPr>
      </w:pPr>
      <w:r w:rsidRPr="00E26C8E">
        <w:rPr>
          <w:rFonts w:eastAsia="Times New Roman"/>
          <w:szCs w:val="20"/>
        </w:rPr>
        <w:t>•</w:t>
      </w:r>
      <w:r w:rsidRPr="00E26C8E">
        <w:rPr>
          <w:rFonts w:eastAsia="Times New Roman"/>
          <w:szCs w:val="20"/>
        </w:rPr>
        <w:tab/>
        <w:t>the relevant application fee.</w:t>
      </w:r>
    </w:p>
    <w:p w:rsidR="00E26C8E" w:rsidRPr="00E26C8E" w:rsidRDefault="00E26C8E" w:rsidP="00E26C8E">
      <w:pPr>
        <w:ind w:left="284" w:hanging="284"/>
        <w:rPr>
          <w:rFonts w:eastAsia="Times New Roman"/>
          <w:szCs w:val="20"/>
        </w:rPr>
      </w:pPr>
      <w:r w:rsidRPr="00E26C8E">
        <w:rPr>
          <w:rFonts w:eastAsia="Times New Roman"/>
          <w:color w:val="000000"/>
          <w:szCs w:val="17"/>
          <w:shd w:val="clear" w:color="auto" w:fill="FFFFFF"/>
        </w:rPr>
        <w:t>In accordance with section 36 of the </w:t>
      </w:r>
      <w:r w:rsidRPr="00E26C8E">
        <w:rPr>
          <w:rFonts w:eastAsia="Times New Roman"/>
          <w:i/>
          <w:iCs/>
          <w:color w:val="000000"/>
          <w:szCs w:val="17"/>
          <w:shd w:val="clear" w:color="auto" w:fill="FFFFFF"/>
        </w:rPr>
        <w:t>Mining Act 1971</w:t>
      </w:r>
      <w:r w:rsidRPr="00E26C8E">
        <w:rPr>
          <w:rFonts w:eastAsia="Times New Roman"/>
          <w:color w:val="000000"/>
          <w:szCs w:val="17"/>
          <w:shd w:val="clear" w:color="auto" w:fill="FFFFFF"/>
        </w:rPr>
        <w:t> this Terms of Reference will have effect from 1 January 2021.</w:t>
      </w:r>
    </w:p>
    <w:p w:rsidR="00E26C8E" w:rsidRPr="00E26C8E" w:rsidRDefault="00E26C8E" w:rsidP="00E26C8E">
      <w:pPr>
        <w:rPr>
          <w:rFonts w:eastAsia="Times New Roman"/>
          <w:b/>
          <w:szCs w:val="20"/>
        </w:rPr>
      </w:pPr>
      <w:r w:rsidRPr="00E26C8E">
        <w:rPr>
          <w:rFonts w:eastAsia="Times New Roman"/>
          <w:b/>
          <w:szCs w:val="20"/>
        </w:rPr>
        <w:t>FORM OF APPLICATION</w:t>
      </w:r>
    </w:p>
    <w:p w:rsidR="00E26C8E" w:rsidRPr="00E26C8E" w:rsidRDefault="00E26C8E" w:rsidP="00E26C8E">
      <w:pPr>
        <w:ind w:left="142"/>
        <w:rPr>
          <w:rFonts w:eastAsia="Times New Roman"/>
          <w:szCs w:val="20"/>
        </w:rPr>
      </w:pPr>
      <w:r w:rsidRPr="00E26C8E">
        <w:rPr>
          <w:rFonts w:eastAsia="Times New Roman"/>
          <w:szCs w:val="20"/>
        </w:rPr>
        <w:t xml:space="preserve">In accordance with section 36(1)(a) of the </w:t>
      </w:r>
      <w:r w:rsidRPr="00E26C8E">
        <w:rPr>
          <w:rFonts w:eastAsia="Times New Roman"/>
          <w:i/>
          <w:szCs w:val="20"/>
        </w:rPr>
        <w:t>Mining Act 1971</w:t>
      </w:r>
      <w:r w:rsidRPr="00E26C8E">
        <w:rPr>
          <w:rFonts w:eastAsia="Times New Roman"/>
          <w:szCs w:val="20"/>
        </w:rPr>
        <w:t xml:space="preserve"> an application for a mining lease ML for the recovery of metallic and industrial minerals must be made in the form and contain such information as set out in this Terms of References, unless otherwise specified by the Director of Mines or an authorised officer.</w:t>
      </w:r>
    </w:p>
    <w:p w:rsidR="00E26C8E" w:rsidRPr="00E26C8E" w:rsidRDefault="00E26C8E" w:rsidP="00E26C8E">
      <w:pPr>
        <w:ind w:left="142"/>
        <w:rPr>
          <w:rFonts w:eastAsia="Times New Roman"/>
          <w:szCs w:val="20"/>
        </w:rPr>
      </w:pPr>
      <w:r w:rsidRPr="00E26C8E">
        <w:rPr>
          <w:rFonts w:eastAsia="Times New Roman"/>
          <w:szCs w:val="20"/>
        </w:rPr>
        <w:t xml:space="preserve">For the purposes of section 36(1)(a) of the </w:t>
      </w:r>
      <w:r w:rsidRPr="00E26C8E">
        <w:rPr>
          <w:rFonts w:eastAsia="Times New Roman"/>
          <w:i/>
          <w:szCs w:val="20"/>
        </w:rPr>
        <w:t>Mining Act 1971</w:t>
      </w:r>
      <w:r w:rsidRPr="00E26C8E">
        <w:rPr>
          <w:rFonts w:eastAsia="Times New Roman"/>
          <w:szCs w:val="20"/>
        </w:rPr>
        <w:t>, it is determined that an application for a ML must contain the information as follows:</w:t>
      </w:r>
    </w:p>
    <w:p w:rsidR="00E26C8E" w:rsidRPr="00E26C8E" w:rsidRDefault="00E26C8E" w:rsidP="00E26C8E">
      <w:pPr>
        <w:ind w:left="426" w:hanging="284"/>
        <w:rPr>
          <w:rFonts w:eastAsia="Times New Roman"/>
          <w:szCs w:val="20"/>
        </w:rPr>
      </w:pPr>
      <w:r w:rsidRPr="00E26C8E">
        <w:rPr>
          <w:rFonts w:eastAsia="Times New Roman"/>
          <w:szCs w:val="20"/>
        </w:rPr>
        <w:t>•</w:t>
      </w:r>
      <w:r w:rsidRPr="00E26C8E">
        <w:rPr>
          <w:rFonts w:eastAsia="Times New Roman"/>
          <w:szCs w:val="20"/>
        </w:rPr>
        <w:tab/>
        <w:t>Applicant name(s) (company and/or individual and/or related body corporate) and each applicant’s percentage share in the application</w:t>
      </w:r>
    </w:p>
    <w:p w:rsidR="00E26C8E" w:rsidRPr="00E26C8E" w:rsidRDefault="00E26C8E" w:rsidP="00E26C8E">
      <w:pPr>
        <w:ind w:left="426" w:hanging="284"/>
        <w:rPr>
          <w:rFonts w:eastAsia="Times New Roman"/>
          <w:szCs w:val="20"/>
        </w:rPr>
      </w:pPr>
      <w:r w:rsidRPr="00E26C8E">
        <w:rPr>
          <w:rFonts w:eastAsia="Times New Roman"/>
          <w:szCs w:val="20"/>
        </w:rPr>
        <w:t>•</w:t>
      </w:r>
      <w:r w:rsidRPr="00E26C8E">
        <w:rPr>
          <w:rFonts w:eastAsia="Times New Roman"/>
          <w:szCs w:val="20"/>
        </w:rPr>
        <w:tab/>
        <w:t>Name of project</w:t>
      </w:r>
    </w:p>
    <w:p w:rsidR="00E26C8E" w:rsidRPr="00E26C8E" w:rsidRDefault="00E26C8E" w:rsidP="00E26C8E">
      <w:pPr>
        <w:ind w:left="426" w:hanging="284"/>
        <w:rPr>
          <w:rFonts w:eastAsia="Times New Roman"/>
          <w:szCs w:val="20"/>
        </w:rPr>
      </w:pPr>
      <w:r w:rsidRPr="00E26C8E">
        <w:rPr>
          <w:rFonts w:eastAsia="Times New Roman"/>
          <w:szCs w:val="20"/>
        </w:rPr>
        <w:t>•</w:t>
      </w:r>
      <w:r w:rsidRPr="00E26C8E">
        <w:rPr>
          <w:rFonts w:eastAsia="Times New Roman"/>
          <w:szCs w:val="20"/>
        </w:rPr>
        <w:tab/>
        <w:t>Mineral type</w:t>
      </w:r>
    </w:p>
    <w:p w:rsidR="00E26C8E" w:rsidRPr="00E26C8E" w:rsidRDefault="00E26C8E" w:rsidP="00E26C8E">
      <w:pPr>
        <w:ind w:left="426" w:hanging="284"/>
        <w:rPr>
          <w:rFonts w:eastAsia="Times New Roman"/>
          <w:szCs w:val="20"/>
        </w:rPr>
      </w:pPr>
      <w:r w:rsidRPr="00E26C8E">
        <w:rPr>
          <w:rFonts w:eastAsia="Times New Roman"/>
          <w:szCs w:val="20"/>
        </w:rPr>
        <w:t>•</w:t>
      </w:r>
      <w:r w:rsidRPr="00E26C8E">
        <w:rPr>
          <w:rFonts w:eastAsia="Times New Roman"/>
          <w:szCs w:val="20"/>
        </w:rPr>
        <w:tab/>
        <w:t>Mineral(s) to be authorised</w:t>
      </w:r>
    </w:p>
    <w:p w:rsidR="00E26C8E" w:rsidRPr="00E26C8E" w:rsidRDefault="00E26C8E" w:rsidP="00E26C8E">
      <w:pPr>
        <w:ind w:left="426" w:hanging="284"/>
        <w:rPr>
          <w:rFonts w:eastAsia="Times New Roman"/>
          <w:szCs w:val="20"/>
        </w:rPr>
      </w:pPr>
      <w:r w:rsidRPr="00E26C8E">
        <w:rPr>
          <w:rFonts w:eastAsia="Times New Roman"/>
          <w:szCs w:val="20"/>
        </w:rPr>
        <w:t>•</w:t>
      </w:r>
      <w:r w:rsidRPr="00E26C8E">
        <w:rPr>
          <w:rFonts w:eastAsia="Times New Roman"/>
          <w:szCs w:val="20"/>
        </w:rPr>
        <w:tab/>
        <w:t>Primary mineral(s) sought</w:t>
      </w:r>
    </w:p>
    <w:p w:rsidR="00E26C8E" w:rsidRPr="00E26C8E" w:rsidRDefault="00E26C8E" w:rsidP="00E26C8E">
      <w:pPr>
        <w:ind w:left="426" w:hanging="284"/>
        <w:rPr>
          <w:rFonts w:eastAsia="Times New Roman"/>
          <w:szCs w:val="20"/>
        </w:rPr>
      </w:pPr>
      <w:r w:rsidRPr="00E26C8E">
        <w:rPr>
          <w:rFonts w:eastAsia="Times New Roman"/>
          <w:szCs w:val="20"/>
        </w:rPr>
        <w:t>•</w:t>
      </w:r>
      <w:r w:rsidRPr="00E26C8E">
        <w:rPr>
          <w:rFonts w:eastAsia="Times New Roman"/>
          <w:szCs w:val="20"/>
        </w:rPr>
        <w:tab/>
        <w:t>Other mineral(s) sought</w:t>
      </w:r>
    </w:p>
    <w:p w:rsidR="00E26C8E" w:rsidRPr="00E26C8E" w:rsidRDefault="00E26C8E" w:rsidP="00E26C8E">
      <w:pPr>
        <w:ind w:left="426" w:hanging="284"/>
        <w:rPr>
          <w:rFonts w:eastAsia="Times New Roman"/>
          <w:szCs w:val="20"/>
        </w:rPr>
      </w:pPr>
      <w:r w:rsidRPr="00E26C8E">
        <w:rPr>
          <w:rFonts w:eastAsia="Times New Roman"/>
          <w:szCs w:val="20"/>
        </w:rPr>
        <w:t>•</w:t>
      </w:r>
      <w:r w:rsidRPr="00E26C8E">
        <w:rPr>
          <w:rFonts w:eastAsia="Times New Roman"/>
          <w:szCs w:val="20"/>
        </w:rPr>
        <w:tab/>
        <w:t>Details of the tenement(s) giving authority to apply for the Mining Lease</w:t>
      </w:r>
    </w:p>
    <w:p w:rsidR="00E26C8E" w:rsidRPr="00E26C8E" w:rsidRDefault="00E26C8E" w:rsidP="00E26C8E">
      <w:pPr>
        <w:ind w:left="426" w:hanging="284"/>
        <w:rPr>
          <w:rFonts w:eastAsia="Times New Roman"/>
          <w:szCs w:val="20"/>
        </w:rPr>
      </w:pPr>
      <w:r w:rsidRPr="00E26C8E">
        <w:rPr>
          <w:rFonts w:eastAsia="Times New Roman"/>
          <w:szCs w:val="20"/>
        </w:rPr>
        <w:t>•</w:t>
      </w:r>
      <w:r w:rsidRPr="00E26C8E">
        <w:rPr>
          <w:rFonts w:eastAsia="Times New Roman"/>
          <w:szCs w:val="20"/>
        </w:rPr>
        <w:tab/>
        <w:t>Native title land</w:t>
      </w:r>
    </w:p>
    <w:p w:rsidR="00E26C8E" w:rsidRPr="00E26C8E" w:rsidRDefault="00E26C8E" w:rsidP="00E26C8E">
      <w:pPr>
        <w:ind w:left="426" w:hanging="284"/>
        <w:rPr>
          <w:rFonts w:eastAsia="Times New Roman"/>
          <w:szCs w:val="20"/>
        </w:rPr>
      </w:pPr>
      <w:r w:rsidRPr="00E26C8E">
        <w:rPr>
          <w:rFonts w:eastAsia="Times New Roman"/>
          <w:szCs w:val="20"/>
        </w:rPr>
        <w:t>•</w:t>
      </w:r>
      <w:r w:rsidRPr="00E26C8E">
        <w:rPr>
          <w:rFonts w:eastAsia="Times New Roman"/>
          <w:szCs w:val="20"/>
        </w:rPr>
        <w:tab/>
        <w:t>Details of relevant land ownership, notices, consents and agreements</w:t>
      </w:r>
    </w:p>
    <w:p w:rsidR="00E26C8E" w:rsidRPr="00E26C8E" w:rsidRDefault="00E26C8E" w:rsidP="00E26C8E">
      <w:pPr>
        <w:ind w:left="426" w:hanging="284"/>
        <w:rPr>
          <w:rFonts w:eastAsia="Times New Roman"/>
          <w:szCs w:val="20"/>
        </w:rPr>
      </w:pPr>
      <w:r w:rsidRPr="00E26C8E">
        <w:rPr>
          <w:rFonts w:eastAsia="Times New Roman"/>
          <w:szCs w:val="20"/>
        </w:rPr>
        <w:t>•</w:t>
      </w:r>
      <w:r w:rsidRPr="00E26C8E">
        <w:rPr>
          <w:rFonts w:eastAsia="Times New Roman"/>
          <w:szCs w:val="20"/>
        </w:rPr>
        <w:tab/>
        <w:t>Declaration of accuracy</w:t>
      </w:r>
    </w:p>
    <w:p w:rsidR="00E26C8E" w:rsidRPr="00E26C8E" w:rsidRDefault="00E26C8E" w:rsidP="00E26C8E">
      <w:pPr>
        <w:spacing w:after="0" w:line="240" w:lineRule="auto"/>
        <w:jc w:val="left"/>
        <w:rPr>
          <w:rFonts w:eastAsia="Times New Roman"/>
          <w:szCs w:val="20"/>
        </w:rPr>
      </w:pPr>
      <w:r w:rsidRPr="00E26C8E">
        <w:rPr>
          <w:rFonts w:eastAsia="Times New Roman"/>
          <w:szCs w:val="20"/>
        </w:rPr>
        <w:br w:type="page"/>
      </w:r>
    </w:p>
    <w:p w:rsidR="00E26C8E" w:rsidRPr="00E26C8E" w:rsidRDefault="00E26C8E" w:rsidP="00E26C8E">
      <w:pPr>
        <w:ind w:left="426" w:hanging="284"/>
        <w:rPr>
          <w:rFonts w:eastAsia="Times New Roman"/>
          <w:szCs w:val="20"/>
        </w:rPr>
      </w:pPr>
      <w:r w:rsidRPr="00E26C8E">
        <w:rPr>
          <w:rFonts w:eastAsia="Times New Roman"/>
          <w:szCs w:val="20"/>
        </w:rPr>
        <w:t>•</w:t>
      </w:r>
      <w:r w:rsidRPr="00E26C8E">
        <w:rPr>
          <w:rFonts w:eastAsia="Times New Roman"/>
          <w:szCs w:val="20"/>
        </w:rPr>
        <w:tab/>
        <w:t>Applicant(s) details including:</w:t>
      </w:r>
    </w:p>
    <w:p w:rsidR="00E26C8E" w:rsidRPr="00E26C8E" w:rsidRDefault="00E26C8E" w:rsidP="00E26C8E">
      <w:pPr>
        <w:ind w:left="709" w:hanging="283"/>
        <w:rPr>
          <w:rFonts w:eastAsia="Times New Roman"/>
          <w:szCs w:val="20"/>
        </w:rPr>
      </w:pPr>
      <w:r w:rsidRPr="00E26C8E">
        <w:rPr>
          <w:rFonts w:eastAsia="Times New Roman"/>
          <w:szCs w:val="20"/>
        </w:rPr>
        <w:t>◦</w:t>
      </w:r>
      <w:r w:rsidRPr="00E26C8E">
        <w:rPr>
          <w:rFonts w:eastAsia="Times New Roman"/>
          <w:szCs w:val="20"/>
        </w:rPr>
        <w:tab/>
        <w:t>Name of Company and/or Individual</w:t>
      </w:r>
    </w:p>
    <w:p w:rsidR="00E26C8E" w:rsidRPr="00E26C8E" w:rsidRDefault="00E26C8E" w:rsidP="00E26C8E">
      <w:pPr>
        <w:ind w:left="709" w:hanging="283"/>
        <w:rPr>
          <w:rFonts w:eastAsia="Times New Roman"/>
          <w:szCs w:val="20"/>
        </w:rPr>
      </w:pPr>
      <w:r w:rsidRPr="00E26C8E">
        <w:rPr>
          <w:rFonts w:eastAsia="Times New Roman"/>
          <w:szCs w:val="20"/>
        </w:rPr>
        <w:t>◦</w:t>
      </w:r>
      <w:r w:rsidRPr="00E26C8E">
        <w:rPr>
          <w:rFonts w:eastAsia="Times New Roman"/>
          <w:szCs w:val="20"/>
        </w:rPr>
        <w:tab/>
        <w:t>ABN (if applicable)</w:t>
      </w:r>
    </w:p>
    <w:p w:rsidR="00E26C8E" w:rsidRPr="00E26C8E" w:rsidRDefault="00E26C8E" w:rsidP="00E26C8E">
      <w:pPr>
        <w:ind w:left="709" w:hanging="283"/>
        <w:rPr>
          <w:rFonts w:eastAsia="Times New Roman"/>
          <w:szCs w:val="20"/>
        </w:rPr>
      </w:pPr>
      <w:r w:rsidRPr="00E26C8E">
        <w:rPr>
          <w:rFonts w:eastAsia="Times New Roman"/>
          <w:szCs w:val="20"/>
        </w:rPr>
        <w:t>◦</w:t>
      </w:r>
      <w:r w:rsidRPr="00E26C8E">
        <w:rPr>
          <w:rFonts w:eastAsia="Times New Roman"/>
          <w:szCs w:val="20"/>
        </w:rPr>
        <w:tab/>
        <w:t>ACN (if applicable)</w:t>
      </w:r>
    </w:p>
    <w:p w:rsidR="00E26C8E" w:rsidRPr="00E26C8E" w:rsidRDefault="00E26C8E" w:rsidP="00E26C8E">
      <w:pPr>
        <w:ind w:left="709" w:hanging="283"/>
        <w:rPr>
          <w:rFonts w:eastAsia="Times New Roman"/>
          <w:szCs w:val="20"/>
        </w:rPr>
      </w:pPr>
      <w:r w:rsidRPr="00E26C8E">
        <w:rPr>
          <w:rFonts w:eastAsia="Times New Roman"/>
          <w:szCs w:val="20"/>
        </w:rPr>
        <w:t>◦</w:t>
      </w:r>
      <w:r w:rsidRPr="00E26C8E">
        <w:rPr>
          <w:rFonts w:eastAsia="Times New Roman"/>
          <w:szCs w:val="20"/>
        </w:rPr>
        <w:tab/>
        <w:t>Registered address</w:t>
      </w:r>
    </w:p>
    <w:p w:rsidR="00E26C8E" w:rsidRPr="00E26C8E" w:rsidRDefault="00E26C8E" w:rsidP="00E26C8E">
      <w:pPr>
        <w:ind w:left="709" w:hanging="283"/>
        <w:rPr>
          <w:rFonts w:eastAsia="Times New Roman"/>
          <w:szCs w:val="20"/>
        </w:rPr>
      </w:pPr>
      <w:r w:rsidRPr="00E26C8E">
        <w:rPr>
          <w:rFonts w:eastAsia="Times New Roman"/>
          <w:szCs w:val="20"/>
        </w:rPr>
        <w:t>◦</w:t>
      </w:r>
      <w:r w:rsidRPr="00E26C8E">
        <w:rPr>
          <w:rFonts w:eastAsia="Times New Roman"/>
          <w:szCs w:val="20"/>
        </w:rPr>
        <w:tab/>
        <w:t>Applicant contact details including:</w:t>
      </w:r>
    </w:p>
    <w:p w:rsidR="00E26C8E" w:rsidRPr="00E26C8E" w:rsidRDefault="00E26C8E" w:rsidP="00E26C8E">
      <w:pPr>
        <w:ind w:left="993" w:hanging="284"/>
        <w:rPr>
          <w:rFonts w:eastAsia="Times New Roman"/>
          <w:szCs w:val="20"/>
        </w:rPr>
      </w:pPr>
      <w:r w:rsidRPr="00E26C8E">
        <w:rPr>
          <w:rFonts w:eastAsia="Times New Roman"/>
          <w:szCs w:val="20"/>
        </w:rPr>
        <w:t>-</w:t>
      </w:r>
      <w:r w:rsidRPr="00E26C8E">
        <w:rPr>
          <w:rFonts w:eastAsia="Times New Roman"/>
          <w:szCs w:val="20"/>
        </w:rPr>
        <w:tab/>
        <w:t>Postal Address</w:t>
      </w:r>
    </w:p>
    <w:p w:rsidR="00E26C8E" w:rsidRPr="00E26C8E" w:rsidRDefault="00E26C8E" w:rsidP="00E26C8E">
      <w:pPr>
        <w:ind w:left="993" w:hanging="284"/>
        <w:rPr>
          <w:rFonts w:eastAsia="Times New Roman"/>
          <w:szCs w:val="20"/>
        </w:rPr>
      </w:pPr>
      <w:r w:rsidRPr="00E26C8E">
        <w:rPr>
          <w:rFonts w:eastAsia="Times New Roman"/>
          <w:szCs w:val="20"/>
        </w:rPr>
        <w:t>-</w:t>
      </w:r>
      <w:r w:rsidRPr="00E26C8E">
        <w:rPr>
          <w:rFonts w:eastAsia="Times New Roman"/>
          <w:szCs w:val="20"/>
        </w:rPr>
        <w:tab/>
        <w:t>Email</w:t>
      </w:r>
    </w:p>
    <w:p w:rsidR="00E26C8E" w:rsidRPr="00E26C8E" w:rsidRDefault="00E26C8E" w:rsidP="00E26C8E">
      <w:pPr>
        <w:ind w:left="993" w:hanging="284"/>
        <w:rPr>
          <w:rFonts w:eastAsia="Times New Roman"/>
          <w:szCs w:val="20"/>
        </w:rPr>
      </w:pPr>
      <w:r w:rsidRPr="00E26C8E">
        <w:rPr>
          <w:rFonts w:eastAsia="Times New Roman"/>
          <w:szCs w:val="20"/>
        </w:rPr>
        <w:t>-</w:t>
      </w:r>
      <w:r w:rsidRPr="00E26C8E">
        <w:rPr>
          <w:rFonts w:eastAsia="Times New Roman"/>
          <w:szCs w:val="20"/>
        </w:rPr>
        <w:tab/>
        <w:t>Website</w:t>
      </w:r>
    </w:p>
    <w:p w:rsidR="00E26C8E" w:rsidRPr="00E26C8E" w:rsidRDefault="00E26C8E" w:rsidP="00E26C8E">
      <w:pPr>
        <w:ind w:left="993" w:hanging="284"/>
        <w:rPr>
          <w:rFonts w:eastAsia="Times New Roman"/>
          <w:szCs w:val="20"/>
        </w:rPr>
      </w:pPr>
      <w:r w:rsidRPr="00E26C8E">
        <w:rPr>
          <w:rFonts w:eastAsia="Times New Roman"/>
          <w:szCs w:val="20"/>
        </w:rPr>
        <w:t>-</w:t>
      </w:r>
      <w:r w:rsidRPr="00E26C8E">
        <w:rPr>
          <w:rFonts w:eastAsia="Times New Roman"/>
          <w:szCs w:val="20"/>
        </w:rPr>
        <w:tab/>
        <w:t>Phone number(s)</w:t>
      </w:r>
    </w:p>
    <w:p w:rsidR="00E26C8E" w:rsidRPr="00E26C8E" w:rsidRDefault="00E26C8E" w:rsidP="00E26C8E">
      <w:pPr>
        <w:ind w:left="709" w:hanging="283"/>
        <w:rPr>
          <w:rFonts w:eastAsia="Times New Roman"/>
          <w:szCs w:val="20"/>
        </w:rPr>
      </w:pPr>
      <w:r w:rsidRPr="00E26C8E">
        <w:rPr>
          <w:rFonts w:eastAsia="Times New Roman"/>
          <w:szCs w:val="20"/>
        </w:rPr>
        <w:t>◦</w:t>
      </w:r>
      <w:r w:rsidRPr="00E26C8E">
        <w:rPr>
          <w:rFonts w:eastAsia="Times New Roman"/>
          <w:szCs w:val="20"/>
        </w:rPr>
        <w:tab/>
        <w:t>Contact Person details including:</w:t>
      </w:r>
    </w:p>
    <w:p w:rsidR="00E26C8E" w:rsidRPr="00E26C8E" w:rsidRDefault="00E26C8E" w:rsidP="00E26C8E">
      <w:pPr>
        <w:ind w:left="993" w:hanging="284"/>
        <w:rPr>
          <w:rFonts w:eastAsia="Times New Roman"/>
          <w:szCs w:val="20"/>
        </w:rPr>
      </w:pPr>
      <w:r w:rsidRPr="00E26C8E">
        <w:rPr>
          <w:rFonts w:eastAsia="Times New Roman"/>
          <w:szCs w:val="20"/>
        </w:rPr>
        <w:t>-</w:t>
      </w:r>
      <w:r w:rsidRPr="00E26C8E">
        <w:rPr>
          <w:rFonts w:eastAsia="Times New Roman"/>
          <w:szCs w:val="20"/>
        </w:rPr>
        <w:tab/>
        <w:t>Name</w:t>
      </w:r>
    </w:p>
    <w:p w:rsidR="00E26C8E" w:rsidRPr="00E26C8E" w:rsidRDefault="00E26C8E" w:rsidP="00E26C8E">
      <w:pPr>
        <w:ind w:left="993" w:hanging="284"/>
        <w:rPr>
          <w:rFonts w:eastAsia="Times New Roman"/>
          <w:szCs w:val="20"/>
        </w:rPr>
      </w:pPr>
      <w:r w:rsidRPr="00E26C8E">
        <w:rPr>
          <w:rFonts w:eastAsia="Times New Roman"/>
          <w:szCs w:val="20"/>
        </w:rPr>
        <w:t>-</w:t>
      </w:r>
      <w:r w:rsidRPr="00E26C8E">
        <w:rPr>
          <w:rFonts w:eastAsia="Times New Roman"/>
          <w:szCs w:val="20"/>
        </w:rPr>
        <w:tab/>
        <w:t>Position Title</w:t>
      </w:r>
    </w:p>
    <w:p w:rsidR="00E26C8E" w:rsidRPr="00E26C8E" w:rsidRDefault="00E26C8E" w:rsidP="00E26C8E">
      <w:pPr>
        <w:ind w:left="993" w:hanging="284"/>
        <w:rPr>
          <w:rFonts w:eastAsia="Times New Roman"/>
          <w:szCs w:val="20"/>
        </w:rPr>
      </w:pPr>
      <w:r w:rsidRPr="00E26C8E">
        <w:rPr>
          <w:rFonts w:eastAsia="Times New Roman"/>
          <w:szCs w:val="20"/>
        </w:rPr>
        <w:t>-</w:t>
      </w:r>
      <w:r w:rsidRPr="00E26C8E">
        <w:rPr>
          <w:rFonts w:eastAsia="Times New Roman"/>
          <w:szCs w:val="20"/>
        </w:rPr>
        <w:tab/>
        <w:t>Email</w:t>
      </w:r>
    </w:p>
    <w:p w:rsidR="00E26C8E" w:rsidRPr="00E26C8E" w:rsidRDefault="00E26C8E" w:rsidP="00E26C8E">
      <w:pPr>
        <w:ind w:left="993" w:hanging="284"/>
        <w:rPr>
          <w:rFonts w:eastAsia="Times New Roman"/>
          <w:szCs w:val="20"/>
        </w:rPr>
      </w:pPr>
      <w:r w:rsidRPr="00E26C8E">
        <w:rPr>
          <w:rFonts w:eastAsia="Times New Roman"/>
          <w:szCs w:val="20"/>
        </w:rPr>
        <w:t>-</w:t>
      </w:r>
      <w:r w:rsidRPr="00E26C8E">
        <w:rPr>
          <w:rFonts w:eastAsia="Times New Roman"/>
          <w:szCs w:val="20"/>
        </w:rPr>
        <w:tab/>
        <w:t>Phone number(s)</w:t>
      </w:r>
    </w:p>
    <w:p w:rsidR="00E26C8E" w:rsidRPr="00E26C8E" w:rsidRDefault="00E26C8E" w:rsidP="00E26C8E">
      <w:pPr>
        <w:ind w:left="993" w:hanging="284"/>
        <w:rPr>
          <w:rFonts w:eastAsia="Times New Roman"/>
          <w:szCs w:val="20"/>
        </w:rPr>
      </w:pPr>
      <w:r w:rsidRPr="00E26C8E">
        <w:rPr>
          <w:rFonts w:eastAsia="Times New Roman"/>
          <w:szCs w:val="20"/>
        </w:rPr>
        <w:t>-</w:t>
      </w:r>
      <w:r w:rsidRPr="00E26C8E">
        <w:rPr>
          <w:rFonts w:eastAsia="Times New Roman"/>
          <w:szCs w:val="20"/>
        </w:rPr>
        <w:tab/>
        <w:t>Consent to receive electronic correspondence (or otherwise)</w:t>
      </w:r>
    </w:p>
    <w:p w:rsidR="00E26C8E" w:rsidRPr="00E26C8E" w:rsidRDefault="00E26C8E" w:rsidP="00E26C8E">
      <w:pPr>
        <w:ind w:left="142"/>
        <w:rPr>
          <w:rFonts w:eastAsia="Times New Roman"/>
          <w:szCs w:val="20"/>
        </w:rPr>
      </w:pPr>
      <w:r w:rsidRPr="00E26C8E">
        <w:rPr>
          <w:rFonts w:eastAsia="Times New Roman"/>
          <w:szCs w:val="20"/>
        </w:rPr>
        <w:t xml:space="preserve">In accordance with section 49(1)(a) of the </w:t>
      </w:r>
      <w:r w:rsidRPr="00E26C8E">
        <w:rPr>
          <w:rFonts w:eastAsia="Times New Roman"/>
          <w:i/>
          <w:szCs w:val="20"/>
        </w:rPr>
        <w:t>Mining Act 1971</w:t>
      </w:r>
      <w:r w:rsidRPr="00E26C8E">
        <w:rPr>
          <w:rFonts w:eastAsia="Times New Roman"/>
          <w:szCs w:val="20"/>
        </w:rPr>
        <w:t xml:space="preserve"> an application for a miscellaneous purpose licence (MPL) ancillary to the recovery of metallic and industrial minerals must be made in the form and contain such information as set out in this Terms of References, unless otherwise specified by the Director of Mines or an authorised officer.</w:t>
      </w:r>
    </w:p>
    <w:p w:rsidR="00E26C8E" w:rsidRPr="00E26C8E" w:rsidRDefault="00E26C8E" w:rsidP="00E26C8E">
      <w:pPr>
        <w:ind w:left="142"/>
        <w:rPr>
          <w:rFonts w:eastAsia="Times New Roman"/>
          <w:szCs w:val="20"/>
        </w:rPr>
      </w:pPr>
      <w:r w:rsidRPr="00E26C8E">
        <w:rPr>
          <w:rFonts w:eastAsia="Times New Roman"/>
          <w:szCs w:val="20"/>
        </w:rPr>
        <w:t xml:space="preserve">For the purposes of section 49(1)(a) of the </w:t>
      </w:r>
      <w:r w:rsidRPr="00E26C8E">
        <w:rPr>
          <w:rFonts w:eastAsia="Times New Roman"/>
          <w:i/>
          <w:szCs w:val="20"/>
        </w:rPr>
        <w:t>Mining Act 1971</w:t>
      </w:r>
      <w:r w:rsidRPr="00E26C8E">
        <w:rPr>
          <w:rFonts w:eastAsia="Times New Roman"/>
          <w:szCs w:val="20"/>
        </w:rPr>
        <w:t>, it is determined that an application for a MPL must contain the information as follows:</w:t>
      </w:r>
    </w:p>
    <w:p w:rsidR="00E26C8E" w:rsidRPr="00E26C8E" w:rsidRDefault="00E26C8E" w:rsidP="00E26C8E">
      <w:pPr>
        <w:ind w:left="426" w:hanging="284"/>
        <w:rPr>
          <w:rFonts w:eastAsia="Times New Roman"/>
          <w:szCs w:val="20"/>
        </w:rPr>
      </w:pPr>
      <w:r w:rsidRPr="00E26C8E">
        <w:rPr>
          <w:rFonts w:eastAsia="Times New Roman"/>
          <w:szCs w:val="20"/>
        </w:rPr>
        <w:t>•</w:t>
      </w:r>
      <w:r w:rsidRPr="00E26C8E">
        <w:rPr>
          <w:rFonts w:eastAsia="Times New Roman"/>
          <w:szCs w:val="20"/>
        </w:rPr>
        <w:tab/>
        <w:t>Applicant name(s) (company and/or individual and/or related body corporate) and each applicants percentage share in the application</w:t>
      </w:r>
    </w:p>
    <w:p w:rsidR="00E26C8E" w:rsidRPr="00E26C8E" w:rsidRDefault="00E26C8E" w:rsidP="00E26C8E">
      <w:pPr>
        <w:ind w:left="426" w:hanging="284"/>
        <w:rPr>
          <w:rFonts w:eastAsia="Times New Roman"/>
          <w:szCs w:val="20"/>
        </w:rPr>
      </w:pPr>
      <w:r w:rsidRPr="00E26C8E">
        <w:rPr>
          <w:rFonts w:eastAsia="Times New Roman"/>
          <w:szCs w:val="20"/>
        </w:rPr>
        <w:t>•</w:t>
      </w:r>
      <w:r w:rsidRPr="00E26C8E">
        <w:rPr>
          <w:rFonts w:eastAsia="Times New Roman"/>
          <w:szCs w:val="20"/>
        </w:rPr>
        <w:tab/>
        <w:t>Name of project</w:t>
      </w:r>
    </w:p>
    <w:p w:rsidR="00E26C8E" w:rsidRPr="00E26C8E" w:rsidRDefault="00E26C8E" w:rsidP="00E26C8E">
      <w:pPr>
        <w:ind w:left="426" w:hanging="284"/>
        <w:rPr>
          <w:rFonts w:eastAsia="Times New Roman"/>
          <w:szCs w:val="20"/>
        </w:rPr>
      </w:pPr>
      <w:r w:rsidRPr="00E26C8E">
        <w:rPr>
          <w:rFonts w:eastAsia="Times New Roman"/>
          <w:szCs w:val="20"/>
        </w:rPr>
        <w:t>•</w:t>
      </w:r>
      <w:r w:rsidRPr="00E26C8E">
        <w:rPr>
          <w:rFonts w:eastAsia="Times New Roman"/>
          <w:szCs w:val="20"/>
        </w:rPr>
        <w:tab/>
        <w:t>Related applications/mining operations</w:t>
      </w:r>
    </w:p>
    <w:p w:rsidR="00E26C8E" w:rsidRPr="00E26C8E" w:rsidRDefault="00E26C8E" w:rsidP="00E26C8E">
      <w:pPr>
        <w:ind w:left="426" w:hanging="284"/>
        <w:rPr>
          <w:rFonts w:eastAsia="Times New Roman"/>
          <w:szCs w:val="20"/>
        </w:rPr>
      </w:pPr>
      <w:r w:rsidRPr="00E26C8E">
        <w:rPr>
          <w:rFonts w:eastAsia="Times New Roman"/>
          <w:szCs w:val="20"/>
        </w:rPr>
        <w:t>•</w:t>
      </w:r>
      <w:r w:rsidRPr="00E26C8E">
        <w:rPr>
          <w:rFonts w:eastAsia="Times New Roman"/>
          <w:szCs w:val="20"/>
        </w:rPr>
        <w:tab/>
        <w:t>Location of proposed licence including a detailed map/plan (if required)</w:t>
      </w:r>
    </w:p>
    <w:p w:rsidR="00E26C8E" w:rsidRPr="00E26C8E" w:rsidRDefault="00E26C8E" w:rsidP="00E26C8E">
      <w:pPr>
        <w:ind w:left="426" w:hanging="284"/>
        <w:rPr>
          <w:rFonts w:eastAsia="Times New Roman"/>
          <w:szCs w:val="20"/>
        </w:rPr>
      </w:pPr>
      <w:r w:rsidRPr="00E26C8E">
        <w:rPr>
          <w:rFonts w:eastAsia="Times New Roman"/>
          <w:szCs w:val="20"/>
        </w:rPr>
        <w:t>•</w:t>
      </w:r>
      <w:r w:rsidRPr="00E26C8E">
        <w:rPr>
          <w:rFonts w:eastAsia="Times New Roman"/>
          <w:szCs w:val="20"/>
        </w:rPr>
        <w:tab/>
        <w:t>Purpose of proposed licence</w:t>
      </w:r>
    </w:p>
    <w:p w:rsidR="00E26C8E" w:rsidRPr="00E26C8E" w:rsidRDefault="00E26C8E" w:rsidP="00E26C8E">
      <w:pPr>
        <w:ind w:left="426" w:hanging="284"/>
        <w:rPr>
          <w:rFonts w:eastAsia="Times New Roman"/>
          <w:szCs w:val="20"/>
        </w:rPr>
      </w:pPr>
      <w:r w:rsidRPr="00E26C8E">
        <w:rPr>
          <w:rFonts w:eastAsia="Times New Roman"/>
          <w:szCs w:val="20"/>
        </w:rPr>
        <w:t>•</w:t>
      </w:r>
      <w:r w:rsidRPr="00E26C8E">
        <w:rPr>
          <w:rFonts w:eastAsia="Times New Roman"/>
          <w:szCs w:val="20"/>
        </w:rPr>
        <w:tab/>
        <w:t>Pegging details relating to proposed licence area</w:t>
      </w:r>
    </w:p>
    <w:p w:rsidR="00E26C8E" w:rsidRPr="00E26C8E" w:rsidRDefault="00E26C8E" w:rsidP="00E26C8E">
      <w:pPr>
        <w:ind w:left="426" w:hanging="284"/>
        <w:rPr>
          <w:rFonts w:eastAsia="Times New Roman"/>
          <w:szCs w:val="20"/>
        </w:rPr>
      </w:pPr>
      <w:r w:rsidRPr="00E26C8E">
        <w:rPr>
          <w:rFonts w:eastAsia="Times New Roman"/>
          <w:szCs w:val="20"/>
        </w:rPr>
        <w:t>•</w:t>
      </w:r>
      <w:r w:rsidRPr="00E26C8E">
        <w:rPr>
          <w:rFonts w:eastAsia="Times New Roman"/>
          <w:szCs w:val="20"/>
        </w:rPr>
        <w:tab/>
        <w:t>Native title land</w:t>
      </w:r>
    </w:p>
    <w:p w:rsidR="00E26C8E" w:rsidRPr="00E26C8E" w:rsidRDefault="00E26C8E" w:rsidP="00E26C8E">
      <w:pPr>
        <w:ind w:left="426" w:hanging="284"/>
        <w:rPr>
          <w:rFonts w:eastAsia="Times New Roman"/>
          <w:szCs w:val="20"/>
        </w:rPr>
      </w:pPr>
      <w:r w:rsidRPr="00E26C8E">
        <w:rPr>
          <w:rFonts w:eastAsia="Times New Roman"/>
          <w:szCs w:val="20"/>
        </w:rPr>
        <w:t>•</w:t>
      </w:r>
      <w:r w:rsidRPr="00E26C8E">
        <w:rPr>
          <w:rFonts w:eastAsia="Times New Roman"/>
          <w:szCs w:val="20"/>
        </w:rPr>
        <w:tab/>
        <w:t>Details of relevant land ownership, notices, consents and agreements</w:t>
      </w:r>
    </w:p>
    <w:p w:rsidR="00E26C8E" w:rsidRPr="00E26C8E" w:rsidRDefault="00E26C8E" w:rsidP="00E26C8E">
      <w:pPr>
        <w:ind w:left="426" w:hanging="284"/>
        <w:rPr>
          <w:rFonts w:eastAsia="Times New Roman"/>
          <w:szCs w:val="20"/>
        </w:rPr>
      </w:pPr>
      <w:r w:rsidRPr="00E26C8E">
        <w:rPr>
          <w:rFonts w:eastAsia="Times New Roman"/>
          <w:szCs w:val="20"/>
        </w:rPr>
        <w:t>•</w:t>
      </w:r>
      <w:r w:rsidRPr="00E26C8E">
        <w:rPr>
          <w:rFonts w:eastAsia="Times New Roman"/>
          <w:szCs w:val="20"/>
        </w:rPr>
        <w:tab/>
        <w:t>Declaration of accuracy</w:t>
      </w:r>
    </w:p>
    <w:p w:rsidR="00E26C8E" w:rsidRPr="00E26C8E" w:rsidRDefault="00E26C8E" w:rsidP="00E26C8E">
      <w:pPr>
        <w:ind w:left="426" w:hanging="284"/>
        <w:rPr>
          <w:rFonts w:eastAsia="Times New Roman"/>
          <w:szCs w:val="20"/>
        </w:rPr>
      </w:pPr>
      <w:r w:rsidRPr="00E26C8E">
        <w:rPr>
          <w:rFonts w:eastAsia="Times New Roman"/>
          <w:szCs w:val="20"/>
        </w:rPr>
        <w:t>•</w:t>
      </w:r>
      <w:r w:rsidRPr="00E26C8E">
        <w:rPr>
          <w:rFonts w:eastAsia="Times New Roman"/>
          <w:szCs w:val="20"/>
        </w:rPr>
        <w:tab/>
        <w:t>Applicant(s) details including:</w:t>
      </w:r>
    </w:p>
    <w:p w:rsidR="00E26C8E" w:rsidRPr="00E26C8E" w:rsidRDefault="00E26C8E" w:rsidP="00E26C8E">
      <w:pPr>
        <w:ind w:left="709" w:hanging="283"/>
        <w:rPr>
          <w:rFonts w:eastAsia="Times New Roman"/>
          <w:szCs w:val="20"/>
        </w:rPr>
      </w:pPr>
      <w:r w:rsidRPr="00E26C8E">
        <w:rPr>
          <w:rFonts w:eastAsia="Times New Roman"/>
          <w:szCs w:val="20"/>
        </w:rPr>
        <w:t>◦</w:t>
      </w:r>
      <w:r w:rsidRPr="00E26C8E">
        <w:rPr>
          <w:rFonts w:eastAsia="Times New Roman"/>
          <w:szCs w:val="20"/>
        </w:rPr>
        <w:tab/>
        <w:t>Name of Company and/or Individual</w:t>
      </w:r>
    </w:p>
    <w:p w:rsidR="00E26C8E" w:rsidRPr="00E26C8E" w:rsidRDefault="00E26C8E" w:rsidP="00E26C8E">
      <w:pPr>
        <w:ind w:left="709" w:hanging="283"/>
        <w:rPr>
          <w:rFonts w:eastAsia="Times New Roman"/>
          <w:szCs w:val="20"/>
        </w:rPr>
      </w:pPr>
      <w:r w:rsidRPr="00E26C8E">
        <w:rPr>
          <w:rFonts w:eastAsia="Times New Roman"/>
          <w:szCs w:val="20"/>
        </w:rPr>
        <w:t>◦</w:t>
      </w:r>
      <w:r w:rsidRPr="00E26C8E">
        <w:rPr>
          <w:rFonts w:eastAsia="Times New Roman"/>
          <w:szCs w:val="20"/>
        </w:rPr>
        <w:tab/>
        <w:t>ABN (if applicable)</w:t>
      </w:r>
    </w:p>
    <w:p w:rsidR="00E26C8E" w:rsidRPr="00E26C8E" w:rsidRDefault="00E26C8E" w:rsidP="00E26C8E">
      <w:pPr>
        <w:ind w:left="709" w:hanging="283"/>
        <w:rPr>
          <w:rFonts w:eastAsia="Times New Roman"/>
          <w:szCs w:val="20"/>
        </w:rPr>
      </w:pPr>
      <w:r w:rsidRPr="00E26C8E">
        <w:rPr>
          <w:rFonts w:eastAsia="Times New Roman"/>
          <w:szCs w:val="20"/>
        </w:rPr>
        <w:t>◦</w:t>
      </w:r>
      <w:r w:rsidRPr="00E26C8E">
        <w:rPr>
          <w:rFonts w:eastAsia="Times New Roman"/>
          <w:szCs w:val="20"/>
        </w:rPr>
        <w:tab/>
        <w:t>ACN (if applicable)</w:t>
      </w:r>
    </w:p>
    <w:p w:rsidR="00E26C8E" w:rsidRPr="00E26C8E" w:rsidRDefault="00E26C8E" w:rsidP="00E26C8E">
      <w:pPr>
        <w:ind w:left="709" w:hanging="283"/>
        <w:rPr>
          <w:rFonts w:eastAsia="Times New Roman"/>
          <w:szCs w:val="20"/>
        </w:rPr>
      </w:pPr>
      <w:r w:rsidRPr="00E26C8E">
        <w:rPr>
          <w:rFonts w:eastAsia="Times New Roman"/>
          <w:szCs w:val="20"/>
        </w:rPr>
        <w:t>◦</w:t>
      </w:r>
      <w:r w:rsidRPr="00E26C8E">
        <w:rPr>
          <w:rFonts w:eastAsia="Times New Roman"/>
          <w:szCs w:val="20"/>
        </w:rPr>
        <w:tab/>
        <w:t>Registered address</w:t>
      </w:r>
    </w:p>
    <w:p w:rsidR="00E26C8E" w:rsidRPr="00E26C8E" w:rsidRDefault="00E26C8E" w:rsidP="00E26C8E">
      <w:pPr>
        <w:ind w:left="709" w:hanging="283"/>
        <w:rPr>
          <w:rFonts w:eastAsia="Times New Roman"/>
          <w:szCs w:val="20"/>
        </w:rPr>
      </w:pPr>
      <w:r w:rsidRPr="00E26C8E">
        <w:rPr>
          <w:rFonts w:eastAsia="Times New Roman"/>
          <w:szCs w:val="20"/>
        </w:rPr>
        <w:t>◦</w:t>
      </w:r>
      <w:r w:rsidRPr="00E26C8E">
        <w:rPr>
          <w:rFonts w:eastAsia="Times New Roman"/>
          <w:szCs w:val="20"/>
        </w:rPr>
        <w:tab/>
        <w:t>Applicant contact details including:</w:t>
      </w:r>
    </w:p>
    <w:p w:rsidR="00E26C8E" w:rsidRPr="00E26C8E" w:rsidRDefault="00E26C8E" w:rsidP="00E26C8E">
      <w:pPr>
        <w:ind w:left="993" w:hanging="284"/>
        <w:rPr>
          <w:rFonts w:eastAsia="Times New Roman"/>
          <w:szCs w:val="20"/>
        </w:rPr>
      </w:pPr>
      <w:r w:rsidRPr="00E26C8E">
        <w:rPr>
          <w:rFonts w:eastAsia="Times New Roman"/>
          <w:szCs w:val="20"/>
        </w:rPr>
        <w:t>-</w:t>
      </w:r>
      <w:r w:rsidRPr="00E26C8E">
        <w:rPr>
          <w:rFonts w:eastAsia="Times New Roman"/>
          <w:szCs w:val="20"/>
        </w:rPr>
        <w:tab/>
        <w:t>Postal Address</w:t>
      </w:r>
    </w:p>
    <w:p w:rsidR="00E26C8E" w:rsidRPr="00E26C8E" w:rsidRDefault="00E26C8E" w:rsidP="00E26C8E">
      <w:pPr>
        <w:ind w:left="993" w:hanging="284"/>
        <w:rPr>
          <w:rFonts w:eastAsia="Times New Roman"/>
          <w:szCs w:val="20"/>
        </w:rPr>
      </w:pPr>
      <w:r w:rsidRPr="00E26C8E">
        <w:rPr>
          <w:rFonts w:eastAsia="Times New Roman"/>
          <w:szCs w:val="20"/>
        </w:rPr>
        <w:t>-</w:t>
      </w:r>
      <w:r w:rsidRPr="00E26C8E">
        <w:rPr>
          <w:rFonts w:eastAsia="Times New Roman"/>
          <w:szCs w:val="20"/>
        </w:rPr>
        <w:tab/>
        <w:t>Email</w:t>
      </w:r>
    </w:p>
    <w:p w:rsidR="00E26C8E" w:rsidRPr="00E26C8E" w:rsidRDefault="00E26C8E" w:rsidP="00E26C8E">
      <w:pPr>
        <w:ind w:left="993" w:hanging="284"/>
        <w:rPr>
          <w:rFonts w:eastAsia="Times New Roman"/>
          <w:szCs w:val="20"/>
        </w:rPr>
      </w:pPr>
      <w:r w:rsidRPr="00E26C8E">
        <w:rPr>
          <w:rFonts w:eastAsia="Times New Roman"/>
          <w:szCs w:val="20"/>
        </w:rPr>
        <w:t>-</w:t>
      </w:r>
      <w:r w:rsidRPr="00E26C8E">
        <w:rPr>
          <w:rFonts w:eastAsia="Times New Roman"/>
          <w:szCs w:val="20"/>
        </w:rPr>
        <w:tab/>
        <w:t>Website</w:t>
      </w:r>
    </w:p>
    <w:p w:rsidR="00E26C8E" w:rsidRPr="00E26C8E" w:rsidRDefault="00E26C8E" w:rsidP="00E26C8E">
      <w:pPr>
        <w:ind w:left="993" w:hanging="284"/>
        <w:rPr>
          <w:rFonts w:eastAsia="Times New Roman"/>
          <w:szCs w:val="20"/>
        </w:rPr>
      </w:pPr>
      <w:r w:rsidRPr="00E26C8E">
        <w:rPr>
          <w:rFonts w:eastAsia="Times New Roman"/>
          <w:szCs w:val="20"/>
        </w:rPr>
        <w:t>-</w:t>
      </w:r>
      <w:r w:rsidRPr="00E26C8E">
        <w:rPr>
          <w:rFonts w:eastAsia="Times New Roman"/>
          <w:szCs w:val="20"/>
        </w:rPr>
        <w:tab/>
        <w:t>Phone number(s)</w:t>
      </w:r>
    </w:p>
    <w:p w:rsidR="00E26C8E" w:rsidRPr="00E26C8E" w:rsidRDefault="00E26C8E" w:rsidP="00E26C8E">
      <w:pPr>
        <w:ind w:left="709" w:hanging="283"/>
        <w:rPr>
          <w:rFonts w:eastAsia="Times New Roman"/>
          <w:szCs w:val="20"/>
        </w:rPr>
      </w:pPr>
      <w:r w:rsidRPr="00E26C8E">
        <w:rPr>
          <w:rFonts w:eastAsia="Times New Roman"/>
          <w:szCs w:val="20"/>
        </w:rPr>
        <w:t>◦</w:t>
      </w:r>
      <w:r w:rsidRPr="00E26C8E">
        <w:rPr>
          <w:rFonts w:eastAsia="Times New Roman"/>
          <w:szCs w:val="20"/>
        </w:rPr>
        <w:tab/>
        <w:t>Contact Person details including:</w:t>
      </w:r>
    </w:p>
    <w:p w:rsidR="00E26C8E" w:rsidRPr="00E26C8E" w:rsidRDefault="00E26C8E" w:rsidP="00E26C8E">
      <w:pPr>
        <w:ind w:left="993" w:hanging="284"/>
        <w:rPr>
          <w:rFonts w:eastAsia="Times New Roman"/>
          <w:szCs w:val="20"/>
        </w:rPr>
      </w:pPr>
      <w:r w:rsidRPr="00E26C8E">
        <w:rPr>
          <w:rFonts w:eastAsia="Times New Roman"/>
          <w:szCs w:val="20"/>
        </w:rPr>
        <w:t>-</w:t>
      </w:r>
      <w:r w:rsidRPr="00E26C8E">
        <w:rPr>
          <w:rFonts w:eastAsia="Times New Roman"/>
          <w:szCs w:val="20"/>
        </w:rPr>
        <w:tab/>
        <w:t>Name</w:t>
      </w:r>
    </w:p>
    <w:p w:rsidR="00E26C8E" w:rsidRPr="00E26C8E" w:rsidRDefault="00E26C8E" w:rsidP="00E26C8E">
      <w:pPr>
        <w:ind w:left="993" w:hanging="284"/>
        <w:rPr>
          <w:rFonts w:eastAsia="Times New Roman"/>
          <w:szCs w:val="20"/>
        </w:rPr>
      </w:pPr>
      <w:r w:rsidRPr="00E26C8E">
        <w:rPr>
          <w:rFonts w:eastAsia="Times New Roman"/>
          <w:szCs w:val="20"/>
        </w:rPr>
        <w:t>-</w:t>
      </w:r>
      <w:r w:rsidRPr="00E26C8E">
        <w:rPr>
          <w:rFonts w:eastAsia="Times New Roman"/>
          <w:szCs w:val="20"/>
        </w:rPr>
        <w:tab/>
        <w:t>Position Title</w:t>
      </w:r>
    </w:p>
    <w:p w:rsidR="00E26C8E" w:rsidRPr="00E26C8E" w:rsidRDefault="00E26C8E" w:rsidP="00E26C8E">
      <w:pPr>
        <w:ind w:left="993" w:hanging="284"/>
        <w:rPr>
          <w:rFonts w:eastAsia="Times New Roman"/>
          <w:szCs w:val="20"/>
        </w:rPr>
      </w:pPr>
      <w:r w:rsidRPr="00E26C8E">
        <w:rPr>
          <w:rFonts w:eastAsia="Times New Roman"/>
          <w:szCs w:val="20"/>
        </w:rPr>
        <w:t>-</w:t>
      </w:r>
      <w:r w:rsidRPr="00E26C8E">
        <w:rPr>
          <w:rFonts w:eastAsia="Times New Roman"/>
          <w:szCs w:val="20"/>
        </w:rPr>
        <w:tab/>
        <w:t>Email</w:t>
      </w:r>
    </w:p>
    <w:p w:rsidR="00E26C8E" w:rsidRPr="00E26C8E" w:rsidRDefault="00E26C8E" w:rsidP="00E26C8E">
      <w:pPr>
        <w:ind w:left="993" w:hanging="284"/>
        <w:rPr>
          <w:rFonts w:eastAsia="Times New Roman"/>
          <w:szCs w:val="20"/>
        </w:rPr>
      </w:pPr>
      <w:r w:rsidRPr="00E26C8E">
        <w:rPr>
          <w:rFonts w:eastAsia="Times New Roman"/>
          <w:szCs w:val="20"/>
        </w:rPr>
        <w:t>-</w:t>
      </w:r>
      <w:r w:rsidRPr="00E26C8E">
        <w:rPr>
          <w:rFonts w:eastAsia="Times New Roman"/>
          <w:szCs w:val="20"/>
        </w:rPr>
        <w:tab/>
        <w:t>Phone number(s)</w:t>
      </w:r>
    </w:p>
    <w:p w:rsidR="00E26C8E" w:rsidRPr="00E26C8E" w:rsidRDefault="00E26C8E" w:rsidP="00E26C8E">
      <w:pPr>
        <w:ind w:left="993" w:hanging="284"/>
        <w:rPr>
          <w:rFonts w:eastAsia="Times New Roman"/>
          <w:szCs w:val="20"/>
        </w:rPr>
      </w:pPr>
      <w:r w:rsidRPr="00E26C8E">
        <w:rPr>
          <w:rFonts w:eastAsia="Times New Roman"/>
          <w:szCs w:val="20"/>
        </w:rPr>
        <w:t>-</w:t>
      </w:r>
      <w:r w:rsidRPr="00E26C8E">
        <w:rPr>
          <w:rFonts w:eastAsia="Times New Roman"/>
          <w:szCs w:val="20"/>
        </w:rPr>
        <w:tab/>
        <w:t>Consent to receive electronic correspondence (or otherwise)</w:t>
      </w:r>
    </w:p>
    <w:p w:rsidR="00E26C8E" w:rsidRPr="00E26C8E" w:rsidRDefault="00E26C8E" w:rsidP="00E26C8E">
      <w:pPr>
        <w:ind w:left="709" w:hanging="283"/>
        <w:rPr>
          <w:rFonts w:eastAsia="Times New Roman"/>
          <w:szCs w:val="20"/>
        </w:rPr>
      </w:pPr>
      <w:r w:rsidRPr="00E26C8E">
        <w:rPr>
          <w:rFonts w:eastAsia="Times New Roman"/>
          <w:szCs w:val="20"/>
        </w:rPr>
        <w:t>◦</w:t>
      </w:r>
      <w:r w:rsidRPr="00E26C8E">
        <w:rPr>
          <w:rFonts w:eastAsia="Times New Roman"/>
          <w:szCs w:val="20"/>
        </w:rPr>
        <w:tab/>
        <w:t>Certification of correctness</w:t>
      </w:r>
    </w:p>
    <w:p w:rsidR="00E26C8E" w:rsidRPr="00E26C8E" w:rsidRDefault="00E26C8E" w:rsidP="00E26C8E">
      <w:pPr>
        <w:ind w:left="142"/>
        <w:rPr>
          <w:rFonts w:eastAsia="Times New Roman"/>
          <w:szCs w:val="20"/>
        </w:rPr>
      </w:pPr>
      <w:r w:rsidRPr="00E26C8E">
        <w:rPr>
          <w:rFonts w:eastAsia="Times New Roman"/>
          <w:szCs w:val="20"/>
        </w:rPr>
        <w:t xml:space="preserve">An application for an ML and/or MPL must in accordance with section 36(1)(a) and 49(1)(a) of the </w:t>
      </w:r>
      <w:r w:rsidRPr="00E26C8E">
        <w:rPr>
          <w:rFonts w:eastAsia="Times New Roman"/>
          <w:i/>
          <w:szCs w:val="20"/>
        </w:rPr>
        <w:t>Mining Act 1971</w:t>
      </w:r>
      <w:r w:rsidRPr="00E26C8E">
        <w:rPr>
          <w:rFonts w:eastAsia="Times New Roman"/>
          <w:szCs w:val="20"/>
        </w:rPr>
        <w:t xml:space="preserve"> be in the following form, unless otherwise specified by the Director of Mines or an authorised officer:</w:t>
      </w:r>
    </w:p>
    <w:p w:rsidR="00E26C8E" w:rsidRPr="00E26C8E" w:rsidRDefault="00E26C8E" w:rsidP="00E26C8E">
      <w:pPr>
        <w:ind w:left="426" w:hanging="284"/>
        <w:rPr>
          <w:rFonts w:eastAsia="Times New Roman"/>
          <w:szCs w:val="20"/>
        </w:rPr>
      </w:pPr>
      <w:r w:rsidRPr="00E26C8E">
        <w:rPr>
          <w:rFonts w:eastAsia="Times New Roman"/>
          <w:szCs w:val="20"/>
        </w:rPr>
        <w:t>•</w:t>
      </w:r>
      <w:r w:rsidRPr="00E26C8E">
        <w:rPr>
          <w:rFonts w:eastAsia="Times New Roman"/>
          <w:szCs w:val="20"/>
        </w:rPr>
        <w:tab/>
        <w:t>an electronic version of the Proposal must be submitted in accordance with regulation 88 of the Mining Regulation 2020; hardcopies must be submitted upon request; the information in all must be identical;</w:t>
      </w:r>
    </w:p>
    <w:p w:rsidR="00E26C8E" w:rsidRPr="00E26C8E" w:rsidRDefault="00E26C8E" w:rsidP="00E26C8E">
      <w:pPr>
        <w:ind w:left="426" w:hanging="284"/>
        <w:rPr>
          <w:rFonts w:eastAsia="Times New Roman"/>
          <w:szCs w:val="20"/>
        </w:rPr>
      </w:pPr>
      <w:r w:rsidRPr="00E26C8E">
        <w:rPr>
          <w:rFonts w:eastAsia="Times New Roman"/>
          <w:szCs w:val="20"/>
        </w:rPr>
        <w:t>•</w:t>
      </w:r>
      <w:r w:rsidRPr="00E26C8E">
        <w:rPr>
          <w:rFonts w:eastAsia="Times New Roman"/>
          <w:szCs w:val="20"/>
        </w:rPr>
        <w:tab/>
        <w:t>each page, plan or other separate sheet of the Proposal must include the mineral claim, retention lease or exploration licence number(s), date of the application submission and sequential page numbering; and</w:t>
      </w:r>
    </w:p>
    <w:p w:rsidR="00E26C8E" w:rsidRPr="00E26C8E" w:rsidRDefault="00E26C8E" w:rsidP="00E26C8E">
      <w:pPr>
        <w:ind w:left="426" w:hanging="284"/>
        <w:rPr>
          <w:rFonts w:eastAsia="Times New Roman"/>
          <w:szCs w:val="20"/>
        </w:rPr>
      </w:pPr>
      <w:r w:rsidRPr="00E26C8E">
        <w:rPr>
          <w:rFonts w:eastAsia="Times New Roman"/>
          <w:szCs w:val="20"/>
        </w:rPr>
        <w:t>•</w:t>
      </w:r>
      <w:r w:rsidRPr="00E26C8E">
        <w:rPr>
          <w:rFonts w:eastAsia="Times New Roman"/>
          <w:szCs w:val="20"/>
        </w:rPr>
        <w:tab/>
        <w:t>the electronic version of the Proposal must be submitted in one single Acrobat PDF file or if requested by the Director of Mines or an authorised officer, Microsoft Word compatible files must be submitted.</w:t>
      </w:r>
    </w:p>
    <w:p w:rsidR="00E26C8E" w:rsidRPr="00E26C8E" w:rsidRDefault="00E26C8E" w:rsidP="00E26C8E">
      <w:pPr>
        <w:spacing w:after="0" w:line="240" w:lineRule="auto"/>
        <w:jc w:val="left"/>
        <w:rPr>
          <w:rFonts w:eastAsia="Times New Roman"/>
          <w:b/>
          <w:szCs w:val="20"/>
        </w:rPr>
      </w:pPr>
      <w:r w:rsidRPr="00E26C8E">
        <w:rPr>
          <w:rFonts w:eastAsia="Times New Roman"/>
          <w:b/>
          <w:szCs w:val="20"/>
        </w:rPr>
        <w:br w:type="page"/>
      </w:r>
    </w:p>
    <w:p w:rsidR="00E26C8E" w:rsidRPr="00E26C8E" w:rsidRDefault="00E26C8E" w:rsidP="00E26C8E">
      <w:pPr>
        <w:rPr>
          <w:rFonts w:eastAsia="Times New Roman"/>
          <w:b/>
          <w:szCs w:val="20"/>
        </w:rPr>
      </w:pPr>
      <w:r w:rsidRPr="00E26C8E">
        <w:rPr>
          <w:rFonts w:eastAsia="Times New Roman"/>
          <w:b/>
          <w:szCs w:val="20"/>
        </w:rPr>
        <w:t>PROPOSAL</w:t>
      </w:r>
    </w:p>
    <w:p w:rsidR="00E26C8E" w:rsidRPr="00E26C8E" w:rsidRDefault="00E26C8E" w:rsidP="00E26C8E">
      <w:pPr>
        <w:ind w:left="142"/>
        <w:rPr>
          <w:rFonts w:eastAsia="Times New Roman"/>
          <w:szCs w:val="20"/>
        </w:rPr>
      </w:pPr>
      <w:r w:rsidRPr="00E26C8E">
        <w:rPr>
          <w:rFonts w:eastAsia="Times New Roman"/>
          <w:szCs w:val="20"/>
        </w:rPr>
        <w:t xml:space="preserve">An application for an ML and/or MPL must be accompanied by a proposal that complies with sections 36 and 49 of the </w:t>
      </w:r>
      <w:r w:rsidRPr="00E26C8E">
        <w:rPr>
          <w:rFonts w:eastAsia="Times New Roman"/>
          <w:i/>
          <w:szCs w:val="20"/>
        </w:rPr>
        <w:t>Mining Act 1971</w:t>
      </w:r>
      <w:r w:rsidRPr="00E26C8E">
        <w:rPr>
          <w:rFonts w:eastAsia="Times New Roman"/>
          <w:szCs w:val="20"/>
        </w:rPr>
        <w:t xml:space="preserve"> and regulations 46 and 47 of the </w:t>
      </w:r>
      <w:r w:rsidRPr="00E26C8E">
        <w:rPr>
          <w:rFonts w:eastAsia="Times New Roman"/>
          <w:i/>
          <w:szCs w:val="20"/>
        </w:rPr>
        <w:t>Mining Regulations 2020</w:t>
      </w:r>
      <w:r w:rsidRPr="00E26C8E">
        <w:rPr>
          <w:rFonts w:eastAsia="Times New Roman"/>
          <w:szCs w:val="20"/>
        </w:rPr>
        <w:t>, and must comply with the following determinations of this Terms of Reference as set out below:</w:t>
      </w:r>
    </w:p>
    <w:p w:rsidR="00E26C8E" w:rsidRPr="00E26C8E" w:rsidRDefault="00E26C8E" w:rsidP="00E26C8E">
      <w:pPr>
        <w:ind w:left="426" w:hanging="284"/>
        <w:rPr>
          <w:rFonts w:eastAsia="Times New Roman"/>
          <w:b/>
          <w:szCs w:val="20"/>
        </w:rPr>
      </w:pPr>
      <w:r w:rsidRPr="00E26C8E">
        <w:rPr>
          <w:rFonts w:eastAsia="Times New Roman"/>
          <w:b/>
          <w:szCs w:val="20"/>
        </w:rPr>
        <w:t>1.</w:t>
      </w:r>
      <w:r w:rsidRPr="00E26C8E">
        <w:rPr>
          <w:rFonts w:eastAsia="Times New Roman"/>
          <w:b/>
          <w:szCs w:val="20"/>
        </w:rPr>
        <w:tab/>
        <w:t>DESCRIPTION OF THE EXISTING ENVIRONMENT</w:t>
      </w:r>
    </w:p>
    <w:p w:rsidR="00E26C8E" w:rsidRPr="00E26C8E" w:rsidRDefault="00E26C8E" w:rsidP="00E26C8E">
      <w:pPr>
        <w:ind w:left="426"/>
        <w:rPr>
          <w:rFonts w:eastAsia="Times New Roman"/>
          <w:szCs w:val="20"/>
        </w:rPr>
      </w:pPr>
      <w:r w:rsidRPr="00E26C8E">
        <w:rPr>
          <w:rFonts w:eastAsia="Times New Roman"/>
          <w:szCs w:val="20"/>
        </w:rPr>
        <w:t xml:space="preserve">In setting out an assessment of the environmental impacts of the proposed authorised operations in accordance with sections 36(1)(c)(ii)(A) and 49(1)(c)(ii)(A) of the </w:t>
      </w:r>
      <w:r w:rsidRPr="00E26C8E">
        <w:rPr>
          <w:rFonts w:eastAsia="Times New Roman"/>
          <w:i/>
          <w:szCs w:val="20"/>
        </w:rPr>
        <w:t>Mining Act 1971</w:t>
      </w:r>
      <w:r w:rsidRPr="00E26C8E">
        <w:rPr>
          <w:rFonts w:eastAsia="Times New Roman"/>
          <w:szCs w:val="20"/>
        </w:rPr>
        <w:t xml:space="preserve"> and regulation 46(2) of the </w:t>
      </w:r>
      <w:r w:rsidRPr="00E26C8E">
        <w:rPr>
          <w:rFonts w:eastAsia="Times New Roman"/>
          <w:i/>
          <w:szCs w:val="20"/>
        </w:rPr>
        <w:t>Mining Regulations 2020</w:t>
      </w:r>
      <w:r w:rsidRPr="00E26C8E">
        <w:rPr>
          <w:rFonts w:eastAsia="Times New Roman"/>
          <w:szCs w:val="20"/>
        </w:rPr>
        <w:t xml:space="preserve">, the Minister determines in accordance with regulation 46(7)(e) of the </w:t>
      </w:r>
      <w:r w:rsidRPr="00E26C8E">
        <w:rPr>
          <w:rFonts w:eastAsia="Times New Roman"/>
          <w:i/>
          <w:szCs w:val="20"/>
        </w:rPr>
        <w:t>Mining Regulations 2020</w:t>
      </w:r>
      <w:r w:rsidRPr="00E26C8E">
        <w:rPr>
          <w:rFonts w:eastAsia="Times New Roman"/>
          <w:szCs w:val="20"/>
        </w:rPr>
        <w:t xml:space="preserve"> that a proposal must include a description and assessment of the environment as set out in this Terms of Reference. Each of the elements of the existing environment (as defined in section 6(4) of the </w:t>
      </w:r>
      <w:r w:rsidRPr="00E26C8E">
        <w:rPr>
          <w:rFonts w:eastAsia="Times New Roman"/>
          <w:i/>
          <w:szCs w:val="20"/>
        </w:rPr>
        <w:t>Mining Act 1971</w:t>
      </w:r>
      <w:r w:rsidRPr="00E26C8E">
        <w:rPr>
          <w:rFonts w:eastAsia="Times New Roman"/>
          <w:szCs w:val="20"/>
        </w:rPr>
        <w:t>) listed in clauses 1.1 – 1.20 must be described only to the extent that they may need to be considered in assessing the potential impacts of the proposed mine operations. If the element is not likely to be impacted by the operation, a statement to that effect must be included.</w:t>
      </w:r>
    </w:p>
    <w:p w:rsidR="00E26C8E" w:rsidRPr="00E26C8E" w:rsidRDefault="00E26C8E" w:rsidP="00E26C8E">
      <w:pPr>
        <w:ind w:left="851" w:hanging="425"/>
        <w:rPr>
          <w:rFonts w:eastAsia="Times New Roman"/>
          <w:b/>
          <w:szCs w:val="20"/>
        </w:rPr>
      </w:pPr>
      <w:r w:rsidRPr="00E26C8E">
        <w:rPr>
          <w:rFonts w:eastAsia="Times New Roman"/>
          <w:b/>
          <w:szCs w:val="20"/>
        </w:rPr>
        <w:t>1.1</w:t>
      </w:r>
      <w:r w:rsidRPr="00E26C8E">
        <w:rPr>
          <w:rFonts w:eastAsia="Times New Roman"/>
          <w:b/>
          <w:szCs w:val="20"/>
        </w:rPr>
        <w:tab/>
        <w:t>Topography and Landscape</w:t>
      </w:r>
    </w:p>
    <w:p w:rsidR="00E26C8E" w:rsidRPr="00E26C8E" w:rsidRDefault="00E26C8E" w:rsidP="00E26C8E">
      <w:pPr>
        <w:ind w:left="851"/>
        <w:rPr>
          <w:rFonts w:eastAsia="Times New Roman"/>
          <w:szCs w:val="20"/>
        </w:rPr>
      </w:pPr>
      <w:r w:rsidRPr="00E26C8E">
        <w:rPr>
          <w:rFonts w:eastAsia="Times New Roman"/>
          <w:szCs w:val="20"/>
        </w:rPr>
        <w:t>Provide a description and map (as per 5.1.1.1) of the topography and landscape, detailing the:</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application area; and</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general surroundings.</w:t>
      </w:r>
    </w:p>
    <w:p w:rsidR="00E26C8E" w:rsidRPr="00E26C8E" w:rsidRDefault="00E26C8E" w:rsidP="00E26C8E">
      <w:pPr>
        <w:ind w:left="851" w:hanging="425"/>
        <w:rPr>
          <w:rFonts w:eastAsia="Times New Roman"/>
          <w:b/>
          <w:szCs w:val="20"/>
        </w:rPr>
      </w:pPr>
      <w:r w:rsidRPr="00E26C8E">
        <w:rPr>
          <w:rFonts w:eastAsia="Times New Roman"/>
          <w:b/>
          <w:szCs w:val="20"/>
        </w:rPr>
        <w:t>1.2</w:t>
      </w:r>
      <w:r w:rsidRPr="00E26C8E">
        <w:rPr>
          <w:rFonts w:eastAsia="Times New Roman"/>
          <w:b/>
          <w:szCs w:val="20"/>
        </w:rPr>
        <w:tab/>
        <w:t>Climate</w:t>
      </w:r>
    </w:p>
    <w:p w:rsidR="00E26C8E" w:rsidRPr="00E26C8E" w:rsidRDefault="00E26C8E" w:rsidP="00E26C8E">
      <w:pPr>
        <w:ind w:left="851"/>
        <w:rPr>
          <w:rFonts w:eastAsia="Times New Roman"/>
          <w:szCs w:val="20"/>
        </w:rPr>
      </w:pPr>
      <w:r w:rsidRPr="00E26C8E">
        <w:rPr>
          <w:rFonts w:eastAsia="Times New Roman"/>
          <w:szCs w:val="20"/>
        </w:rPr>
        <w:t>Provide:</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a summary of rainfall and temperature patterns, evaporation rates, and wind directions and speed (including maximum wind gusts); and</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details of the maximum average recurrence interval or annual exceedance probability rainfall event used for the operational and closure design of the project, and the justification for the value(s) selected.</w:t>
      </w:r>
    </w:p>
    <w:p w:rsidR="00E26C8E" w:rsidRPr="00E26C8E" w:rsidRDefault="00E26C8E" w:rsidP="00E26C8E">
      <w:pPr>
        <w:ind w:left="851" w:hanging="425"/>
        <w:rPr>
          <w:rFonts w:eastAsia="Times New Roman"/>
          <w:b/>
          <w:szCs w:val="20"/>
        </w:rPr>
      </w:pPr>
      <w:r w:rsidRPr="00E26C8E">
        <w:rPr>
          <w:rFonts w:eastAsia="Times New Roman"/>
          <w:b/>
          <w:szCs w:val="20"/>
        </w:rPr>
        <w:t>1.3</w:t>
      </w:r>
      <w:r w:rsidRPr="00E26C8E">
        <w:rPr>
          <w:rFonts w:eastAsia="Times New Roman"/>
          <w:b/>
          <w:szCs w:val="20"/>
        </w:rPr>
        <w:tab/>
        <w:t>Topsoil and Subsoil</w:t>
      </w:r>
    </w:p>
    <w:p w:rsidR="00E26C8E" w:rsidRPr="00E26C8E" w:rsidRDefault="00E26C8E" w:rsidP="00E26C8E">
      <w:pPr>
        <w:ind w:left="851"/>
        <w:rPr>
          <w:rFonts w:eastAsia="Times New Roman"/>
          <w:szCs w:val="20"/>
        </w:rPr>
      </w:pPr>
      <w:r w:rsidRPr="00E26C8E">
        <w:rPr>
          <w:rFonts w:eastAsia="Times New Roman"/>
          <w:szCs w:val="20"/>
        </w:rPr>
        <w:t>Provide:</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a description of the soil profile (type and depth), and the characteristics and/or productivity of all soils on the application area (show this information on a map as per 5.1.1.2 if there is a variation in soils over the application area); and</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identify any soil characteristics, including (but not limited to) erodibility, acid sulfate, sodic or non-wettable soils, that may require control measures to reduce environmental impacts during operations or rehabilitation.</w:t>
      </w:r>
    </w:p>
    <w:p w:rsidR="00E26C8E" w:rsidRPr="00E26C8E" w:rsidRDefault="00E26C8E" w:rsidP="00E26C8E">
      <w:pPr>
        <w:ind w:left="851" w:hanging="425"/>
        <w:rPr>
          <w:rFonts w:eastAsia="Times New Roman"/>
          <w:b/>
          <w:szCs w:val="20"/>
        </w:rPr>
      </w:pPr>
      <w:r w:rsidRPr="00E26C8E">
        <w:rPr>
          <w:rFonts w:eastAsia="Times New Roman"/>
          <w:b/>
          <w:szCs w:val="20"/>
        </w:rPr>
        <w:t>1.4</w:t>
      </w:r>
      <w:r w:rsidRPr="00E26C8E">
        <w:rPr>
          <w:rFonts w:eastAsia="Times New Roman"/>
          <w:b/>
          <w:szCs w:val="20"/>
        </w:rPr>
        <w:tab/>
        <w:t>Geological Environment</w:t>
      </w:r>
    </w:p>
    <w:p w:rsidR="00E26C8E" w:rsidRPr="00E26C8E" w:rsidRDefault="00E26C8E" w:rsidP="00E26C8E">
      <w:pPr>
        <w:ind w:left="851"/>
        <w:rPr>
          <w:rFonts w:eastAsia="Times New Roman"/>
          <w:szCs w:val="20"/>
        </w:rPr>
      </w:pPr>
      <w:r w:rsidRPr="00E26C8E">
        <w:rPr>
          <w:rFonts w:eastAsia="Times New Roman"/>
          <w:szCs w:val="20"/>
        </w:rPr>
        <w:t>Provide a description of the following, as a minimum:</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regional geology;</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local geology within the application area and geological map(s) (as per 5.1.1.2), including but not limited to;</w:t>
      </w:r>
    </w:p>
    <w:p w:rsidR="00E26C8E" w:rsidRPr="00E26C8E" w:rsidRDefault="00E26C8E" w:rsidP="00E26C8E">
      <w:pPr>
        <w:ind w:left="1418" w:hanging="284"/>
        <w:rPr>
          <w:rFonts w:eastAsia="Times New Roman"/>
          <w:szCs w:val="20"/>
        </w:rPr>
      </w:pPr>
      <w:r w:rsidRPr="00E26C8E">
        <w:rPr>
          <w:rFonts w:eastAsia="Times New Roman"/>
          <w:szCs w:val="20"/>
        </w:rPr>
        <w:t>◦</w:t>
      </w:r>
      <w:r w:rsidRPr="00E26C8E">
        <w:rPr>
          <w:rFonts w:eastAsia="Times New Roman"/>
          <w:szCs w:val="20"/>
        </w:rPr>
        <w:tab/>
        <w:t>location, dimensions and orientation (dip and strike), and extent of the mineral resource and ore reserve;</w:t>
      </w:r>
    </w:p>
    <w:p w:rsidR="00E26C8E" w:rsidRPr="00E26C8E" w:rsidRDefault="00E26C8E" w:rsidP="00E26C8E">
      <w:pPr>
        <w:ind w:left="1418" w:hanging="284"/>
        <w:rPr>
          <w:rFonts w:eastAsia="Times New Roman"/>
          <w:szCs w:val="20"/>
        </w:rPr>
      </w:pPr>
      <w:r w:rsidRPr="00E26C8E">
        <w:rPr>
          <w:rFonts w:eastAsia="Times New Roman"/>
          <w:szCs w:val="20"/>
        </w:rPr>
        <w:t>◦</w:t>
      </w:r>
      <w:r w:rsidRPr="00E26C8E">
        <w:rPr>
          <w:rFonts w:eastAsia="Times New Roman"/>
          <w:szCs w:val="20"/>
        </w:rPr>
        <w:tab/>
        <w:t>location and composition of all rock types and rock units that are proposed to be disturbed;</w:t>
      </w:r>
    </w:p>
    <w:p w:rsidR="00E26C8E" w:rsidRPr="00E26C8E" w:rsidRDefault="00E26C8E" w:rsidP="00E26C8E">
      <w:pPr>
        <w:ind w:left="1418" w:hanging="284"/>
        <w:rPr>
          <w:rFonts w:eastAsia="Times New Roman"/>
          <w:szCs w:val="20"/>
        </w:rPr>
      </w:pPr>
      <w:r w:rsidRPr="00E26C8E">
        <w:rPr>
          <w:rFonts w:eastAsia="Times New Roman"/>
          <w:szCs w:val="20"/>
        </w:rPr>
        <w:t>◦</w:t>
      </w:r>
      <w:r w:rsidRPr="00E26C8E">
        <w:rPr>
          <w:rFonts w:eastAsia="Times New Roman"/>
          <w:szCs w:val="20"/>
        </w:rPr>
        <w:tab/>
        <w:t>interpretation of the stratigraphy of the rocks hosting the deposit as well as any overlying and adjacent rock units; and</w:t>
      </w:r>
    </w:p>
    <w:p w:rsidR="00E26C8E" w:rsidRPr="00E26C8E" w:rsidRDefault="00E26C8E" w:rsidP="00E26C8E">
      <w:pPr>
        <w:ind w:left="1418" w:hanging="284"/>
        <w:rPr>
          <w:rFonts w:eastAsia="Times New Roman"/>
          <w:szCs w:val="20"/>
        </w:rPr>
      </w:pPr>
      <w:r w:rsidRPr="00E26C8E">
        <w:rPr>
          <w:rFonts w:eastAsia="Times New Roman"/>
          <w:szCs w:val="20"/>
        </w:rPr>
        <w:t>◦</w:t>
      </w:r>
      <w:r w:rsidRPr="00E26C8E">
        <w:rPr>
          <w:rFonts w:eastAsia="Times New Roman"/>
          <w:szCs w:val="20"/>
        </w:rPr>
        <w:tab/>
        <w:t>an indication of the potential for extension to the orebody;</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representative cross-sections and long section (as per 5.2.1.1) of the geology of the application area; and</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the exploration data on which the geological interpretation was based on.</w:t>
      </w:r>
    </w:p>
    <w:p w:rsidR="00E26C8E" w:rsidRPr="00E26C8E" w:rsidRDefault="00E26C8E" w:rsidP="00E26C8E">
      <w:pPr>
        <w:ind w:left="851" w:hanging="425"/>
        <w:rPr>
          <w:rFonts w:eastAsia="Times New Roman"/>
          <w:b/>
          <w:szCs w:val="20"/>
        </w:rPr>
      </w:pPr>
      <w:r w:rsidRPr="00E26C8E">
        <w:rPr>
          <w:rFonts w:eastAsia="Times New Roman"/>
          <w:b/>
          <w:szCs w:val="20"/>
        </w:rPr>
        <w:t>1.5</w:t>
      </w:r>
      <w:r w:rsidRPr="00E26C8E">
        <w:rPr>
          <w:rFonts w:eastAsia="Times New Roman"/>
          <w:b/>
          <w:szCs w:val="20"/>
        </w:rPr>
        <w:tab/>
        <w:t>Geochemistry and Geohazards</w:t>
      </w:r>
    </w:p>
    <w:p w:rsidR="00E26C8E" w:rsidRPr="00E26C8E" w:rsidRDefault="00E26C8E" w:rsidP="00E26C8E">
      <w:pPr>
        <w:ind w:left="851"/>
        <w:rPr>
          <w:rFonts w:eastAsia="Times New Roman"/>
          <w:szCs w:val="20"/>
        </w:rPr>
      </w:pPr>
      <w:r w:rsidRPr="00E26C8E">
        <w:rPr>
          <w:rFonts w:eastAsia="Times New Roman"/>
          <w:szCs w:val="20"/>
        </w:rPr>
        <w:t>Provide:</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a geochemical assessment of all rock types that are proposed to be disturbed, based on representative sampling and analysis that includes the identification and quantification of, but not limited to, sulfide minerals that have the potential to generate acid or mobilise metals into the environment; and</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a mineralogical assessment of all the rock types that are proposed to be disturbed, based on representative sampling and analysis for the presence and quantification of (but not limited to) radioactive minerals, asbestiform minerals or minerals that have the potential to produce respirable silica.</w:t>
      </w:r>
    </w:p>
    <w:p w:rsidR="00E26C8E" w:rsidRPr="00E26C8E" w:rsidRDefault="00E26C8E" w:rsidP="00E26C8E">
      <w:pPr>
        <w:ind w:left="851"/>
        <w:rPr>
          <w:rFonts w:eastAsia="Times New Roman"/>
          <w:szCs w:val="20"/>
        </w:rPr>
      </w:pPr>
      <w:r w:rsidRPr="00E26C8E">
        <w:rPr>
          <w:rFonts w:eastAsia="Times New Roman"/>
          <w:szCs w:val="20"/>
        </w:rPr>
        <w:t>Describe the potential for any of the following natural geohazards to be present in the application area and show on a map:</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structural instability, including slips, faults, karst features or geological discontinuities; and</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major seismic events (based on historical data).</w:t>
      </w:r>
    </w:p>
    <w:p w:rsidR="00E26C8E" w:rsidRPr="00E26C8E" w:rsidRDefault="00E26C8E" w:rsidP="00E26C8E">
      <w:pPr>
        <w:ind w:left="851" w:hanging="425"/>
        <w:rPr>
          <w:rFonts w:eastAsia="Times New Roman"/>
          <w:b/>
          <w:szCs w:val="20"/>
        </w:rPr>
      </w:pPr>
      <w:r w:rsidRPr="00E26C8E">
        <w:rPr>
          <w:rFonts w:eastAsia="Times New Roman"/>
          <w:b/>
          <w:szCs w:val="20"/>
        </w:rPr>
        <w:t>1.6</w:t>
      </w:r>
      <w:r w:rsidRPr="00E26C8E">
        <w:rPr>
          <w:rFonts w:eastAsia="Times New Roman"/>
          <w:b/>
          <w:szCs w:val="20"/>
        </w:rPr>
        <w:tab/>
        <w:t>Groundwater</w:t>
      </w:r>
    </w:p>
    <w:p w:rsidR="00E26C8E" w:rsidRPr="00E26C8E" w:rsidRDefault="00E26C8E" w:rsidP="00E26C8E">
      <w:pPr>
        <w:ind w:left="851"/>
        <w:rPr>
          <w:rFonts w:eastAsia="Times New Roman"/>
          <w:szCs w:val="20"/>
        </w:rPr>
      </w:pPr>
      <w:r w:rsidRPr="00E26C8E">
        <w:rPr>
          <w:rFonts w:eastAsia="Times New Roman"/>
          <w:szCs w:val="20"/>
        </w:rPr>
        <w:t>If all proposed mining operations are to occur at least 3 m above the seasonally high water table, provide:</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a statement that all proposed mining operations are to occur at least 3 m above the seasonally high water table;</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a statement that the proposed mining operations will not /are unlikely to increase the seasonally high water table to within 3 m of the mining operations anywhere within the lease application area;</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an assessment of the position of the seasonally high water table beneath the entire lease application area; and</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the drillhole, borehole and hydrogeological data and information the assessment is based on.</w:t>
      </w:r>
    </w:p>
    <w:p w:rsidR="00E26C8E" w:rsidRPr="00E26C8E" w:rsidRDefault="00E26C8E" w:rsidP="00E26C8E">
      <w:pPr>
        <w:ind w:left="851"/>
        <w:rPr>
          <w:rFonts w:eastAsia="Times New Roman"/>
          <w:szCs w:val="20"/>
        </w:rPr>
      </w:pPr>
      <w:r w:rsidRPr="00E26C8E">
        <w:rPr>
          <w:rFonts w:eastAsia="Times New Roman"/>
          <w:szCs w:val="20"/>
        </w:rPr>
        <w:t>If any part of the proposed mining operations is likely to occur within 3 m of the seasonally high water table, or the proposed mining operations will/are likely to increase the seasonally high water table to within 3 m of the mining operations, or the proposed mining operations are likely to intersect aquifer unit(s), provide:</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 xml:space="preserve">a statement describing if the application area is within an area where the water resources are prescribed under the </w:t>
      </w:r>
      <w:r w:rsidRPr="00E26C8E">
        <w:rPr>
          <w:rFonts w:eastAsia="Times New Roman"/>
          <w:i/>
          <w:szCs w:val="20"/>
        </w:rPr>
        <w:t xml:space="preserve">Landscape South Australia Act 2019 </w:t>
      </w:r>
      <w:r w:rsidRPr="00E26C8E">
        <w:rPr>
          <w:rFonts w:eastAsia="Times New Roman"/>
          <w:szCs w:val="20"/>
        </w:rPr>
        <w:t>and details on the current availability of groundwater resources within the prescribed area;</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a description of the local and regional hydrogeology, detailing both the stratigraphy and hydrostratigraphy;</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a detailed baseline description of the groundwater characteristics and flow dynamics for aquifers within the application area which includes:</w:t>
      </w:r>
    </w:p>
    <w:p w:rsidR="00E26C8E" w:rsidRPr="00E26C8E" w:rsidRDefault="00E26C8E" w:rsidP="00E26C8E">
      <w:pPr>
        <w:ind w:left="1418" w:hanging="284"/>
        <w:rPr>
          <w:rFonts w:eastAsia="Times New Roman"/>
          <w:szCs w:val="20"/>
        </w:rPr>
      </w:pPr>
      <w:r w:rsidRPr="00E26C8E">
        <w:rPr>
          <w:rFonts w:eastAsia="Times New Roman"/>
          <w:szCs w:val="20"/>
        </w:rPr>
        <w:t>◦</w:t>
      </w:r>
      <w:r w:rsidRPr="00E26C8E">
        <w:rPr>
          <w:rFonts w:eastAsia="Times New Roman"/>
          <w:szCs w:val="20"/>
        </w:rPr>
        <w:tab/>
        <w:t>static water levels and groundwater heads/groundwater elevations, including seasonal fluctuations for each aquifer;</w:t>
      </w:r>
    </w:p>
    <w:p w:rsidR="00E26C8E" w:rsidRPr="00E26C8E" w:rsidRDefault="00E26C8E" w:rsidP="00E26C8E">
      <w:pPr>
        <w:ind w:left="1418" w:hanging="284"/>
        <w:rPr>
          <w:rFonts w:eastAsia="Times New Roman"/>
          <w:szCs w:val="20"/>
        </w:rPr>
      </w:pPr>
      <w:r w:rsidRPr="00E26C8E">
        <w:rPr>
          <w:rFonts w:eastAsia="Times New Roman"/>
          <w:szCs w:val="20"/>
        </w:rPr>
        <w:t>◦</w:t>
      </w:r>
      <w:r w:rsidRPr="00E26C8E">
        <w:rPr>
          <w:rFonts w:eastAsia="Times New Roman"/>
          <w:szCs w:val="20"/>
        </w:rPr>
        <w:tab/>
        <w:t>baseline groundwater hydrochemistry and mineralogy, including any seasonal fluctuations and spatial variability for each aquifer;</w:t>
      </w:r>
    </w:p>
    <w:p w:rsidR="00E26C8E" w:rsidRPr="00E26C8E" w:rsidRDefault="00E26C8E" w:rsidP="00E26C8E">
      <w:pPr>
        <w:ind w:left="1418" w:hanging="284"/>
        <w:rPr>
          <w:rFonts w:eastAsia="Times New Roman"/>
          <w:szCs w:val="20"/>
        </w:rPr>
      </w:pPr>
      <w:r w:rsidRPr="00E26C8E">
        <w:rPr>
          <w:rFonts w:eastAsia="Times New Roman"/>
          <w:szCs w:val="20"/>
        </w:rPr>
        <w:t>◦</w:t>
      </w:r>
      <w:r w:rsidRPr="00E26C8E">
        <w:rPr>
          <w:rFonts w:eastAsia="Times New Roman"/>
          <w:szCs w:val="20"/>
        </w:rPr>
        <w:tab/>
        <w:t>aquifer properties including hydraulic conductivity, transmissivity, specific yield, storage coefficient, total porosity, effective porosity and aquifer thickness;</w:t>
      </w:r>
    </w:p>
    <w:p w:rsidR="00E26C8E" w:rsidRPr="00E26C8E" w:rsidRDefault="00E26C8E" w:rsidP="00E26C8E">
      <w:pPr>
        <w:ind w:left="1418" w:hanging="284"/>
        <w:rPr>
          <w:rFonts w:eastAsia="Times New Roman"/>
          <w:szCs w:val="20"/>
        </w:rPr>
      </w:pPr>
      <w:r w:rsidRPr="00E26C8E">
        <w:rPr>
          <w:rFonts w:eastAsia="Times New Roman"/>
          <w:szCs w:val="20"/>
        </w:rPr>
        <w:t>◦</w:t>
      </w:r>
      <w:r w:rsidRPr="00E26C8E">
        <w:rPr>
          <w:rFonts w:eastAsia="Times New Roman"/>
          <w:szCs w:val="20"/>
        </w:rPr>
        <w:tab/>
        <w:t>recharge and discharge mechanisms,</w:t>
      </w:r>
    </w:p>
    <w:p w:rsidR="00E26C8E" w:rsidRPr="00E26C8E" w:rsidRDefault="00E26C8E" w:rsidP="00E26C8E">
      <w:pPr>
        <w:ind w:left="1418" w:hanging="284"/>
        <w:rPr>
          <w:rFonts w:eastAsia="Times New Roman"/>
          <w:szCs w:val="20"/>
        </w:rPr>
      </w:pPr>
      <w:r w:rsidRPr="00E26C8E">
        <w:rPr>
          <w:rFonts w:eastAsia="Times New Roman"/>
          <w:szCs w:val="20"/>
        </w:rPr>
        <w:t>◦</w:t>
      </w:r>
      <w:r w:rsidRPr="00E26C8E">
        <w:rPr>
          <w:rFonts w:eastAsia="Times New Roman"/>
          <w:szCs w:val="20"/>
        </w:rPr>
        <w:tab/>
        <w:t>hydrogeological characteristics of confining strata, including hydraulic conductivity and thickness;</w:t>
      </w:r>
    </w:p>
    <w:p w:rsidR="00E26C8E" w:rsidRPr="00E26C8E" w:rsidRDefault="00E26C8E" w:rsidP="00E26C8E">
      <w:pPr>
        <w:ind w:left="1418" w:hanging="284"/>
        <w:rPr>
          <w:rFonts w:eastAsia="Times New Roman"/>
          <w:szCs w:val="20"/>
        </w:rPr>
      </w:pPr>
      <w:r w:rsidRPr="00E26C8E">
        <w:rPr>
          <w:rFonts w:eastAsia="Times New Roman"/>
          <w:szCs w:val="20"/>
        </w:rPr>
        <w:t>◦</w:t>
      </w:r>
      <w:r w:rsidRPr="00E26C8E">
        <w:rPr>
          <w:rFonts w:eastAsia="Times New Roman"/>
          <w:szCs w:val="20"/>
        </w:rPr>
        <w:tab/>
        <w:t>connectivity between the proposed mining aquifer and lateral, overlying or underlying aquifers and surface water;</w:t>
      </w:r>
    </w:p>
    <w:p w:rsidR="00E26C8E" w:rsidRPr="00E26C8E" w:rsidRDefault="00E26C8E" w:rsidP="00E26C8E">
      <w:pPr>
        <w:ind w:left="1418" w:hanging="284"/>
        <w:rPr>
          <w:rFonts w:eastAsia="Times New Roman"/>
          <w:szCs w:val="20"/>
        </w:rPr>
      </w:pPr>
      <w:r w:rsidRPr="00E26C8E">
        <w:rPr>
          <w:rFonts w:eastAsia="Times New Roman"/>
          <w:szCs w:val="20"/>
        </w:rPr>
        <w:t>◦</w:t>
      </w:r>
      <w:r w:rsidRPr="00E26C8E">
        <w:rPr>
          <w:rFonts w:eastAsia="Times New Roman"/>
          <w:szCs w:val="20"/>
        </w:rPr>
        <w:tab/>
        <w:t>conceptualisation of the hydrogeology: a summary of all above and a description of the hydrogeological setting considered important for impact assessment; and</w:t>
      </w:r>
    </w:p>
    <w:p w:rsidR="00E26C8E" w:rsidRPr="00E26C8E" w:rsidRDefault="00E26C8E" w:rsidP="00E26C8E">
      <w:pPr>
        <w:ind w:left="1418" w:hanging="284"/>
        <w:rPr>
          <w:rFonts w:eastAsia="Times New Roman"/>
          <w:szCs w:val="20"/>
        </w:rPr>
      </w:pPr>
      <w:r w:rsidRPr="00E26C8E">
        <w:rPr>
          <w:rFonts w:eastAsia="Times New Roman"/>
          <w:szCs w:val="20"/>
        </w:rPr>
        <w:t>◦</w:t>
      </w:r>
      <w:r w:rsidRPr="00E26C8E">
        <w:rPr>
          <w:rFonts w:eastAsia="Times New Roman"/>
          <w:szCs w:val="20"/>
        </w:rPr>
        <w:tab/>
        <w:t>a preliminary impact assessment/numerical model of groundwater flow (and contaminant transport model, if applicable), based on the conceptual hydrogeology.</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local and regional potentiometric surface/groundwater elevation map(s) (as per 5.1.1.3) for each aquifer within the application area;</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cross-section(s) (as per 5.2.1.2) of the hydrostratigraphy;</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the environmental value of each aquifer determined according to the Environment Protection (Water Quality) Policy 2015, or any subsequent updates;</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a description of the existence, location, condition and value of all aquatic, terrestrial and subterranean Groundwater Dependent Ecosystems (GDEs) within the application area and within and immediately surrounding the extent of predicted hydrogeological impact of the proposed mine operations; and</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an assessment of any current or historical use of local groundwater by the landowner(s) and other users which includes a baseline survey of bores, including depth to groundwater, groundwater quality, bore construction details, status and purpose and collar/ground elevations.</w:t>
      </w:r>
    </w:p>
    <w:p w:rsidR="00E26C8E" w:rsidRPr="00E26C8E" w:rsidRDefault="00E26C8E" w:rsidP="00E26C8E">
      <w:pPr>
        <w:ind w:left="851" w:hanging="425"/>
        <w:rPr>
          <w:rFonts w:eastAsia="Times New Roman"/>
          <w:b/>
          <w:szCs w:val="20"/>
        </w:rPr>
      </w:pPr>
      <w:r w:rsidRPr="00E26C8E">
        <w:rPr>
          <w:rFonts w:eastAsia="Times New Roman"/>
          <w:b/>
          <w:szCs w:val="20"/>
        </w:rPr>
        <w:t>1.7</w:t>
      </w:r>
      <w:r w:rsidRPr="00E26C8E">
        <w:rPr>
          <w:rFonts w:eastAsia="Times New Roman"/>
          <w:b/>
          <w:szCs w:val="20"/>
        </w:rPr>
        <w:tab/>
        <w:t>Surface water</w:t>
      </w:r>
    </w:p>
    <w:p w:rsidR="00E26C8E" w:rsidRPr="00E26C8E" w:rsidRDefault="00E26C8E" w:rsidP="00E26C8E">
      <w:pPr>
        <w:ind w:left="851"/>
        <w:rPr>
          <w:rFonts w:eastAsia="Times New Roman"/>
          <w:szCs w:val="20"/>
        </w:rPr>
      </w:pPr>
      <w:r w:rsidRPr="00E26C8E">
        <w:rPr>
          <w:rFonts w:eastAsia="Times New Roman"/>
          <w:szCs w:val="20"/>
        </w:rPr>
        <w:t>Provide a topographic map (as per 5.1.1.1) and description of the current drainage patterns for the application area and water catchment including:</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location of watercourses, drains, dams and wetlands;</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surface water catchment boundaries;</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direction of drainage and discharge from the application area;</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 xml:space="preserve">a statement describing if the application area is within an area where the water resources are prescribed under the </w:t>
      </w:r>
      <w:r w:rsidRPr="00E26C8E">
        <w:rPr>
          <w:rFonts w:eastAsia="Times New Roman"/>
          <w:i/>
          <w:szCs w:val="20"/>
        </w:rPr>
        <w:t>Landscapes South Australia Act 2019</w:t>
      </w:r>
      <w:r w:rsidRPr="00E26C8E">
        <w:rPr>
          <w:rFonts w:eastAsia="Times New Roman"/>
          <w:szCs w:val="20"/>
        </w:rPr>
        <w:t>, and provide details on the current availability of water resources within the prescribed area;</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 xml:space="preserve">a statement if the application area is within a water protection area including areas under the </w:t>
      </w:r>
      <w:r w:rsidRPr="00E26C8E">
        <w:rPr>
          <w:rFonts w:eastAsia="Times New Roman"/>
          <w:i/>
          <w:szCs w:val="20"/>
        </w:rPr>
        <w:t>River Murray Act 2003</w:t>
      </w:r>
      <w:r w:rsidRPr="00E26C8E">
        <w:rPr>
          <w:rFonts w:eastAsia="Times New Roman"/>
          <w:szCs w:val="20"/>
        </w:rPr>
        <w:t>;</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a statement as to whether the application falls within the Murray Darling Basin; and</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groundwater – surface water interactions.</w:t>
      </w:r>
    </w:p>
    <w:p w:rsidR="00E26C8E" w:rsidRPr="00E26C8E" w:rsidRDefault="00E26C8E" w:rsidP="00E26C8E">
      <w:pPr>
        <w:ind w:left="851"/>
        <w:rPr>
          <w:rFonts w:eastAsia="Times New Roman"/>
          <w:szCs w:val="20"/>
        </w:rPr>
      </w:pPr>
      <w:r w:rsidRPr="00E26C8E">
        <w:rPr>
          <w:rFonts w:eastAsia="Times New Roman"/>
          <w:szCs w:val="20"/>
        </w:rPr>
        <w:t>Provide water quality data for identified watercourses, where there is potential for discharge into that watercourse from the proposed operation (whether intentional or not). Should identified watercourses be ephemeral, and it is not possible to collect water samples, provide a characterisation of sediments sampled from the watercourse bed upstream and downstream of the application area.</w:t>
      </w:r>
    </w:p>
    <w:p w:rsidR="00E26C8E" w:rsidRPr="00E26C8E" w:rsidRDefault="00E26C8E" w:rsidP="00E26C8E">
      <w:pPr>
        <w:ind w:left="851"/>
        <w:rPr>
          <w:rFonts w:eastAsia="Times New Roman"/>
          <w:szCs w:val="20"/>
        </w:rPr>
      </w:pPr>
      <w:r w:rsidRPr="00E26C8E">
        <w:rPr>
          <w:rFonts w:eastAsia="Times New Roman"/>
          <w:szCs w:val="20"/>
        </w:rPr>
        <w:t>If there is potential for changing a flow regime (including change in flow volume) or discharge into these watercourses from the proposed operations, an assessment of the use of this water by the landowner, downstream users and water dependent ecosystems must be included.</w:t>
      </w:r>
    </w:p>
    <w:p w:rsidR="00E26C8E" w:rsidRPr="00E26C8E" w:rsidRDefault="00E26C8E" w:rsidP="00E26C8E">
      <w:pPr>
        <w:ind w:left="851" w:hanging="425"/>
        <w:rPr>
          <w:rFonts w:eastAsia="Times New Roman"/>
          <w:b/>
          <w:szCs w:val="20"/>
        </w:rPr>
      </w:pPr>
      <w:r w:rsidRPr="00E26C8E">
        <w:rPr>
          <w:rFonts w:eastAsia="Times New Roman"/>
          <w:b/>
          <w:szCs w:val="20"/>
        </w:rPr>
        <w:t>1.8</w:t>
      </w:r>
      <w:r w:rsidRPr="00E26C8E">
        <w:rPr>
          <w:rFonts w:eastAsia="Times New Roman"/>
          <w:b/>
          <w:szCs w:val="20"/>
        </w:rPr>
        <w:tab/>
        <w:t>Vegetation, Weeds and Plant Pathogens</w:t>
      </w:r>
    </w:p>
    <w:p w:rsidR="00E26C8E" w:rsidRPr="00E26C8E" w:rsidRDefault="00E26C8E" w:rsidP="00E26C8E">
      <w:pPr>
        <w:ind w:left="851"/>
        <w:rPr>
          <w:rFonts w:eastAsia="Times New Roman"/>
          <w:szCs w:val="20"/>
        </w:rPr>
      </w:pPr>
      <w:r w:rsidRPr="00E26C8E">
        <w:rPr>
          <w:rFonts w:eastAsia="Times New Roman"/>
          <w:szCs w:val="20"/>
        </w:rPr>
        <w:t>Provide:</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a description and map (as per 5.1.1.1) of existing flora (native and introduced) in the application area and surroundings,</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the State conservation status and habitat value of native vegetation present in the application area;</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 xml:space="preserve">a description of the presence of </w:t>
      </w:r>
      <w:r w:rsidRPr="00E26C8E">
        <w:rPr>
          <w:rFonts w:eastAsia="Times New Roman"/>
          <w:i/>
          <w:szCs w:val="20"/>
        </w:rPr>
        <w:t>Commonwealth Environment Protection and Biodiversity Conservation Act 1999</w:t>
      </w:r>
      <w:r w:rsidRPr="00E26C8E">
        <w:rPr>
          <w:rFonts w:eastAsia="Times New Roman"/>
          <w:szCs w:val="20"/>
        </w:rPr>
        <w:t>, listed species and ecological communities;</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a description of the extent the application area and adjoining land is affected or potentially affected by pathogens and declared weeds; and</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if known, a description of the history of land use to identify if the existing vegetation is the result of deliberate cultivation or natural regrowth arising from previous clearance.</w:t>
      </w:r>
    </w:p>
    <w:p w:rsidR="00E26C8E" w:rsidRPr="00E26C8E" w:rsidRDefault="00E26C8E" w:rsidP="00E26C8E">
      <w:pPr>
        <w:ind w:left="851" w:hanging="425"/>
        <w:rPr>
          <w:rFonts w:eastAsia="Times New Roman"/>
          <w:b/>
          <w:szCs w:val="20"/>
        </w:rPr>
      </w:pPr>
      <w:r w:rsidRPr="00E26C8E">
        <w:rPr>
          <w:rFonts w:eastAsia="Times New Roman"/>
          <w:b/>
          <w:szCs w:val="20"/>
        </w:rPr>
        <w:t>1.9</w:t>
      </w:r>
      <w:r w:rsidRPr="00E26C8E">
        <w:rPr>
          <w:rFonts w:eastAsia="Times New Roman"/>
          <w:b/>
          <w:szCs w:val="20"/>
        </w:rPr>
        <w:tab/>
        <w:t>Fauna</w:t>
      </w:r>
    </w:p>
    <w:p w:rsidR="00E26C8E" w:rsidRPr="00E26C8E" w:rsidRDefault="00E26C8E" w:rsidP="00E26C8E">
      <w:pPr>
        <w:ind w:left="851"/>
        <w:rPr>
          <w:rFonts w:eastAsia="Times New Roman"/>
          <w:szCs w:val="20"/>
        </w:rPr>
      </w:pPr>
      <w:r w:rsidRPr="00E26C8E">
        <w:rPr>
          <w:rFonts w:eastAsia="Times New Roman"/>
          <w:szCs w:val="20"/>
        </w:rPr>
        <w:t>Describe the native and feral fauna that may be present in the application area noting State or Commonwealth conservation status of all species.</w:t>
      </w:r>
    </w:p>
    <w:p w:rsidR="00E26C8E" w:rsidRPr="00E26C8E" w:rsidRDefault="00E26C8E" w:rsidP="00E26C8E">
      <w:pPr>
        <w:ind w:left="851" w:hanging="425"/>
        <w:rPr>
          <w:rFonts w:eastAsia="Times New Roman"/>
          <w:b/>
          <w:szCs w:val="20"/>
        </w:rPr>
      </w:pPr>
      <w:r w:rsidRPr="00E26C8E">
        <w:rPr>
          <w:rFonts w:eastAsia="Times New Roman"/>
          <w:b/>
          <w:szCs w:val="20"/>
        </w:rPr>
        <w:t>1.10</w:t>
      </w:r>
      <w:r w:rsidRPr="00E26C8E">
        <w:rPr>
          <w:rFonts w:eastAsia="Times New Roman"/>
          <w:b/>
          <w:szCs w:val="20"/>
        </w:rPr>
        <w:tab/>
        <w:t>Caves</w:t>
      </w:r>
    </w:p>
    <w:p w:rsidR="00E26C8E" w:rsidRPr="00E26C8E" w:rsidRDefault="00E26C8E" w:rsidP="00E26C8E">
      <w:pPr>
        <w:ind w:left="851"/>
        <w:rPr>
          <w:rFonts w:eastAsia="Times New Roman"/>
          <w:szCs w:val="20"/>
        </w:rPr>
      </w:pPr>
      <w:r w:rsidRPr="00E26C8E">
        <w:rPr>
          <w:rFonts w:eastAsia="Times New Roman"/>
          <w:szCs w:val="20"/>
        </w:rPr>
        <w:t>If the application area is within, or near to, known caves or significant limestone formations a survey for the presence of caves must be performed.</w:t>
      </w:r>
    </w:p>
    <w:p w:rsidR="00E26C8E" w:rsidRPr="00E26C8E" w:rsidRDefault="00E26C8E" w:rsidP="00E26C8E">
      <w:pPr>
        <w:ind w:left="851"/>
        <w:rPr>
          <w:rFonts w:eastAsia="Times New Roman"/>
          <w:szCs w:val="20"/>
        </w:rPr>
      </w:pPr>
      <w:r w:rsidRPr="00E26C8E">
        <w:rPr>
          <w:rFonts w:eastAsia="Times New Roman"/>
          <w:szCs w:val="20"/>
        </w:rPr>
        <w:t>Provide a summary of the results of the survey and describe the presence of any caves in karst (limestone) areas within, or near to, the application area and show on a map (as per 5.1.1.5).</w:t>
      </w:r>
    </w:p>
    <w:p w:rsidR="00E26C8E" w:rsidRPr="00E26C8E" w:rsidRDefault="00E26C8E" w:rsidP="00E26C8E">
      <w:pPr>
        <w:spacing w:after="0" w:line="240" w:lineRule="auto"/>
        <w:jc w:val="left"/>
        <w:rPr>
          <w:rFonts w:eastAsia="Times New Roman"/>
          <w:b/>
          <w:szCs w:val="20"/>
        </w:rPr>
      </w:pPr>
      <w:r w:rsidRPr="00E26C8E">
        <w:rPr>
          <w:rFonts w:eastAsia="Times New Roman"/>
          <w:b/>
          <w:szCs w:val="20"/>
        </w:rPr>
        <w:br w:type="page"/>
      </w:r>
    </w:p>
    <w:p w:rsidR="00E26C8E" w:rsidRPr="00E26C8E" w:rsidRDefault="00E26C8E" w:rsidP="00E26C8E">
      <w:pPr>
        <w:ind w:left="851" w:hanging="425"/>
        <w:rPr>
          <w:rFonts w:eastAsia="Times New Roman"/>
          <w:b/>
          <w:szCs w:val="20"/>
        </w:rPr>
      </w:pPr>
      <w:r w:rsidRPr="00E26C8E">
        <w:rPr>
          <w:rFonts w:eastAsia="Times New Roman"/>
          <w:b/>
          <w:szCs w:val="20"/>
        </w:rPr>
        <w:t>1.11</w:t>
      </w:r>
      <w:r w:rsidRPr="00E26C8E">
        <w:rPr>
          <w:rFonts w:eastAsia="Times New Roman"/>
          <w:b/>
          <w:szCs w:val="20"/>
        </w:rPr>
        <w:tab/>
        <w:t>Local Community</w:t>
      </w:r>
    </w:p>
    <w:p w:rsidR="00E26C8E" w:rsidRPr="00E26C8E" w:rsidRDefault="00E26C8E" w:rsidP="00E26C8E">
      <w:pPr>
        <w:ind w:left="851"/>
        <w:rPr>
          <w:rFonts w:eastAsia="Times New Roman"/>
          <w:szCs w:val="20"/>
        </w:rPr>
      </w:pPr>
      <w:r w:rsidRPr="00E26C8E">
        <w:rPr>
          <w:rFonts w:eastAsia="Times New Roman"/>
          <w:szCs w:val="20"/>
        </w:rPr>
        <w:t>Provide:</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a description of the local population, the economy, services and employment; and</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details of nearest town or urban areas, with a summary of the demographics of the local population.</w:t>
      </w:r>
    </w:p>
    <w:p w:rsidR="00E26C8E" w:rsidRPr="00E26C8E" w:rsidRDefault="00E26C8E" w:rsidP="00E26C8E">
      <w:pPr>
        <w:ind w:left="851" w:hanging="425"/>
        <w:rPr>
          <w:rFonts w:eastAsia="Times New Roman"/>
          <w:b/>
          <w:szCs w:val="20"/>
        </w:rPr>
      </w:pPr>
      <w:r w:rsidRPr="00E26C8E">
        <w:rPr>
          <w:rFonts w:eastAsia="Times New Roman"/>
          <w:b/>
          <w:szCs w:val="20"/>
        </w:rPr>
        <w:t>1.12</w:t>
      </w:r>
      <w:r w:rsidRPr="00E26C8E">
        <w:rPr>
          <w:rFonts w:eastAsia="Times New Roman"/>
          <w:b/>
          <w:szCs w:val="20"/>
        </w:rPr>
        <w:tab/>
        <w:t>Landowners and Land Use</w:t>
      </w:r>
    </w:p>
    <w:p w:rsidR="00E26C8E" w:rsidRPr="00E26C8E" w:rsidRDefault="00E26C8E" w:rsidP="00E26C8E">
      <w:pPr>
        <w:ind w:left="851"/>
        <w:rPr>
          <w:rFonts w:eastAsia="Times New Roman"/>
          <w:szCs w:val="20"/>
        </w:rPr>
      </w:pPr>
      <w:r w:rsidRPr="00E26C8E">
        <w:rPr>
          <w:rFonts w:eastAsia="Times New Roman"/>
          <w:szCs w:val="20"/>
        </w:rPr>
        <w:t>Provide a description of:</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land ownership for all titles within and adjacent to the application area;</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land use (historical and current) for the application area and the surrounding areas;</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the zoning as defined by the Planning and Design Code or relevant council development plans;</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policies relevant to the application area, including region or council wide, zone specific and sub areas within a zone;</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known plans for potential future land use changes by other parties; and</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any other interests or restrictions on the application area, including:</w:t>
      </w:r>
    </w:p>
    <w:p w:rsidR="00E26C8E" w:rsidRPr="00E26C8E" w:rsidRDefault="00E26C8E" w:rsidP="00E26C8E">
      <w:pPr>
        <w:ind w:left="1418" w:hanging="284"/>
        <w:rPr>
          <w:rFonts w:eastAsia="Times New Roman"/>
          <w:szCs w:val="20"/>
        </w:rPr>
      </w:pPr>
      <w:r w:rsidRPr="00E26C8E">
        <w:rPr>
          <w:rFonts w:eastAsia="Times New Roman"/>
          <w:szCs w:val="20"/>
        </w:rPr>
        <w:t>◦</w:t>
      </w:r>
      <w:r w:rsidRPr="00E26C8E">
        <w:rPr>
          <w:rFonts w:eastAsia="Times New Roman"/>
          <w:szCs w:val="20"/>
        </w:rPr>
        <w:tab/>
        <w:t>public utility easements;</w:t>
      </w:r>
    </w:p>
    <w:p w:rsidR="00E26C8E" w:rsidRPr="00E26C8E" w:rsidRDefault="00E26C8E" w:rsidP="00E26C8E">
      <w:pPr>
        <w:ind w:left="1418" w:hanging="284"/>
        <w:rPr>
          <w:rFonts w:eastAsia="Times New Roman"/>
          <w:szCs w:val="20"/>
        </w:rPr>
      </w:pPr>
      <w:r w:rsidRPr="00E26C8E">
        <w:rPr>
          <w:rFonts w:eastAsia="Times New Roman"/>
          <w:szCs w:val="20"/>
        </w:rPr>
        <w:t>◦</w:t>
      </w:r>
      <w:r w:rsidRPr="00E26C8E">
        <w:rPr>
          <w:rFonts w:eastAsia="Times New Roman"/>
          <w:szCs w:val="20"/>
        </w:rPr>
        <w:tab/>
        <w:t>if the application is within land used for defence purposes, including (but not limited to) the Woomera Prohibited Area or the Cultana Army Training Area;</w:t>
      </w:r>
    </w:p>
    <w:p w:rsidR="00E26C8E" w:rsidRPr="00E26C8E" w:rsidRDefault="00E26C8E" w:rsidP="00E26C8E">
      <w:pPr>
        <w:ind w:left="1418" w:hanging="284"/>
        <w:rPr>
          <w:rFonts w:eastAsia="Times New Roman"/>
          <w:szCs w:val="20"/>
        </w:rPr>
      </w:pPr>
      <w:r w:rsidRPr="00E26C8E">
        <w:rPr>
          <w:rFonts w:eastAsia="Times New Roman"/>
          <w:szCs w:val="20"/>
        </w:rPr>
        <w:t>◦</w:t>
      </w:r>
      <w:r w:rsidRPr="00E26C8E">
        <w:rPr>
          <w:rFonts w:eastAsia="Times New Roman"/>
          <w:szCs w:val="20"/>
        </w:rPr>
        <w:tab/>
        <w:t xml:space="preserve">any overlapping or adjacent tenements under the </w:t>
      </w:r>
      <w:r w:rsidRPr="00E26C8E">
        <w:rPr>
          <w:rFonts w:eastAsia="Times New Roman"/>
          <w:i/>
          <w:szCs w:val="20"/>
        </w:rPr>
        <w:t>Mining Act 1971</w:t>
      </w:r>
      <w:r w:rsidRPr="00E26C8E">
        <w:rPr>
          <w:rFonts w:eastAsia="Times New Roman"/>
          <w:szCs w:val="20"/>
        </w:rPr>
        <w:t xml:space="preserve">, or </w:t>
      </w:r>
      <w:r w:rsidRPr="00E26C8E">
        <w:rPr>
          <w:rFonts w:eastAsia="Times New Roman"/>
          <w:i/>
          <w:szCs w:val="20"/>
        </w:rPr>
        <w:t>Petroleum and Geothermal Energy Act 2000</w:t>
      </w:r>
      <w:r w:rsidRPr="00E26C8E">
        <w:rPr>
          <w:rFonts w:eastAsia="Times New Roman"/>
          <w:szCs w:val="20"/>
        </w:rPr>
        <w:t>.</w:t>
      </w:r>
    </w:p>
    <w:p w:rsidR="00E26C8E" w:rsidRPr="00E26C8E" w:rsidRDefault="00E26C8E" w:rsidP="00E26C8E">
      <w:pPr>
        <w:ind w:left="851" w:hanging="425"/>
        <w:rPr>
          <w:rFonts w:eastAsia="Times New Roman"/>
          <w:b/>
          <w:szCs w:val="20"/>
        </w:rPr>
      </w:pPr>
      <w:r w:rsidRPr="00E26C8E">
        <w:rPr>
          <w:rFonts w:eastAsia="Times New Roman"/>
          <w:b/>
          <w:szCs w:val="20"/>
        </w:rPr>
        <w:t>1.13</w:t>
      </w:r>
      <w:r w:rsidRPr="00E26C8E">
        <w:rPr>
          <w:rFonts w:eastAsia="Times New Roman"/>
          <w:b/>
          <w:szCs w:val="20"/>
        </w:rPr>
        <w:tab/>
        <w:t>Proximity to Infrastructure and Housing</w:t>
      </w:r>
    </w:p>
    <w:p w:rsidR="00E26C8E" w:rsidRPr="00E26C8E" w:rsidRDefault="00E26C8E" w:rsidP="00E26C8E">
      <w:pPr>
        <w:ind w:left="851"/>
        <w:rPr>
          <w:rFonts w:eastAsia="Times New Roman"/>
          <w:szCs w:val="20"/>
        </w:rPr>
      </w:pPr>
      <w:r w:rsidRPr="00E26C8E">
        <w:rPr>
          <w:rFonts w:eastAsia="Times New Roman"/>
          <w:szCs w:val="20"/>
        </w:rPr>
        <w:t>Provide information and a map (as per 5.1.1.4):</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identifying residences within and near the application area;</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identifying other human infrastructure such as (but not limited to) schools, hospitals, commercial or industrial sites, roads, sheds, bores, dams, ruins, pumps, cemeteries, scenic lookouts, roads, railway lines, fences, transmission lines, gas and water pipelines, and telephone lines (both underground and above ground); and</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identifying public roads to be utilised or affected as part of proposed operations, including an estimate of the existing traffic movements.</w:t>
      </w:r>
    </w:p>
    <w:p w:rsidR="00E26C8E" w:rsidRPr="00E26C8E" w:rsidRDefault="00E26C8E" w:rsidP="00E26C8E">
      <w:pPr>
        <w:ind w:left="851" w:hanging="425"/>
        <w:rPr>
          <w:rFonts w:eastAsia="Times New Roman"/>
          <w:b/>
          <w:szCs w:val="20"/>
        </w:rPr>
      </w:pPr>
      <w:r w:rsidRPr="00E26C8E">
        <w:rPr>
          <w:rFonts w:eastAsia="Times New Roman"/>
          <w:b/>
          <w:szCs w:val="20"/>
        </w:rPr>
        <w:t>1.14</w:t>
      </w:r>
      <w:r w:rsidRPr="00E26C8E">
        <w:rPr>
          <w:rFonts w:eastAsia="Times New Roman"/>
          <w:b/>
          <w:szCs w:val="20"/>
        </w:rPr>
        <w:tab/>
        <w:t>Exempt Land</w:t>
      </w:r>
    </w:p>
    <w:p w:rsidR="00E26C8E" w:rsidRPr="00E26C8E" w:rsidRDefault="00E26C8E" w:rsidP="00E26C8E">
      <w:pPr>
        <w:ind w:left="851"/>
        <w:rPr>
          <w:rFonts w:eastAsia="Times New Roman"/>
          <w:szCs w:val="20"/>
        </w:rPr>
      </w:pPr>
      <w:r w:rsidRPr="00E26C8E">
        <w:rPr>
          <w:rFonts w:eastAsia="Times New Roman"/>
          <w:szCs w:val="20"/>
        </w:rPr>
        <w:t xml:space="preserve">Provide a description and map (as per 5.1.1.4) of any applicable exempt land under Section 9 of the </w:t>
      </w:r>
      <w:r w:rsidRPr="00E26C8E">
        <w:rPr>
          <w:rFonts w:eastAsia="Times New Roman"/>
          <w:i/>
          <w:szCs w:val="20"/>
        </w:rPr>
        <w:t>Mining Act 1971</w:t>
      </w:r>
      <w:r w:rsidRPr="00E26C8E">
        <w:rPr>
          <w:rFonts w:eastAsia="Times New Roman"/>
          <w:szCs w:val="20"/>
        </w:rPr>
        <w:t>.</w:t>
      </w:r>
    </w:p>
    <w:p w:rsidR="00E26C8E" w:rsidRPr="00E26C8E" w:rsidRDefault="00E26C8E" w:rsidP="00E26C8E">
      <w:pPr>
        <w:ind w:left="851" w:hanging="425"/>
        <w:rPr>
          <w:rFonts w:eastAsia="Times New Roman"/>
          <w:b/>
          <w:szCs w:val="20"/>
        </w:rPr>
      </w:pPr>
      <w:r w:rsidRPr="00E26C8E">
        <w:rPr>
          <w:rFonts w:eastAsia="Times New Roman"/>
          <w:b/>
          <w:szCs w:val="20"/>
        </w:rPr>
        <w:t>1.15</w:t>
      </w:r>
      <w:r w:rsidRPr="00E26C8E">
        <w:rPr>
          <w:rFonts w:eastAsia="Times New Roman"/>
          <w:b/>
          <w:szCs w:val="20"/>
        </w:rPr>
        <w:tab/>
        <w:t>Amenity</w:t>
      </w:r>
    </w:p>
    <w:p w:rsidR="00E26C8E" w:rsidRPr="00E26C8E" w:rsidRDefault="00E26C8E" w:rsidP="00E26C8E">
      <w:pPr>
        <w:ind w:left="851"/>
        <w:rPr>
          <w:rFonts w:eastAsia="Times New Roman"/>
          <w:szCs w:val="20"/>
        </w:rPr>
      </w:pPr>
      <w:r w:rsidRPr="00E26C8E">
        <w:rPr>
          <w:rFonts w:eastAsia="Times New Roman"/>
          <w:szCs w:val="20"/>
        </w:rPr>
        <w:t>Provide a description of scenic or aesthetic values for the application area and immediate surrounds, including features of community, tourist or visitor interest.</w:t>
      </w:r>
    </w:p>
    <w:p w:rsidR="00E26C8E" w:rsidRPr="00E26C8E" w:rsidRDefault="00E26C8E" w:rsidP="00E26C8E">
      <w:pPr>
        <w:ind w:left="851" w:hanging="425"/>
        <w:rPr>
          <w:rFonts w:eastAsia="Times New Roman"/>
          <w:b/>
          <w:szCs w:val="20"/>
        </w:rPr>
      </w:pPr>
      <w:r w:rsidRPr="00E26C8E">
        <w:rPr>
          <w:rFonts w:eastAsia="Times New Roman"/>
          <w:b/>
          <w:szCs w:val="20"/>
        </w:rPr>
        <w:t>1.16</w:t>
      </w:r>
      <w:r w:rsidRPr="00E26C8E">
        <w:rPr>
          <w:rFonts w:eastAsia="Times New Roman"/>
          <w:b/>
          <w:szCs w:val="20"/>
        </w:rPr>
        <w:tab/>
        <w:t>Air Quality</w:t>
      </w:r>
    </w:p>
    <w:p w:rsidR="00E26C8E" w:rsidRPr="00E26C8E" w:rsidRDefault="00E26C8E" w:rsidP="00E26C8E">
      <w:pPr>
        <w:ind w:left="851"/>
        <w:rPr>
          <w:rFonts w:eastAsia="Times New Roman"/>
          <w:szCs w:val="20"/>
        </w:rPr>
      </w:pPr>
      <w:r w:rsidRPr="00E26C8E">
        <w:rPr>
          <w:rFonts w:eastAsia="Times New Roman"/>
          <w:szCs w:val="20"/>
        </w:rPr>
        <w:t>Provide a description of the existing levels of dust and contributors to air quality including odour (both natural and anthropogenic).</w:t>
      </w:r>
    </w:p>
    <w:p w:rsidR="00E26C8E" w:rsidRPr="00E26C8E" w:rsidRDefault="00E26C8E" w:rsidP="00E26C8E">
      <w:pPr>
        <w:ind w:left="851" w:hanging="425"/>
        <w:rPr>
          <w:rFonts w:eastAsia="Times New Roman"/>
          <w:b/>
          <w:szCs w:val="20"/>
        </w:rPr>
      </w:pPr>
      <w:r w:rsidRPr="00E26C8E">
        <w:rPr>
          <w:rFonts w:eastAsia="Times New Roman"/>
          <w:b/>
          <w:szCs w:val="20"/>
        </w:rPr>
        <w:t>1.17</w:t>
      </w:r>
      <w:r w:rsidRPr="00E26C8E">
        <w:rPr>
          <w:rFonts w:eastAsia="Times New Roman"/>
          <w:b/>
          <w:szCs w:val="20"/>
        </w:rPr>
        <w:tab/>
        <w:t>Noise</w:t>
      </w:r>
    </w:p>
    <w:p w:rsidR="00E26C8E" w:rsidRPr="00E26C8E" w:rsidRDefault="00E26C8E" w:rsidP="00E26C8E">
      <w:pPr>
        <w:ind w:left="851"/>
        <w:rPr>
          <w:rFonts w:eastAsia="Times New Roman"/>
          <w:szCs w:val="20"/>
        </w:rPr>
      </w:pPr>
      <w:r w:rsidRPr="00E26C8E">
        <w:rPr>
          <w:rFonts w:eastAsia="Times New Roman"/>
          <w:szCs w:val="20"/>
        </w:rPr>
        <w:t>Provide a description and measurement data of the existing levels of noise and contributors to noise (both natural and anthropogenic).</w:t>
      </w:r>
    </w:p>
    <w:p w:rsidR="00E26C8E" w:rsidRPr="00E26C8E" w:rsidRDefault="00E26C8E" w:rsidP="00E26C8E">
      <w:pPr>
        <w:ind w:left="851" w:hanging="425"/>
        <w:rPr>
          <w:rFonts w:eastAsia="Times New Roman"/>
          <w:b/>
          <w:szCs w:val="20"/>
        </w:rPr>
      </w:pPr>
      <w:r w:rsidRPr="00E26C8E">
        <w:rPr>
          <w:rFonts w:eastAsia="Times New Roman"/>
          <w:b/>
          <w:szCs w:val="20"/>
        </w:rPr>
        <w:t>1.18</w:t>
      </w:r>
      <w:r w:rsidRPr="00E26C8E">
        <w:rPr>
          <w:rFonts w:eastAsia="Times New Roman"/>
          <w:b/>
          <w:szCs w:val="20"/>
        </w:rPr>
        <w:tab/>
        <w:t>Heritage (Aboriginal, European, Geological)</w:t>
      </w:r>
    </w:p>
    <w:p w:rsidR="00E26C8E" w:rsidRPr="00E26C8E" w:rsidRDefault="00E26C8E" w:rsidP="00E26C8E">
      <w:pPr>
        <w:ind w:left="851"/>
        <w:rPr>
          <w:rFonts w:eastAsia="Times New Roman"/>
          <w:szCs w:val="20"/>
        </w:rPr>
      </w:pPr>
      <w:r w:rsidRPr="00E26C8E">
        <w:rPr>
          <w:rFonts w:eastAsia="Times New Roman"/>
          <w:szCs w:val="20"/>
        </w:rPr>
        <w:t>Detail and show on a map (as per 5.1.1.1):</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any registered heritage sites in or adjacent to the application areas that are protected under legislation (in so far as may be permitted under the relevant legislation); and</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include a statement concerning whether or not an Aboriginal cultural heritage survey has been conducted by the proponent and if so, the results of the survey.</w:t>
      </w:r>
    </w:p>
    <w:p w:rsidR="00E26C8E" w:rsidRPr="00E26C8E" w:rsidRDefault="00E26C8E" w:rsidP="00E26C8E">
      <w:pPr>
        <w:ind w:left="851" w:hanging="425"/>
        <w:rPr>
          <w:rFonts w:eastAsia="Times New Roman"/>
          <w:b/>
          <w:szCs w:val="20"/>
        </w:rPr>
      </w:pPr>
      <w:r w:rsidRPr="00E26C8E">
        <w:rPr>
          <w:rFonts w:eastAsia="Times New Roman"/>
          <w:b/>
          <w:szCs w:val="20"/>
        </w:rPr>
        <w:t>1.19</w:t>
      </w:r>
      <w:r w:rsidRPr="00E26C8E">
        <w:rPr>
          <w:rFonts w:eastAsia="Times New Roman"/>
          <w:b/>
          <w:szCs w:val="20"/>
        </w:rPr>
        <w:tab/>
        <w:t>Proximity to Conservation Areas</w:t>
      </w:r>
    </w:p>
    <w:p w:rsidR="00E26C8E" w:rsidRPr="00E26C8E" w:rsidRDefault="00E26C8E" w:rsidP="00E26C8E">
      <w:pPr>
        <w:ind w:left="851"/>
        <w:rPr>
          <w:rFonts w:eastAsia="Times New Roman"/>
          <w:szCs w:val="20"/>
        </w:rPr>
      </w:pPr>
      <w:r w:rsidRPr="00E26C8E">
        <w:rPr>
          <w:rFonts w:eastAsia="Times New Roman"/>
          <w:szCs w:val="20"/>
        </w:rPr>
        <w:t>Provide:</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information and a map (as per 5.1.1.1) showing proximity to national parks and reserves, private conservation areas, Commonwealth recognised conservation areas, heritage agreement areas and geological heritage sites; and</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a statement as to whether the application area falls within the Adelaide Dolphin Sanctuary, Adelaide International Bird Sanctuary or a Marine Park.</w:t>
      </w:r>
    </w:p>
    <w:p w:rsidR="00E26C8E" w:rsidRPr="00E26C8E" w:rsidRDefault="00E26C8E" w:rsidP="00E26C8E">
      <w:pPr>
        <w:ind w:left="851" w:hanging="425"/>
        <w:rPr>
          <w:rFonts w:eastAsia="Times New Roman"/>
          <w:b/>
          <w:szCs w:val="20"/>
        </w:rPr>
      </w:pPr>
      <w:r w:rsidRPr="00E26C8E">
        <w:rPr>
          <w:rFonts w:eastAsia="Times New Roman"/>
          <w:b/>
          <w:szCs w:val="20"/>
        </w:rPr>
        <w:t>1.20</w:t>
      </w:r>
      <w:r w:rsidRPr="00E26C8E">
        <w:rPr>
          <w:rFonts w:eastAsia="Times New Roman"/>
          <w:b/>
          <w:szCs w:val="20"/>
        </w:rPr>
        <w:tab/>
        <w:t>Pre-existing Site Contamination and Previous Disturbance</w:t>
      </w:r>
    </w:p>
    <w:p w:rsidR="00E26C8E" w:rsidRPr="00E26C8E" w:rsidRDefault="00E26C8E" w:rsidP="00E26C8E">
      <w:pPr>
        <w:ind w:left="851"/>
        <w:rPr>
          <w:rFonts w:eastAsia="Times New Roman"/>
          <w:szCs w:val="20"/>
        </w:rPr>
      </w:pPr>
      <w:r w:rsidRPr="00E26C8E">
        <w:rPr>
          <w:rFonts w:eastAsia="Times New Roman"/>
          <w:szCs w:val="20"/>
        </w:rPr>
        <w:t>Provide information and a map (as per 5.1.1.1) showing:</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any known existing contamination of the site and of any disturbance by previous operations or other activities.</w:t>
      </w:r>
    </w:p>
    <w:p w:rsidR="00E26C8E" w:rsidRPr="00E26C8E" w:rsidRDefault="00E26C8E" w:rsidP="00E26C8E">
      <w:pPr>
        <w:spacing w:after="0" w:line="240" w:lineRule="auto"/>
        <w:jc w:val="left"/>
        <w:rPr>
          <w:rFonts w:eastAsia="Times New Roman"/>
          <w:b/>
          <w:szCs w:val="20"/>
        </w:rPr>
      </w:pPr>
      <w:r w:rsidRPr="00E26C8E">
        <w:rPr>
          <w:rFonts w:eastAsia="Times New Roman"/>
          <w:b/>
          <w:szCs w:val="20"/>
        </w:rPr>
        <w:br w:type="page"/>
      </w:r>
    </w:p>
    <w:p w:rsidR="00E26C8E" w:rsidRPr="00E26C8E" w:rsidRDefault="00E26C8E" w:rsidP="00E26C8E">
      <w:pPr>
        <w:ind w:left="426" w:hanging="284"/>
        <w:rPr>
          <w:rFonts w:eastAsia="Times New Roman"/>
          <w:b/>
          <w:szCs w:val="20"/>
        </w:rPr>
      </w:pPr>
      <w:r w:rsidRPr="00E26C8E">
        <w:rPr>
          <w:rFonts w:eastAsia="Times New Roman"/>
          <w:b/>
          <w:szCs w:val="20"/>
        </w:rPr>
        <w:t>2.</w:t>
      </w:r>
      <w:r w:rsidRPr="00E26C8E">
        <w:rPr>
          <w:rFonts w:eastAsia="Times New Roman"/>
          <w:b/>
          <w:szCs w:val="20"/>
        </w:rPr>
        <w:tab/>
        <w:t>DESCRIPTION OF THE PROPOSED OPERATIONS</w:t>
      </w:r>
    </w:p>
    <w:p w:rsidR="00E26C8E" w:rsidRPr="00E26C8E" w:rsidRDefault="00E26C8E" w:rsidP="00E26C8E">
      <w:pPr>
        <w:ind w:left="426"/>
        <w:rPr>
          <w:rFonts w:eastAsia="Times New Roman"/>
          <w:szCs w:val="20"/>
        </w:rPr>
      </w:pPr>
      <w:r w:rsidRPr="00E26C8E">
        <w:rPr>
          <w:rFonts w:eastAsia="Times New Roman"/>
          <w:szCs w:val="20"/>
        </w:rPr>
        <w:t xml:space="preserve">In specifying the nature and extent of the authorised operations that are proposed in accordance with sections 36(1)(c)(i) and 49(1)(c)(i) of the </w:t>
      </w:r>
      <w:r w:rsidRPr="00E26C8E">
        <w:rPr>
          <w:rFonts w:eastAsia="Times New Roman"/>
          <w:i/>
          <w:szCs w:val="20"/>
        </w:rPr>
        <w:t>Mining Act 1971</w:t>
      </w:r>
      <w:r w:rsidRPr="00E26C8E">
        <w:rPr>
          <w:rFonts w:eastAsia="Times New Roman"/>
          <w:szCs w:val="20"/>
        </w:rPr>
        <w:t xml:space="preserve">, the Minister determines in accordance with regulation 46(6)(e) of the </w:t>
      </w:r>
      <w:r w:rsidRPr="00E26C8E">
        <w:rPr>
          <w:rFonts w:eastAsia="Times New Roman"/>
          <w:i/>
          <w:szCs w:val="20"/>
        </w:rPr>
        <w:t>Mining Regulations 2020</w:t>
      </w:r>
      <w:r w:rsidRPr="00E26C8E">
        <w:rPr>
          <w:rFonts w:eastAsia="Times New Roman"/>
          <w:szCs w:val="20"/>
        </w:rPr>
        <w:t xml:space="preserve"> that a proposal must include a description of the proposed operations as set out in this Terms of Reference. Each of the elements listed in clauses 2.1–2.10 must be described only to the extent that they apply to the proposed mine operation.</w:t>
      </w:r>
    </w:p>
    <w:p w:rsidR="00E26C8E" w:rsidRPr="00E26C8E" w:rsidRDefault="00E26C8E" w:rsidP="00E26C8E">
      <w:pPr>
        <w:ind w:left="851" w:hanging="425"/>
        <w:rPr>
          <w:rFonts w:eastAsia="Times New Roman"/>
          <w:b/>
          <w:szCs w:val="20"/>
        </w:rPr>
      </w:pPr>
      <w:r w:rsidRPr="00E26C8E">
        <w:rPr>
          <w:rFonts w:eastAsia="Times New Roman"/>
          <w:b/>
          <w:szCs w:val="20"/>
        </w:rPr>
        <w:t>2.1</w:t>
      </w:r>
      <w:r w:rsidRPr="00E26C8E">
        <w:rPr>
          <w:rFonts w:eastAsia="Times New Roman"/>
          <w:b/>
          <w:szCs w:val="20"/>
        </w:rPr>
        <w:tab/>
        <w:t>General Description and Maps/Plans of Operations</w:t>
      </w:r>
    </w:p>
    <w:p w:rsidR="00E26C8E" w:rsidRPr="00E26C8E" w:rsidRDefault="00E26C8E" w:rsidP="00E26C8E">
      <w:pPr>
        <w:ind w:left="851"/>
        <w:rPr>
          <w:rFonts w:eastAsia="Times New Roman"/>
          <w:szCs w:val="20"/>
        </w:rPr>
      </w:pPr>
      <w:r w:rsidRPr="00E26C8E">
        <w:rPr>
          <w:rFonts w:eastAsia="Times New Roman"/>
          <w:szCs w:val="20"/>
        </w:rPr>
        <w:t>Provide a summary description of all elements of the proposed operation, including mining, processing and waste management (include maps/plans and cross sections as per 5.1.2 and 5.2.2).</w:t>
      </w:r>
    </w:p>
    <w:p w:rsidR="00E26C8E" w:rsidRPr="00E26C8E" w:rsidRDefault="00E26C8E" w:rsidP="00E26C8E">
      <w:pPr>
        <w:ind w:left="1418" w:hanging="567"/>
        <w:rPr>
          <w:rFonts w:eastAsia="Times New Roman"/>
          <w:b/>
          <w:szCs w:val="20"/>
        </w:rPr>
      </w:pPr>
      <w:r w:rsidRPr="00E26C8E">
        <w:rPr>
          <w:rFonts w:eastAsia="Times New Roman"/>
          <w:b/>
          <w:szCs w:val="20"/>
        </w:rPr>
        <w:t>2.1.1</w:t>
      </w:r>
      <w:r w:rsidRPr="00E26C8E">
        <w:rPr>
          <w:rFonts w:eastAsia="Times New Roman"/>
          <w:b/>
          <w:szCs w:val="20"/>
        </w:rPr>
        <w:tab/>
        <w:t>Options</w:t>
      </w:r>
    </w:p>
    <w:p w:rsidR="00E26C8E" w:rsidRPr="00E26C8E" w:rsidRDefault="00E26C8E" w:rsidP="00E26C8E">
      <w:pPr>
        <w:ind w:left="1418"/>
        <w:rPr>
          <w:rFonts w:eastAsia="Times New Roman"/>
          <w:szCs w:val="20"/>
        </w:rPr>
      </w:pPr>
      <w:r w:rsidRPr="00E26C8E">
        <w:rPr>
          <w:rFonts w:eastAsia="Times New Roman"/>
          <w:szCs w:val="20"/>
        </w:rPr>
        <w:t>Provide a summary description of relevant options considered for mining, processing and mine waste management strategies, and provide justification for the chosen strategies, including a description of any elimination or substitution strategies that have been adopted to control a hazard in order to protect the environment.</w:t>
      </w:r>
    </w:p>
    <w:p w:rsidR="00E26C8E" w:rsidRPr="00E26C8E" w:rsidRDefault="00E26C8E" w:rsidP="00E26C8E">
      <w:pPr>
        <w:ind w:left="851" w:hanging="425"/>
        <w:rPr>
          <w:rFonts w:eastAsia="Times New Roman"/>
          <w:b/>
          <w:szCs w:val="20"/>
        </w:rPr>
      </w:pPr>
      <w:r w:rsidRPr="00E26C8E">
        <w:rPr>
          <w:rFonts w:eastAsia="Times New Roman"/>
          <w:b/>
          <w:szCs w:val="20"/>
        </w:rPr>
        <w:t>2.2</w:t>
      </w:r>
      <w:r w:rsidRPr="00E26C8E">
        <w:rPr>
          <w:rFonts w:eastAsia="Times New Roman"/>
          <w:b/>
          <w:szCs w:val="20"/>
        </w:rPr>
        <w:tab/>
        <w:t>Reserves, Products and Market</w:t>
      </w:r>
    </w:p>
    <w:p w:rsidR="00E26C8E" w:rsidRPr="00E26C8E" w:rsidRDefault="00E26C8E" w:rsidP="00E26C8E">
      <w:pPr>
        <w:ind w:left="1418" w:hanging="567"/>
        <w:rPr>
          <w:rFonts w:eastAsia="Times New Roman"/>
          <w:b/>
          <w:szCs w:val="20"/>
        </w:rPr>
      </w:pPr>
      <w:r w:rsidRPr="00E26C8E">
        <w:rPr>
          <w:rFonts w:eastAsia="Times New Roman"/>
          <w:b/>
          <w:szCs w:val="20"/>
        </w:rPr>
        <w:t>2.2.1</w:t>
      </w:r>
      <w:r w:rsidRPr="00E26C8E">
        <w:rPr>
          <w:rFonts w:eastAsia="Times New Roman"/>
          <w:b/>
          <w:szCs w:val="20"/>
        </w:rPr>
        <w:tab/>
        <w:t>Ore Reserves or Mineral Resources (or both)</w:t>
      </w:r>
    </w:p>
    <w:p w:rsidR="00E26C8E" w:rsidRPr="00E26C8E" w:rsidRDefault="00E26C8E" w:rsidP="00E26C8E">
      <w:pPr>
        <w:ind w:left="1418"/>
        <w:rPr>
          <w:rFonts w:eastAsia="Times New Roman"/>
          <w:szCs w:val="20"/>
        </w:rPr>
      </w:pPr>
      <w:r w:rsidRPr="00E26C8E">
        <w:rPr>
          <w:rFonts w:eastAsia="Times New Roman"/>
          <w:szCs w:val="20"/>
        </w:rPr>
        <w:t>Provide:</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a statement of the current Australasian Joint Ore Reserves Committee (JORC) compliant ore reserve or mineral resource estimates (or both) in the application area;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a statement of what reserve and/or resource forms the basis for the application;</w:t>
      </w:r>
    </w:p>
    <w:p w:rsidR="00E26C8E" w:rsidRPr="00E26C8E" w:rsidRDefault="00E26C8E" w:rsidP="00E26C8E">
      <w:pPr>
        <w:ind w:left="1418"/>
        <w:rPr>
          <w:rFonts w:eastAsia="Times New Roman"/>
          <w:szCs w:val="20"/>
        </w:rPr>
      </w:pPr>
      <w:r w:rsidRPr="00E26C8E">
        <w:rPr>
          <w:rFonts w:eastAsia="Times New Roman"/>
          <w:szCs w:val="20"/>
        </w:rPr>
        <w:t>or (if a JORC compliant reserve or resource (or both) has not been reported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an estimate of the resource to be mined and the basis of this estimate.</w:t>
      </w:r>
    </w:p>
    <w:p w:rsidR="00E26C8E" w:rsidRPr="00E26C8E" w:rsidRDefault="00E26C8E" w:rsidP="00E26C8E">
      <w:pPr>
        <w:ind w:left="1418"/>
        <w:rPr>
          <w:rFonts w:eastAsia="Times New Roman"/>
          <w:szCs w:val="20"/>
        </w:rPr>
      </w:pPr>
      <w:r w:rsidRPr="00E26C8E">
        <w:rPr>
          <w:rFonts w:eastAsia="Times New Roman"/>
          <w:szCs w:val="20"/>
        </w:rPr>
        <w:t>Provide steps that have been taken to ensure proposed mining operations will not sterilize/prevent future extraction of mineral resources.</w:t>
      </w:r>
    </w:p>
    <w:p w:rsidR="00E26C8E" w:rsidRPr="00E26C8E" w:rsidRDefault="00E26C8E" w:rsidP="00E26C8E">
      <w:pPr>
        <w:ind w:left="1418" w:hanging="567"/>
        <w:rPr>
          <w:rFonts w:eastAsia="Times New Roman"/>
          <w:b/>
          <w:szCs w:val="20"/>
        </w:rPr>
      </w:pPr>
      <w:r w:rsidRPr="00E26C8E">
        <w:rPr>
          <w:rFonts w:eastAsia="Times New Roman"/>
          <w:b/>
          <w:szCs w:val="20"/>
        </w:rPr>
        <w:t>2.2.2</w:t>
      </w:r>
      <w:r w:rsidRPr="00E26C8E">
        <w:rPr>
          <w:rFonts w:eastAsia="Times New Roman"/>
          <w:b/>
          <w:szCs w:val="20"/>
        </w:rPr>
        <w:tab/>
        <w:t>Production Rate and Products</w:t>
      </w:r>
    </w:p>
    <w:p w:rsidR="00E26C8E" w:rsidRPr="00E26C8E" w:rsidRDefault="00E26C8E" w:rsidP="00E26C8E">
      <w:pPr>
        <w:ind w:left="1418"/>
        <w:rPr>
          <w:rFonts w:eastAsia="Times New Roman"/>
          <w:szCs w:val="20"/>
        </w:rPr>
      </w:pPr>
      <w:r w:rsidRPr="00E26C8E">
        <w:rPr>
          <w:rFonts w:eastAsia="Times New Roman"/>
          <w:szCs w:val="20"/>
        </w:rPr>
        <w:t>Provide:</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a statement of the relevant commodities that are proposed to be extracted, recovered, processed and sold, and the expected market or end use;</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a statement of any other commodities present in the application area that are not proposed to be recovered for sale, and the reasons for this decision;</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a quantitative estimate of production of mine gate product(s) for the life of mine, and a schedule of the annual production of mine gate product(s);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 xml:space="preserve">a statement if any extractive minerals (as defined by Section 6 of the </w:t>
      </w:r>
      <w:r w:rsidRPr="00E26C8E">
        <w:rPr>
          <w:rFonts w:eastAsia="Times New Roman"/>
          <w:i/>
          <w:szCs w:val="20"/>
        </w:rPr>
        <w:t>Mining Act 1971</w:t>
      </w:r>
      <w:r w:rsidRPr="00E26C8E">
        <w:rPr>
          <w:rFonts w:eastAsia="Times New Roman"/>
          <w:szCs w:val="20"/>
        </w:rPr>
        <w:t>) will leave the lease.</w:t>
      </w:r>
    </w:p>
    <w:p w:rsidR="00E26C8E" w:rsidRPr="00E26C8E" w:rsidRDefault="00E26C8E" w:rsidP="00E26C8E">
      <w:pPr>
        <w:ind w:left="851" w:hanging="425"/>
        <w:rPr>
          <w:rFonts w:eastAsia="Times New Roman"/>
          <w:b/>
          <w:szCs w:val="20"/>
        </w:rPr>
      </w:pPr>
      <w:r w:rsidRPr="00E26C8E">
        <w:rPr>
          <w:rFonts w:eastAsia="Times New Roman"/>
          <w:b/>
          <w:szCs w:val="20"/>
        </w:rPr>
        <w:t>2.3</w:t>
      </w:r>
      <w:r w:rsidRPr="00E26C8E">
        <w:rPr>
          <w:rFonts w:eastAsia="Times New Roman"/>
          <w:b/>
          <w:szCs w:val="20"/>
        </w:rPr>
        <w:tab/>
        <w:t>Exploration Activities</w:t>
      </w:r>
    </w:p>
    <w:p w:rsidR="00E26C8E" w:rsidRPr="00E26C8E" w:rsidRDefault="00E26C8E" w:rsidP="00E26C8E">
      <w:pPr>
        <w:ind w:left="851"/>
        <w:rPr>
          <w:rFonts w:eastAsia="Times New Roman"/>
          <w:szCs w:val="20"/>
        </w:rPr>
      </w:pPr>
      <w:r w:rsidRPr="00E26C8E">
        <w:rPr>
          <w:rFonts w:eastAsia="Times New Roman"/>
          <w:szCs w:val="20"/>
        </w:rPr>
        <w:t>Provide information that details all exploration activities to be undertaken within the application area as a part of the proposed mining operation, including:</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purpose of the activities (i.e. resource drill-out or resource extension);</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types of drilling;</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geophysical techniques likely to be used;</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earthworks required to conduct exploration activities;</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equipment required to conduct exploration activities; and</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rehabilitation methods for exploration works (including that not yet rehabilitated from previous tenure).</w:t>
      </w:r>
    </w:p>
    <w:p w:rsidR="00E26C8E" w:rsidRPr="00E26C8E" w:rsidRDefault="00E26C8E" w:rsidP="00E26C8E">
      <w:pPr>
        <w:ind w:left="851" w:hanging="425"/>
        <w:rPr>
          <w:rFonts w:eastAsia="Times New Roman"/>
          <w:b/>
          <w:szCs w:val="20"/>
        </w:rPr>
      </w:pPr>
      <w:r w:rsidRPr="00E26C8E">
        <w:rPr>
          <w:rFonts w:eastAsia="Times New Roman"/>
          <w:b/>
          <w:szCs w:val="20"/>
        </w:rPr>
        <w:t>2.4</w:t>
      </w:r>
      <w:r w:rsidRPr="00E26C8E">
        <w:rPr>
          <w:rFonts w:eastAsia="Times New Roman"/>
          <w:b/>
          <w:szCs w:val="20"/>
        </w:rPr>
        <w:tab/>
        <w:t>Mining Activities</w:t>
      </w:r>
    </w:p>
    <w:p w:rsidR="00E26C8E" w:rsidRPr="00E26C8E" w:rsidRDefault="00E26C8E" w:rsidP="00E26C8E">
      <w:pPr>
        <w:ind w:left="1418" w:hanging="567"/>
        <w:rPr>
          <w:rFonts w:eastAsia="Times New Roman"/>
          <w:b/>
          <w:szCs w:val="20"/>
        </w:rPr>
      </w:pPr>
      <w:r w:rsidRPr="00E26C8E">
        <w:rPr>
          <w:rFonts w:eastAsia="Times New Roman"/>
          <w:b/>
          <w:szCs w:val="20"/>
        </w:rPr>
        <w:t>2.4.1</w:t>
      </w:r>
      <w:r w:rsidRPr="00E26C8E">
        <w:rPr>
          <w:rFonts w:eastAsia="Times New Roman"/>
          <w:b/>
          <w:szCs w:val="20"/>
        </w:rPr>
        <w:tab/>
        <w:t>Type or Types of Proposed Mining Operation to be Carried Out</w:t>
      </w:r>
    </w:p>
    <w:p w:rsidR="00E26C8E" w:rsidRPr="00E26C8E" w:rsidRDefault="00E26C8E" w:rsidP="00E26C8E">
      <w:pPr>
        <w:ind w:left="1418"/>
        <w:rPr>
          <w:rFonts w:eastAsia="Times New Roman"/>
          <w:szCs w:val="20"/>
        </w:rPr>
      </w:pPr>
      <w:r w:rsidRPr="00E26C8E">
        <w:rPr>
          <w:rFonts w:eastAsia="Times New Roman"/>
          <w:szCs w:val="20"/>
        </w:rPr>
        <w:t>Provide a clear statement on the type or types of mining operation proposed to be carried out, such as: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the mining method(s) to be adopted.</w:t>
      </w:r>
    </w:p>
    <w:p w:rsidR="00E26C8E" w:rsidRPr="00E26C8E" w:rsidRDefault="00E26C8E" w:rsidP="00E26C8E">
      <w:pPr>
        <w:ind w:left="1418" w:hanging="567"/>
        <w:rPr>
          <w:rFonts w:eastAsia="Times New Roman"/>
          <w:b/>
          <w:szCs w:val="20"/>
        </w:rPr>
      </w:pPr>
      <w:r w:rsidRPr="00E26C8E">
        <w:rPr>
          <w:rFonts w:eastAsia="Times New Roman"/>
          <w:b/>
          <w:szCs w:val="20"/>
        </w:rPr>
        <w:t>2.4.2</w:t>
      </w:r>
      <w:r w:rsidRPr="00E26C8E">
        <w:rPr>
          <w:rFonts w:eastAsia="Times New Roman"/>
          <w:b/>
          <w:szCs w:val="20"/>
        </w:rPr>
        <w:tab/>
        <w:t>Open Pit</w:t>
      </w:r>
    </w:p>
    <w:p w:rsidR="00E26C8E" w:rsidRPr="00E26C8E" w:rsidRDefault="00E26C8E" w:rsidP="00E26C8E">
      <w:pPr>
        <w:ind w:left="1418"/>
        <w:rPr>
          <w:rFonts w:eastAsia="Times New Roman"/>
          <w:szCs w:val="20"/>
        </w:rPr>
      </w:pPr>
      <w:r w:rsidRPr="00E26C8E">
        <w:rPr>
          <w:rFonts w:eastAsia="Times New Roman"/>
          <w:szCs w:val="20"/>
        </w:rPr>
        <w:t>Describe proposed open pit workings, including (but not limited to):</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overall pit wall angles, bench height, berm width;</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dimensions and depth of pit;</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access ramps;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maps, plans and cross-sections (as per 5.1.2 and 5.2.2).</w:t>
      </w:r>
    </w:p>
    <w:p w:rsidR="00E26C8E" w:rsidRPr="00E26C8E" w:rsidRDefault="00E26C8E" w:rsidP="00E26C8E">
      <w:pPr>
        <w:ind w:left="1418" w:hanging="567"/>
        <w:rPr>
          <w:rFonts w:eastAsia="Times New Roman"/>
          <w:b/>
          <w:szCs w:val="20"/>
        </w:rPr>
      </w:pPr>
      <w:r w:rsidRPr="00E26C8E">
        <w:rPr>
          <w:rFonts w:eastAsia="Times New Roman"/>
          <w:b/>
          <w:szCs w:val="20"/>
        </w:rPr>
        <w:t>2.4.3</w:t>
      </w:r>
      <w:r w:rsidRPr="00E26C8E">
        <w:rPr>
          <w:rFonts w:eastAsia="Times New Roman"/>
          <w:b/>
          <w:szCs w:val="20"/>
        </w:rPr>
        <w:tab/>
        <w:t>Underground Workings</w:t>
      </w:r>
    </w:p>
    <w:p w:rsidR="00E26C8E" w:rsidRPr="00E26C8E" w:rsidRDefault="00E26C8E" w:rsidP="00E26C8E">
      <w:pPr>
        <w:ind w:left="1418"/>
        <w:rPr>
          <w:rFonts w:eastAsia="Times New Roman"/>
          <w:szCs w:val="20"/>
        </w:rPr>
      </w:pPr>
      <w:r w:rsidRPr="00E26C8E">
        <w:rPr>
          <w:rFonts w:eastAsia="Times New Roman"/>
          <w:szCs w:val="20"/>
        </w:rPr>
        <w:t>Describe proposed underground workings, including (but not limited to):</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proposed stoping methods;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potential surface disturbance resulting from underground mining;</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declines, shafts, tunnels, bore holes, ventilation intakes and exhausts;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maps, plans and cross-sections (as per 5.1.2 and 5.2.2).</w:t>
      </w:r>
    </w:p>
    <w:p w:rsidR="00E26C8E" w:rsidRPr="00E26C8E" w:rsidRDefault="00E26C8E" w:rsidP="00E26C8E">
      <w:pPr>
        <w:spacing w:after="0" w:line="240" w:lineRule="auto"/>
        <w:jc w:val="left"/>
        <w:rPr>
          <w:rFonts w:eastAsia="Times New Roman"/>
          <w:szCs w:val="20"/>
        </w:rPr>
      </w:pPr>
      <w:r w:rsidRPr="00E26C8E">
        <w:rPr>
          <w:rFonts w:eastAsia="Times New Roman"/>
          <w:szCs w:val="20"/>
        </w:rPr>
        <w:br w:type="page"/>
      </w:r>
    </w:p>
    <w:p w:rsidR="00E26C8E" w:rsidRPr="00E26C8E" w:rsidRDefault="00E26C8E" w:rsidP="00E26C8E">
      <w:pPr>
        <w:ind w:left="1418"/>
        <w:rPr>
          <w:rFonts w:eastAsia="Times New Roman"/>
          <w:szCs w:val="20"/>
        </w:rPr>
      </w:pPr>
      <w:r w:rsidRPr="00E26C8E">
        <w:rPr>
          <w:rFonts w:eastAsia="Times New Roman"/>
          <w:szCs w:val="20"/>
        </w:rPr>
        <w:t>Where underground fill is proposed, describe:</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type of fill to be used;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the volume percentage of underground void to be filled;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sequence of filling;</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source and proportion of fill;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maps, plans and cross-sections showing the proposed fill (as per 5.1.2 and 5.2.2).</w:t>
      </w:r>
    </w:p>
    <w:p w:rsidR="00E26C8E" w:rsidRPr="00E26C8E" w:rsidRDefault="00E26C8E" w:rsidP="00E26C8E">
      <w:pPr>
        <w:ind w:left="1418" w:hanging="567"/>
        <w:rPr>
          <w:rFonts w:eastAsia="Times New Roman"/>
          <w:b/>
          <w:szCs w:val="20"/>
        </w:rPr>
      </w:pPr>
      <w:r w:rsidRPr="00E26C8E">
        <w:rPr>
          <w:rFonts w:eastAsia="Times New Roman"/>
          <w:b/>
          <w:szCs w:val="20"/>
        </w:rPr>
        <w:t>2.4.4</w:t>
      </w:r>
      <w:r w:rsidRPr="00E26C8E">
        <w:rPr>
          <w:rFonts w:eastAsia="Times New Roman"/>
          <w:b/>
          <w:szCs w:val="20"/>
        </w:rPr>
        <w:tab/>
        <w:t>Material Movements</w:t>
      </w:r>
    </w:p>
    <w:p w:rsidR="00E26C8E" w:rsidRPr="00E26C8E" w:rsidRDefault="00E26C8E" w:rsidP="00E26C8E">
      <w:pPr>
        <w:ind w:left="1418"/>
        <w:rPr>
          <w:rFonts w:eastAsia="Times New Roman"/>
          <w:szCs w:val="20"/>
        </w:rPr>
      </w:pPr>
      <w:r w:rsidRPr="00E26C8E">
        <w:rPr>
          <w:rFonts w:eastAsia="Times New Roman"/>
          <w:szCs w:val="20"/>
        </w:rPr>
        <w:t>Provide:</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expected life of mine (including scope for extension);</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annual mine production rates and mine production schedule of ore and waste rock over the life of mine;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life of mine and annual strip ratios.</w:t>
      </w:r>
    </w:p>
    <w:p w:rsidR="00E26C8E" w:rsidRPr="00E26C8E" w:rsidRDefault="00E26C8E" w:rsidP="00E26C8E">
      <w:pPr>
        <w:ind w:left="1418" w:hanging="567"/>
        <w:rPr>
          <w:rFonts w:eastAsia="Times New Roman"/>
          <w:b/>
          <w:szCs w:val="20"/>
        </w:rPr>
      </w:pPr>
      <w:r w:rsidRPr="00E26C8E">
        <w:rPr>
          <w:rFonts w:eastAsia="Times New Roman"/>
          <w:b/>
          <w:szCs w:val="20"/>
        </w:rPr>
        <w:t>2.4.5</w:t>
      </w:r>
      <w:r w:rsidRPr="00E26C8E">
        <w:rPr>
          <w:rFonts w:eastAsia="Times New Roman"/>
          <w:b/>
          <w:szCs w:val="20"/>
        </w:rPr>
        <w:tab/>
        <w:t>Stockpiles</w:t>
      </w:r>
    </w:p>
    <w:p w:rsidR="00E26C8E" w:rsidRPr="00E26C8E" w:rsidRDefault="00E26C8E" w:rsidP="00E26C8E">
      <w:pPr>
        <w:ind w:left="1418"/>
        <w:rPr>
          <w:rFonts w:eastAsia="Times New Roman"/>
          <w:szCs w:val="20"/>
        </w:rPr>
      </w:pPr>
      <w:r w:rsidRPr="00E26C8E">
        <w:rPr>
          <w:rFonts w:eastAsia="Times New Roman"/>
          <w:szCs w:val="20"/>
        </w:rPr>
        <w:t>Describe for all ore, product, subsoil and topsoil stockpiles the:</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location, size, shape and height of all stockpiles;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method of placement;</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method of stabilisation and erosion control of all stockpiles;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water movement through stockpiles.</w:t>
      </w:r>
    </w:p>
    <w:p w:rsidR="00E26C8E" w:rsidRPr="00E26C8E" w:rsidRDefault="00E26C8E" w:rsidP="00E26C8E">
      <w:pPr>
        <w:ind w:left="1418"/>
        <w:rPr>
          <w:rFonts w:eastAsia="Times New Roman"/>
          <w:szCs w:val="20"/>
        </w:rPr>
      </w:pPr>
      <w:r w:rsidRPr="00E26C8E">
        <w:rPr>
          <w:rFonts w:eastAsia="Times New Roman"/>
          <w:szCs w:val="20"/>
        </w:rPr>
        <w:t>The location, maximum height and extent of all stockpiles must be shown on a map (as per 5.1.2.1).</w:t>
      </w:r>
    </w:p>
    <w:p w:rsidR="00E26C8E" w:rsidRPr="00E26C8E" w:rsidRDefault="00E26C8E" w:rsidP="00E26C8E">
      <w:pPr>
        <w:ind w:left="1418" w:hanging="567"/>
        <w:rPr>
          <w:rFonts w:eastAsia="Times New Roman"/>
          <w:b/>
          <w:szCs w:val="20"/>
        </w:rPr>
      </w:pPr>
      <w:r w:rsidRPr="00E26C8E">
        <w:rPr>
          <w:rFonts w:eastAsia="Times New Roman"/>
          <w:b/>
          <w:szCs w:val="20"/>
        </w:rPr>
        <w:t>2.4.6</w:t>
      </w:r>
      <w:r w:rsidRPr="00E26C8E">
        <w:rPr>
          <w:rFonts w:eastAsia="Times New Roman"/>
          <w:b/>
          <w:szCs w:val="20"/>
        </w:rPr>
        <w:tab/>
        <w:t>Use of Explosives</w:t>
      </w:r>
    </w:p>
    <w:p w:rsidR="00E26C8E" w:rsidRPr="00E26C8E" w:rsidRDefault="00E26C8E" w:rsidP="00E26C8E">
      <w:pPr>
        <w:ind w:left="1418"/>
        <w:rPr>
          <w:rFonts w:eastAsia="Times New Roman"/>
          <w:szCs w:val="20"/>
        </w:rPr>
      </w:pPr>
      <w:r w:rsidRPr="00E26C8E">
        <w:rPr>
          <w:rFonts w:eastAsia="Times New Roman"/>
          <w:szCs w:val="20"/>
        </w:rPr>
        <w:t>If explosives are proposed to be used, describe:</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type of explosives used on the site;</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proposed timing and frequency of blasting;</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size of blasts;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storage of explosives (amount, type, detailed location and method of storage).</w:t>
      </w:r>
    </w:p>
    <w:p w:rsidR="00E26C8E" w:rsidRPr="00E26C8E" w:rsidRDefault="00E26C8E" w:rsidP="00E26C8E">
      <w:pPr>
        <w:ind w:left="1418" w:hanging="567"/>
        <w:rPr>
          <w:rFonts w:eastAsia="Times New Roman"/>
          <w:b/>
          <w:szCs w:val="20"/>
        </w:rPr>
      </w:pPr>
      <w:r w:rsidRPr="00E26C8E">
        <w:rPr>
          <w:rFonts w:eastAsia="Times New Roman"/>
          <w:b/>
          <w:szCs w:val="20"/>
        </w:rPr>
        <w:t>2.4.7</w:t>
      </w:r>
      <w:r w:rsidRPr="00E26C8E">
        <w:rPr>
          <w:rFonts w:eastAsia="Times New Roman"/>
          <w:b/>
          <w:szCs w:val="20"/>
        </w:rPr>
        <w:tab/>
        <w:t>Type of Mining Equipment</w:t>
      </w:r>
    </w:p>
    <w:p w:rsidR="00E26C8E" w:rsidRPr="00E26C8E" w:rsidRDefault="00E26C8E" w:rsidP="00E26C8E">
      <w:pPr>
        <w:ind w:left="1418"/>
        <w:rPr>
          <w:rFonts w:eastAsia="Times New Roman"/>
          <w:szCs w:val="20"/>
        </w:rPr>
      </w:pPr>
      <w:r w:rsidRPr="00E26C8E">
        <w:rPr>
          <w:rFonts w:eastAsia="Times New Roman"/>
          <w:szCs w:val="20"/>
        </w:rPr>
        <w:t>Provide a description of the equipment (fixed and mobile) proposed to be used in the mining operation in terms of:</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type, size and capacity of machines;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approximate number of units;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noise outputs;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exhaust outputs;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fire ignition sources.</w:t>
      </w:r>
    </w:p>
    <w:p w:rsidR="00E26C8E" w:rsidRPr="00E26C8E" w:rsidRDefault="00E26C8E" w:rsidP="00E26C8E">
      <w:pPr>
        <w:ind w:left="1418"/>
        <w:rPr>
          <w:rFonts w:eastAsia="Times New Roman"/>
          <w:szCs w:val="20"/>
        </w:rPr>
      </w:pPr>
      <w:r w:rsidRPr="00E26C8E">
        <w:rPr>
          <w:rFonts w:eastAsia="Times New Roman"/>
          <w:szCs w:val="20"/>
        </w:rPr>
        <w:t>The location of fixed equipment must be shown on a map (as per 5.1.2.1).</w:t>
      </w:r>
    </w:p>
    <w:p w:rsidR="00E26C8E" w:rsidRPr="00E26C8E" w:rsidRDefault="00E26C8E" w:rsidP="00E26C8E">
      <w:pPr>
        <w:ind w:left="1418" w:hanging="567"/>
        <w:rPr>
          <w:rFonts w:eastAsia="Times New Roman"/>
          <w:b/>
          <w:szCs w:val="20"/>
        </w:rPr>
      </w:pPr>
      <w:r w:rsidRPr="00E26C8E">
        <w:rPr>
          <w:rFonts w:eastAsia="Times New Roman"/>
          <w:b/>
          <w:szCs w:val="20"/>
        </w:rPr>
        <w:t>2.4.8</w:t>
      </w:r>
      <w:r w:rsidRPr="00E26C8E">
        <w:rPr>
          <w:rFonts w:eastAsia="Times New Roman"/>
          <w:b/>
          <w:szCs w:val="20"/>
        </w:rPr>
        <w:tab/>
        <w:t>Mine Dewatering</w:t>
      </w:r>
    </w:p>
    <w:p w:rsidR="00E26C8E" w:rsidRPr="00E26C8E" w:rsidRDefault="00E26C8E" w:rsidP="00E26C8E">
      <w:pPr>
        <w:ind w:left="1418"/>
        <w:rPr>
          <w:rFonts w:eastAsia="Times New Roman"/>
          <w:szCs w:val="20"/>
        </w:rPr>
      </w:pPr>
      <w:r w:rsidRPr="00E26C8E">
        <w:rPr>
          <w:rFonts w:eastAsia="Times New Roman"/>
          <w:szCs w:val="20"/>
        </w:rPr>
        <w:t>Provide:</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estimated inflows of groundwater, stormwater and water from any other mining activities into mine workings;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details of proposed mine dewatering infrastructure, and mine water management and disposal;</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contingency measures for greater than planned water inflows into mine workings;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a mine water balance of water inflows and water outflows during operations and at completion (if not included in the water balance in clause 2.5.4).</w:t>
      </w:r>
    </w:p>
    <w:p w:rsidR="00E26C8E" w:rsidRPr="00E26C8E" w:rsidRDefault="00E26C8E" w:rsidP="00E26C8E">
      <w:pPr>
        <w:ind w:left="1418" w:hanging="567"/>
        <w:rPr>
          <w:rFonts w:eastAsia="Times New Roman"/>
          <w:b/>
          <w:szCs w:val="20"/>
        </w:rPr>
      </w:pPr>
      <w:r w:rsidRPr="00E26C8E">
        <w:rPr>
          <w:rFonts w:eastAsia="Times New Roman"/>
          <w:b/>
          <w:szCs w:val="20"/>
        </w:rPr>
        <w:t>2.4.9</w:t>
      </w:r>
      <w:r w:rsidRPr="00E26C8E">
        <w:rPr>
          <w:rFonts w:eastAsia="Times New Roman"/>
          <w:b/>
          <w:szCs w:val="20"/>
        </w:rPr>
        <w:tab/>
        <w:t>Sequence of Mining and Rehabilitation Operations</w:t>
      </w:r>
    </w:p>
    <w:p w:rsidR="00E26C8E" w:rsidRPr="00E26C8E" w:rsidRDefault="00E26C8E" w:rsidP="00E26C8E">
      <w:pPr>
        <w:ind w:left="1418"/>
        <w:rPr>
          <w:rFonts w:eastAsia="Times New Roman"/>
          <w:szCs w:val="20"/>
        </w:rPr>
      </w:pPr>
      <w:r w:rsidRPr="00E26C8E">
        <w:rPr>
          <w:rFonts w:eastAsia="Times New Roman"/>
          <w:szCs w:val="20"/>
        </w:rPr>
        <w:t>Provide the following information on the sequence of operations in both text and map form (as per 5.1.2.2):</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description of the sequence of mining stages;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proposed sequencing of progressive and final rehabilitation, including demonstration that progressive rehabilitation has been integrated with the mining plan;</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an estimation of the quantities of sulfide minerals that have the potential to generate acid or mobilise metals, or other hazardous minerals to be mined at each mining stage;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any mineral resource that may be sterilised from future mining by the proposed mining operations.</w:t>
      </w:r>
    </w:p>
    <w:p w:rsidR="00E26C8E" w:rsidRPr="00E26C8E" w:rsidRDefault="00E26C8E" w:rsidP="00E26C8E">
      <w:pPr>
        <w:ind w:left="1418" w:hanging="567"/>
        <w:rPr>
          <w:rFonts w:eastAsia="Times New Roman"/>
          <w:b/>
          <w:szCs w:val="20"/>
        </w:rPr>
      </w:pPr>
      <w:r w:rsidRPr="00E26C8E">
        <w:rPr>
          <w:rFonts w:eastAsia="Times New Roman"/>
          <w:b/>
          <w:szCs w:val="20"/>
        </w:rPr>
        <w:t>2.4.10</w:t>
      </w:r>
      <w:r w:rsidRPr="00E26C8E">
        <w:rPr>
          <w:rFonts w:eastAsia="Times New Roman"/>
          <w:b/>
          <w:szCs w:val="20"/>
        </w:rPr>
        <w:tab/>
        <w:t>Rehabilitation Strategies and Timing</w:t>
      </w:r>
    </w:p>
    <w:p w:rsidR="00E26C8E" w:rsidRPr="00E26C8E" w:rsidRDefault="00E26C8E" w:rsidP="00E26C8E">
      <w:pPr>
        <w:ind w:left="1418"/>
        <w:rPr>
          <w:rFonts w:eastAsia="Times New Roman"/>
          <w:szCs w:val="20"/>
        </w:rPr>
      </w:pPr>
      <w:r w:rsidRPr="00E26C8E">
        <w:rPr>
          <w:rFonts w:eastAsia="Times New Roman"/>
          <w:szCs w:val="20"/>
        </w:rPr>
        <w:t>Describe all activities, strategies and designs relating to mine closure for rehabilitation of open pit and/or underground workings, stockpiles, explosives storage, mining equipment and mine dewatering infrastructure. Include timing of these activities and all opportunities for progressive rehabilitation. Include (but not limited to) the maximum area of land disturbed by proposed mining operations at any time, battering of mining faces and other earthworks, mine void backfilling, abandonment bunds, sealing of portals and ventilation shafts, soil management, revegetation and expected water infill rates.</w:t>
      </w:r>
    </w:p>
    <w:p w:rsidR="00E26C8E" w:rsidRPr="00E26C8E" w:rsidRDefault="00E26C8E" w:rsidP="00E26C8E">
      <w:pPr>
        <w:spacing w:after="0" w:line="240" w:lineRule="auto"/>
        <w:jc w:val="left"/>
        <w:rPr>
          <w:rFonts w:eastAsia="Times New Roman"/>
          <w:b/>
          <w:szCs w:val="20"/>
        </w:rPr>
      </w:pPr>
      <w:r w:rsidRPr="00E26C8E">
        <w:rPr>
          <w:rFonts w:eastAsia="Times New Roman"/>
          <w:b/>
          <w:szCs w:val="20"/>
        </w:rPr>
        <w:br w:type="page"/>
      </w:r>
    </w:p>
    <w:p w:rsidR="00E26C8E" w:rsidRPr="00E26C8E" w:rsidRDefault="00E26C8E" w:rsidP="00E26C8E">
      <w:pPr>
        <w:ind w:left="1418" w:hanging="567"/>
        <w:rPr>
          <w:rFonts w:eastAsia="Times New Roman"/>
          <w:b/>
          <w:szCs w:val="20"/>
        </w:rPr>
      </w:pPr>
      <w:r w:rsidRPr="00E26C8E">
        <w:rPr>
          <w:rFonts w:eastAsia="Times New Roman"/>
          <w:b/>
          <w:szCs w:val="20"/>
        </w:rPr>
        <w:t>2.4.11</w:t>
      </w:r>
      <w:r w:rsidRPr="00E26C8E">
        <w:rPr>
          <w:rFonts w:eastAsia="Times New Roman"/>
          <w:b/>
          <w:szCs w:val="20"/>
        </w:rPr>
        <w:tab/>
        <w:t>Modes and Hours of Operation</w:t>
      </w:r>
    </w:p>
    <w:p w:rsidR="00E26C8E" w:rsidRPr="00E26C8E" w:rsidRDefault="00E26C8E" w:rsidP="00E26C8E">
      <w:pPr>
        <w:ind w:left="1418"/>
        <w:rPr>
          <w:rFonts w:eastAsia="Times New Roman"/>
          <w:szCs w:val="20"/>
        </w:rPr>
      </w:pPr>
      <w:r w:rsidRPr="00E26C8E">
        <w:rPr>
          <w:rFonts w:eastAsia="Times New Roman"/>
          <w:szCs w:val="20"/>
        </w:rPr>
        <w:t>State if the proposed mining operation will be worked on a continuous (24 hour, 7 days a week), regular periodical or campaign basis.</w:t>
      </w:r>
    </w:p>
    <w:p w:rsidR="00E26C8E" w:rsidRPr="00E26C8E" w:rsidRDefault="00E26C8E" w:rsidP="00E26C8E">
      <w:pPr>
        <w:ind w:left="1418"/>
        <w:rPr>
          <w:rFonts w:eastAsia="Times New Roman"/>
          <w:szCs w:val="20"/>
        </w:rPr>
      </w:pPr>
      <w:r w:rsidRPr="00E26C8E">
        <w:rPr>
          <w:rFonts w:eastAsia="Times New Roman"/>
          <w:szCs w:val="20"/>
        </w:rPr>
        <w:t>If the proposed mining operation is to be worked on a regular periodical basis, specify:</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proposed period(s) (daily, weekly and public holidays) to be worked;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proposed start and finish hours the site is to be worked per period.</w:t>
      </w:r>
    </w:p>
    <w:p w:rsidR="00E26C8E" w:rsidRPr="00E26C8E" w:rsidRDefault="00E26C8E" w:rsidP="00E26C8E">
      <w:pPr>
        <w:ind w:left="1418"/>
        <w:rPr>
          <w:rFonts w:eastAsia="Times New Roman"/>
          <w:szCs w:val="20"/>
        </w:rPr>
      </w:pPr>
      <w:r w:rsidRPr="00E26C8E">
        <w:rPr>
          <w:rFonts w:eastAsia="Times New Roman"/>
          <w:szCs w:val="20"/>
        </w:rPr>
        <w:t>If the operation is to be worked on a campaign basis, specify:</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minimum hours the site is to be worked per year;</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the minimum time of each campaign;</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the maximum and minimum time between campaigns;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define the beginning and end of each campaign;</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hours of mining operations during campaign;</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days of mining operations during campaign;</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determining factors for initiating and ceasing a campaign;</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maximum and minimum tonnage of each campaign;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maximum and minimum tonnage of production per year.</w:t>
      </w:r>
    </w:p>
    <w:p w:rsidR="00E26C8E" w:rsidRPr="00E26C8E" w:rsidRDefault="00E26C8E" w:rsidP="00E26C8E">
      <w:pPr>
        <w:ind w:left="851" w:hanging="425"/>
        <w:rPr>
          <w:rFonts w:eastAsia="Times New Roman"/>
          <w:b/>
          <w:szCs w:val="20"/>
        </w:rPr>
      </w:pPr>
      <w:r w:rsidRPr="00E26C8E">
        <w:rPr>
          <w:rFonts w:eastAsia="Times New Roman"/>
          <w:b/>
          <w:szCs w:val="20"/>
        </w:rPr>
        <w:t>2.5</w:t>
      </w:r>
      <w:r w:rsidRPr="00E26C8E">
        <w:rPr>
          <w:rFonts w:eastAsia="Times New Roman"/>
          <w:b/>
          <w:szCs w:val="20"/>
        </w:rPr>
        <w:tab/>
        <w:t>Crushing, Grinding, Processing and Product Transport</w:t>
      </w:r>
    </w:p>
    <w:p w:rsidR="00E26C8E" w:rsidRPr="00E26C8E" w:rsidRDefault="00E26C8E" w:rsidP="00E26C8E">
      <w:pPr>
        <w:ind w:left="1418" w:hanging="567"/>
        <w:rPr>
          <w:rFonts w:eastAsia="Times New Roman"/>
          <w:b/>
          <w:szCs w:val="20"/>
        </w:rPr>
      </w:pPr>
      <w:r w:rsidRPr="00E26C8E">
        <w:rPr>
          <w:rFonts w:eastAsia="Times New Roman"/>
          <w:b/>
          <w:szCs w:val="20"/>
        </w:rPr>
        <w:t>2.5.1</w:t>
      </w:r>
      <w:r w:rsidRPr="00E26C8E">
        <w:rPr>
          <w:rFonts w:eastAsia="Times New Roman"/>
          <w:b/>
          <w:szCs w:val="20"/>
        </w:rPr>
        <w:tab/>
        <w:t>Crushing and Grinding Plant</w:t>
      </w:r>
    </w:p>
    <w:p w:rsidR="00E26C8E" w:rsidRPr="00E26C8E" w:rsidRDefault="00E26C8E" w:rsidP="00E26C8E">
      <w:pPr>
        <w:ind w:left="1418"/>
        <w:rPr>
          <w:rFonts w:eastAsia="Times New Roman"/>
          <w:szCs w:val="20"/>
        </w:rPr>
      </w:pPr>
      <w:r w:rsidRPr="00E26C8E">
        <w:rPr>
          <w:rFonts w:eastAsia="Times New Roman"/>
          <w:szCs w:val="20"/>
        </w:rPr>
        <w:t>Provide a description of the crushing/grinding plant including:</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area, size, type of construction and location;</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throughput rate;</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a description of ore preparation for processing;</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grind size of the ore;</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noise sources;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dust sources and composition;</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fie ignition sources;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plans (as per 5.1.2.3)</w:t>
      </w:r>
    </w:p>
    <w:p w:rsidR="00E26C8E" w:rsidRPr="00E26C8E" w:rsidRDefault="00E26C8E" w:rsidP="00E26C8E">
      <w:pPr>
        <w:ind w:left="1418" w:hanging="567"/>
        <w:rPr>
          <w:rFonts w:eastAsia="Times New Roman"/>
          <w:b/>
          <w:szCs w:val="20"/>
        </w:rPr>
      </w:pPr>
      <w:r w:rsidRPr="00E26C8E">
        <w:rPr>
          <w:rFonts w:eastAsia="Times New Roman"/>
          <w:b/>
          <w:szCs w:val="20"/>
        </w:rPr>
        <w:t>2.5.2</w:t>
      </w:r>
      <w:r w:rsidRPr="00E26C8E">
        <w:rPr>
          <w:rFonts w:eastAsia="Times New Roman"/>
          <w:b/>
          <w:szCs w:val="20"/>
        </w:rPr>
        <w:tab/>
        <w:t>Processing Plant</w:t>
      </w:r>
    </w:p>
    <w:p w:rsidR="00E26C8E" w:rsidRPr="00E26C8E" w:rsidRDefault="00E26C8E" w:rsidP="00E26C8E">
      <w:pPr>
        <w:ind w:left="1418"/>
        <w:rPr>
          <w:rFonts w:eastAsia="Times New Roman"/>
          <w:szCs w:val="20"/>
        </w:rPr>
      </w:pPr>
      <w:r w:rsidRPr="00E26C8E">
        <w:rPr>
          <w:rFonts w:eastAsia="Times New Roman"/>
          <w:szCs w:val="20"/>
        </w:rPr>
        <w:t>Provide a description of the processing plant including:</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the methods and details of processing and value adding proposed;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number, location, area, size, type of construction (including lining and drainage systems, as appropriate) of processing plant;</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any ancillary plant and infrastructure to be used for processing the minerals on site; examples of associated structures are concrete batching plants, wheel wash facilities, silos, fuel tanks, water tanks, chemical storage/use, reverse osmosis plants and bore fields;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if chemicals are to be used in the beneficiation or processing of ore, describe the nature and quantities of the chemicals to be used, their reactions with ore and their ultimate fate;</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noise sources;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dust sources and composition;</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fire ignition sources;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other potential air emissions (including odour) and their composition;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plans (as per 5.1.2.3).</w:t>
      </w:r>
    </w:p>
    <w:p w:rsidR="00E26C8E" w:rsidRPr="00E26C8E" w:rsidRDefault="00E26C8E" w:rsidP="00E26C8E">
      <w:pPr>
        <w:ind w:left="1418" w:hanging="567"/>
        <w:rPr>
          <w:rFonts w:eastAsia="Times New Roman"/>
          <w:b/>
          <w:szCs w:val="20"/>
        </w:rPr>
      </w:pPr>
      <w:r w:rsidRPr="00E26C8E">
        <w:rPr>
          <w:rFonts w:eastAsia="Times New Roman"/>
          <w:b/>
          <w:szCs w:val="20"/>
        </w:rPr>
        <w:t>2.5.3</w:t>
      </w:r>
      <w:r w:rsidRPr="00E26C8E">
        <w:rPr>
          <w:rFonts w:eastAsia="Times New Roman"/>
          <w:b/>
          <w:szCs w:val="20"/>
        </w:rPr>
        <w:tab/>
        <w:t>Heap Leach</w:t>
      </w:r>
    </w:p>
    <w:p w:rsidR="00E26C8E" w:rsidRPr="00E26C8E" w:rsidRDefault="00E26C8E" w:rsidP="00E26C8E">
      <w:pPr>
        <w:ind w:left="1418"/>
        <w:rPr>
          <w:rFonts w:eastAsia="Times New Roman"/>
          <w:szCs w:val="20"/>
        </w:rPr>
      </w:pPr>
      <w:r w:rsidRPr="00E26C8E">
        <w:rPr>
          <w:rFonts w:eastAsia="Times New Roman"/>
          <w:szCs w:val="20"/>
        </w:rPr>
        <w:t>Provide a description of the Heap Leach Pad and process including:</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type, size and location of the Heap Leach Pad;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construction and operating specifications for the Heap Leach Pad and process, including solution containment measures;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geochemical and geotechnical assessment of the material placed on the Heap Leach Pad before and after leaching;</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method and rate of ore deposition and removal;</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chemical characteristics of the leach solution, pregnant liquor and raffinate solutions;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solution application rates, and method of application;</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removal (where proposed) of the Heap Leach Pad at cessation of production and the method/location of disposal of leached material;</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method of stabilisation and erosion control of Heap Leach Pad;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an assessment of the long term chemical and physical stability of the Heap Leach Pad post completion;</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the source, pathway and ultimate fate of any potential mobile contaminants;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plans (as per 5.1.2.4).</w:t>
      </w:r>
    </w:p>
    <w:p w:rsidR="00E26C8E" w:rsidRPr="00E26C8E" w:rsidRDefault="00E26C8E" w:rsidP="00E26C8E">
      <w:pPr>
        <w:spacing w:after="0" w:line="240" w:lineRule="auto"/>
        <w:jc w:val="left"/>
        <w:rPr>
          <w:rFonts w:eastAsia="Times New Roman"/>
          <w:b/>
          <w:szCs w:val="20"/>
        </w:rPr>
      </w:pPr>
      <w:r w:rsidRPr="00E26C8E">
        <w:rPr>
          <w:rFonts w:eastAsia="Times New Roman"/>
          <w:b/>
          <w:szCs w:val="20"/>
        </w:rPr>
        <w:br w:type="page"/>
      </w:r>
    </w:p>
    <w:p w:rsidR="00E26C8E" w:rsidRPr="00E26C8E" w:rsidRDefault="00E26C8E" w:rsidP="00E26C8E">
      <w:pPr>
        <w:ind w:left="1418" w:hanging="567"/>
        <w:rPr>
          <w:rFonts w:eastAsia="Times New Roman"/>
          <w:b/>
          <w:szCs w:val="20"/>
        </w:rPr>
      </w:pPr>
      <w:r w:rsidRPr="00E26C8E">
        <w:rPr>
          <w:rFonts w:eastAsia="Times New Roman"/>
          <w:b/>
          <w:szCs w:val="20"/>
        </w:rPr>
        <w:t>2.5.4</w:t>
      </w:r>
      <w:r w:rsidRPr="00E26C8E">
        <w:rPr>
          <w:rFonts w:eastAsia="Times New Roman"/>
          <w:b/>
          <w:szCs w:val="20"/>
        </w:rPr>
        <w:tab/>
        <w:t>Process Water Management</w:t>
      </w:r>
    </w:p>
    <w:p w:rsidR="00E26C8E" w:rsidRPr="00E26C8E" w:rsidRDefault="00E26C8E" w:rsidP="00E26C8E">
      <w:pPr>
        <w:ind w:left="1418"/>
        <w:rPr>
          <w:rFonts w:eastAsia="Times New Roman"/>
          <w:szCs w:val="20"/>
        </w:rPr>
      </w:pPr>
      <w:r w:rsidRPr="00E26C8E">
        <w:rPr>
          <w:rFonts w:eastAsia="Times New Roman"/>
          <w:szCs w:val="20"/>
        </w:rPr>
        <w:t>Provide a water balance including:</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approximate water volumes required;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a summary of the inputs and outputs (with consideration of any purge requirements);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determination of net surplus or deficit;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process flowsheet showing all streams including stormwater management and mine dewatering where these are connected to the processing circuit.</w:t>
      </w:r>
    </w:p>
    <w:p w:rsidR="00E26C8E" w:rsidRPr="00E26C8E" w:rsidRDefault="00E26C8E" w:rsidP="00E26C8E">
      <w:pPr>
        <w:ind w:left="1418"/>
        <w:rPr>
          <w:rFonts w:eastAsia="Times New Roman"/>
          <w:szCs w:val="20"/>
        </w:rPr>
      </w:pPr>
      <w:r w:rsidRPr="00E26C8E">
        <w:rPr>
          <w:rFonts w:eastAsia="Times New Roman"/>
          <w:szCs w:val="20"/>
        </w:rPr>
        <w:t>Provide a description of all water ponds, including:</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size, capacity, layout and location of ponds;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design and construction methods;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chemical composition of the solution to be stored in each pond;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minimum freeboard to be maintained;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plans (as per 5.1.2.1).</w:t>
      </w:r>
    </w:p>
    <w:p w:rsidR="00E26C8E" w:rsidRPr="00E26C8E" w:rsidRDefault="00E26C8E" w:rsidP="00E26C8E">
      <w:pPr>
        <w:ind w:left="1418" w:hanging="567"/>
        <w:rPr>
          <w:rFonts w:eastAsia="Times New Roman"/>
          <w:b/>
          <w:szCs w:val="20"/>
        </w:rPr>
      </w:pPr>
      <w:r w:rsidRPr="00E26C8E">
        <w:rPr>
          <w:rFonts w:eastAsia="Times New Roman"/>
          <w:b/>
          <w:szCs w:val="20"/>
        </w:rPr>
        <w:t>2.5.5</w:t>
      </w:r>
      <w:r w:rsidRPr="00E26C8E">
        <w:rPr>
          <w:rFonts w:eastAsia="Times New Roman"/>
          <w:b/>
          <w:szCs w:val="20"/>
        </w:rPr>
        <w:tab/>
        <w:t>Type of Mobile Equipment</w:t>
      </w:r>
    </w:p>
    <w:p w:rsidR="00E26C8E" w:rsidRPr="00E26C8E" w:rsidRDefault="00E26C8E" w:rsidP="00E26C8E">
      <w:pPr>
        <w:ind w:left="1418"/>
        <w:rPr>
          <w:rFonts w:eastAsia="Times New Roman"/>
          <w:szCs w:val="20"/>
        </w:rPr>
      </w:pPr>
      <w:r w:rsidRPr="00E26C8E">
        <w:rPr>
          <w:rFonts w:eastAsia="Times New Roman"/>
          <w:szCs w:val="20"/>
        </w:rPr>
        <w:t>For mobile equipment to be used in crushing/grinding, processing ore and in transporting the mine product to the point of sale, describe:</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type, size and capacity of machines;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approximate number of units;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noise outputs;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exhaust outputs;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fire ignition sources.</w:t>
      </w:r>
    </w:p>
    <w:p w:rsidR="00E26C8E" w:rsidRPr="00E26C8E" w:rsidRDefault="00E26C8E" w:rsidP="00E26C8E">
      <w:pPr>
        <w:ind w:left="1418" w:hanging="567"/>
        <w:rPr>
          <w:rFonts w:eastAsia="Times New Roman"/>
          <w:b/>
          <w:szCs w:val="20"/>
        </w:rPr>
      </w:pPr>
      <w:r w:rsidRPr="00E26C8E">
        <w:rPr>
          <w:rFonts w:eastAsia="Times New Roman"/>
          <w:b/>
          <w:szCs w:val="20"/>
        </w:rPr>
        <w:t>2.5.6</w:t>
      </w:r>
      <w:r w:rsidRPr="00E26C8E">
        <w:rPr>
          <w:rFonts w:eastAsia="Times New Roman"/>
          <w:b/>
          <w:szCs w:val="20"/>
        </w:rPr>
        <w:tab/>
        <w:t>Conveyors and Pipelines</w:t>
      </w:r>
    </w:p>
    <w:p w:rsidR="00E26C8E" w:rsidRPr="00E26C8E" w:rsidRDefault="00E26C8E" w:rsidP="00E26C8E">
      <w:pPr>
        <w:ind w:left="1418"/>
        <w:rPr>
          <w:rFonts w:eastAsia="Times New Roman"/>
          <w:szCs w:val="20"/>
        </w:rPr>
      </w:pPr>
      <w:r w:rsidRPr="00E26C8E">
        <w:rPr>
          <w:rFonts w:eastAsia="Times New Roman"/>
          <w:szCs w:val="20"/>
        </w:rPr>
        <w:t>Provide a description of any conveyors or pipelines to be used for transporting material to or from the mine, processing facilities and the point of sale including:</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length, size (volumes to be transported), design and type of construction and location;</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the material being transported;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noise sources;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dust sources and composition;</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fire ignition sources;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plans (as per 5.1.2.1).</w:t>
      </w:r>
    </w:p>
    <w:p w:rsidR="00E26C8E" w:rsidRPr="00E26C8E" w:rsidRDefault="00E26C8E" w:rsidP="00E26C8E">
      <w:pPr>
        <w:ind w:left="1418" w:hanging="567"/>
        <w:rPr>
          <w:rFonts w:eastAsia="Times New Roman"/>
          <w:b/>
          <w:szCs w:val="20"/>
        </w:rPr>
      </w:pPr>
      <w:r w:rsidRPr="00E26C8E">
        <w:rPr>
          <w:rFonts w:eastAsia="Times New Roman"/>
          <w:b/>
          <w:szCs w:val="20"/>
        </w:rPr>
        <w:t>2.5.7</w:t>
      </w:r>
      <w:r w:rsidRPr="00E26C8E">
        <w:rPr>
          <w:rFonts w:eastAsia="Times New Roman"/>
          <w:b/>
          <w:szCs w:val="20"/>
        </w:rPr>
        <w:tab/>
        <w:t>Hours of Operation</w:t>
      </w:r>
    </w:p>
    <w:p w:rsidR="00E26C8E" w:rsidRPr="00E26C8E" w:rsidRDefault="00E26C8E" w:rsidP="00E26C8E">
      <w:pPr>
        <w:ind w:left="1418"/>
        <w:rPr>
          <w:rFonts w:eastAsia="Times New Roman"/>
          <w:szCs w:val="20"/>
        </w:rPr>
      </w:pPr>
      <w:r w:rsidRPr="00E26C8E">
        <w:rPr>
          <w:rFonts w:eastAsia="Times New Roman"/>
          <w:szCs w:val="20"/>
        </w:rPr>
        <w:t>Describe the proposed hours of operation of crushing/grinding, processing and transport activities.</w:t>
      </w:r>
    </w:p>
    <w:p w:rsidR="00E26C8E" w:rsidRPr="00E26C8E" w:rsidRDefault="00E26C8E" w:rsidP="00E26C8E">
      <w:pPr>
        <w:ind w:left="1418" w:hanging="567"/>
        <w:rPr>
          <w:rFonts w:eastAsia="Times New Roman"/>
          <w:b/>
          <w:szCs w:val="20"/>
        </w:rPr>
      </w:pPr>
      <w:r w:rsidRPr="00E26C8E">
        <w:rPr>
          <w:rFonts w:eastAsia="Times New Roman"/>
          <w:b/>
          <w:szCs w:val="20"/>
        </w:rPr>
        <w:t>2.5.8</w:t>
      </w:r>
      <w:r w:rsidRPr="00E26C8E">
        <w:rPr>
          <w:rFonts w:eastAsia="Times New Roman"/>
          <w:b/>
          <w:szCs w:val="20"/>
        </w:rPr>
        <w:tab/>
        <w:t>Rehabilitation Strategies and Timing</w:t>
      </w:r>
    </w:p>
    <w:p w:rsidR="00E26C8E" w:rsidRPr="00E26C8E" w:rsidRDefault="00E26C8E" w:rsidP="00E26C8E">
      <w:pPr>
        <w:ind w:left="1418"/>
        <w:rPr>
          <w:rFonts w:eastAsia="Times New Roman"/>
          <w:szCs w:val="20"/>
        </w:rPr>
      </w:pPr>
      <w:r w:rsidRPr="00E26C8E">
        <w:rPr>
          <w:rFonts w:eastAsia="Times New Roman"/>
          <w:szCs w:val="20"/>
        </w:rPr>
        <w:t>Detail all activities, strategies and designs relating to mine closure for removal, disposal and rehabilitation of processing facilities, and material transport systems, including timing of these activities.</w:t>
      </w:r>
    </w:p>
    <w:p w:rsidR="00E26C8E" w:rsidRPr="00E26C8E" w:rsidRDefault="00E26C8E" w:rsidP="00E26C8E">
      <w:pPr>
        <w:ind w:left="851" w:hanging="426"/>
        <w:rPr>
          <w:rFonts w:eastAsia="Times New Roman"/>
          <w:b/>
          <w:szCs w:val="20"/>
        </w:rPr>
      </w:pPr>
      <w:r w:rsidRPr="00E26C8E">
        <w:rPr>
          <w:rFonts w:eastAsia="Times New Roman"/>
          <w:b/>
          <w:szCs w:val="20"/>
        </w:rPr>
        <w:t>2.6</w:t>
      </w:r>
      <w:r w:rsidRPr="00E26C8E">
        <w:rPr>
          <w:rFonts w:eastAsia="Times New Roman"/>
          <w:b/>
          <w:szCs w:val="20"/>
        </w:rPr>
        <w:tab/>
        <w:t>Wastes</w:t>
      </w:r>
    </w:p>
    <w:p w:rsidR="00E26C8E" w:rsidRPr="00E26C8E" w:rsidRDefault="00E26C8E" w:rsidP="00E26C8E">
      <w:pPr>
        <w:ind w:left="1418" w:hanging="567"/>
        <w:rPr>
          <w:rFonts w:eastAsia="Times New Roman"/>
          <w:b/>
          <w:szCs w:val="20"/>
        </w:rPr>
      </w:pPr>
      <w:r w:rsidRPr="00E26C8E">
        <w:rPr>
          <w:rFonts w:eastAsia="Times New Roman"/>
          <w:b/>
          <w:szCs w:val="20"/>
        </w:rPr>
        <w:t>2.6.1</w:t>
      </w:r>
      <w:r w:rsidRPr="00E26C8E">
        <w:rPr>
          <w:rFonts w:eastAsia="Times New Roman"/>
          <w:b/>
          <w:szCs w:val="20"/>
        </w:rPr>
        <w:tab/>
        <w:t>Waste Rock and Tailings Storage Facilities</w:t>
      </w:r>
    </w:p>
    <w:p w:rsidR="00E26C8E" w:rsidRPr="00E26C8E" w:rsidRDefault="00E26C8E" w:rsidP="00E26C8E">
      <w:pPr>
        <w:ind w:left="1418"/>
        <w:rPr>
          <w:rFonts w:eastAsia="Times New Roman"/>
          <w:szCs w:val="20"/>
        </w:rPr>
      </w:pPr>
      <w:r w:rsidRPr="00E26C8E">
        <w:rPr>
          <w:rFonts w:eastAsia="Times New Roman"/>
          <w:szCs w:val="20"/>
        </w:rPr>
        <w:t>For waste rock and tailings storage facilities (TSF) provide:</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the estimated tonnes and volumes of all waste rock and tailings to be stored;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the reserve and any resource or potential resource that the estimated tonnes and volumes of waste rock and tailings is based on;</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the type, location, size, shape, height and method of construction of permanent and temporary waste storage facilities;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a geochemical and geotechnical assessment of the waste rock and tailings based on the geochemical and geotechnical properties determined from the analysis of representative sampling of all waste rock types and tailings to be disposed;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an assessment on the weathering and erosive potential of waste rock to be disposed;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conceptual specifications, drawings and plans for the design, construction, operation and completion of all facilities (as per 5.1.2.5);</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the method and rate of waste rock/tailings disposal;</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where relevant, a description and plan (as per 5.1.2.5) of the placement and encapsulation of waste material deemed to be hazardous, including potentially acid forming material (PAF);</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the method of stabilisation and erosion control of waste storage facilities, both during operations and post completion;</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surface water runoff control on disturbed and rehabilitated areas;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a geotechnical stability assessment and a factor of safety analysis;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an assessment of seepage of liquids through the waste rock and tailings storage facilities;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strategies for the containment of any seepage that has the potential to impact the environment;</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an assessment of the post completion chemical and physical stability of the structure following rehabilitation, including the expected extent of erosion;</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an assessment of the source, pathway and ultimate fate of any potential mobile contaminants;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a description of the governance arrangements for the design, construction, operation and closure including when it is proposed to use third party verification.</w:t>
      </w:r>
    </w:p>
    <w:p w:rsidR="00E26C8E" w:rsidRPr="00E26C8E" w:rsidRDefault="00E26C8E" w:rsidP="00E26C8E">
      <w:pPr>
        <w:ind w:left="1418"/>
        <w:rPr>
          <w:rFonts w:eastAsia="Times New Roman"/>
          <w:szCs w:val="20"/>
        </w:rPr>
      </w:pPr>
      <w:r w:rsidRPr="00E26C8E">
        <w:rPr>
          <w:rFonts w:eastAsia="Times New Roman"/>
          <w:szCs w:val="20"/>
        </w:rPr>
        <w:t>Include a water balance for the TSF (if not included in the water balance in clause 2.5.4).</w:t>
      </w:r>
    </w:p>
    <w:p w:rsidR="00E26C8E" w:rsidRPr="00E26C8E" w:rsidRDefault="00E26C8E" w:rsidP="00E26C8E">
      <w:pPr>
        <w:ind w:left="1418" w:hanging="567"/>
        <w:rPr>
          <w:rFonts w:eastAsia="Times New Roman"/>
          <w:b/>
          <w:szCs w:val="20"/>
        </w:rPr>
      </w:pPr>
      <w:r w:rsidRPr="00E26C8E">
        <w:rPr>
          <w:rFonts w:eastAsia="Times New Roman"/>
          <w:b/>
          <w:szCs w:val="20"/>
        </w:rPr>
        <w:t>2.6.2</w:t>
      </w:r>
      <w:r w:rsidRPr="00E26C8E">
        <w:rPr>
          <w:rFonts w:eastAsia="Times New Roman"/>
          <w:b/>
          <w:szCs w:val="20"/>
        </w:rPr>
        <w:tab/>
        <w:t>Other Processing Wastes</w:t>
      </w:r>
    </w:p>
    <w:p w:rsidR="00E26C8E" w:rsidRPr="00E26C8E" w:rsidRDefault="00E26C8E" w:rsidP="00E26C8E">
      <w:pPr>
        <w:ind w:left="1418"/>
        <w:rPr>
          <w:rFonts w:eastAsia="Times New Roman"/>
          <w:szCs w:val="20"/>
        </w:rPr>
      </w:pPr>
      <w:r w:rsidRPr="00E26C8E">
        <w:rPr>
          <w:rFonts w:eastAsia="Times New Roman"/>
          <w:szCs w:val="20"/>
        </w:rPr>
        <w:t>Provide:</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the volumes and composition of all solid and liquid wastes produced;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estimated volumes of waste processing water, reverse osmosis reject water, water content of solid wastes, and method of disposal or recycling;</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waste water composition;</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disposal and management of any hazardous material or contaminants within waste including radioactive, toxic, corrosive or flammable materials;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the source, pathway and ultimate fate of any potential mobile contaminants.</w:t>
      </w:r>
    </w:p>
    <w:p w:rsidR="00E26C8E" w:rsidRPr="00E26C8E" w:rsidRDefault="00E26C8E" w:rsidP="00E26C8E">
      <w:pPr>
        <w:ind w:left="1418" w:hanging="567"/>
        <w:rPr>
          <w:rFonts w:eastAsia="Times New Roman"/>
          <w:b/>
          <w:szCs w:val="20"/>
        </w:rPr>
      </w:pPr>
      <w:r w:rsidRPr="00E26C8E">
        <w:rPr>
          <w:rFonts w:eastAsia="Times New Roman"/>
          <w:b/>
          <w:szCs w:val="20"/>
        </w:rPr>
        <w:t>2.6.3</w:t>
      </w:r>
      <w:r w:rsidRPr="00E26C8E">
        <w:rPr>
          <w:rFonts w:eastAsia="Times New Roman"/>
          <w:b/>
          <w:szCs w:val="20"/>
        </w:rPr>
        <w:tab/>
        <w:t>Industrial and Commercial Wastes</w:t>
      </w:r>
    </w:p>
    <w:p w:rsidR="00E26C8E" w:rsidRPr="00E26C8E" w:rsidRDefault="00E26C8E" w:rsidP="00E26C8E">
      <w:pPr>
        <w:ind w:left="1418"/>
        <w:rPr>
          <w:rFonts w:eastAsia="Times New Roman"/>
          <w:szCs w:val="20"/>
        </w:rPr>
      </w:pPr>
      <w:r w:rsidRPr="00E26C8E">
        <w:rPr>
          <w:rFonts w:eastAsia="Times New Roman"/>
          <w:szCs w:val="20"/>
        </w:rPr>
        <w:t>List any industrial and commercial wastes generated including, but not limited to:</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putrescible waste, including sewage;</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oils and other hydrocarbons;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tyres.</w:t>
      </w:r>
    </w:p>
    <w:p w:rsidR="00E26C8E" w:rsidRPr="00E26C8E" w:rsidRDefault="00E26C8E" w:rsidP="00E26C8E">
      <w:pPr>
        <w:ind w:left="1418"/>
        <w:rPr>
          <w:rFonts w:eastAsia="Times New Roman"/>
          <w:szCs w:val="20"/>
        </w:rPr>
      </w:pPr>
      <w:r w:rsidRPr="00E26C8E">
        <w:rPr>
          <w:rFonts w:eastAsia="Times New Roman"/>
          <w:szCs w:val="20"/>
        </w:rPr>
        <w:t>For each waste type, describe the method of disposal including:</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offsite disposal;</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on site waste disposal (including size, location on a plan (as per 5.1.2.1 and 5.1.2.7) and construction details);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recycling (either on or offsite);</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the type, area and layout of sewage systems to be installed at the site;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describe what, if any approvals are required for the disposal of waste.</w:t>
      </w:r>
    </w:p>
    <w:p w:rsidR="00E26C8E" w:rsidRPr="00E26C8E" w:rsidRDefault="00E26C8E" w:rsidP="00E26C8E">
      <w:pPr>
        <w:ind w:left="1418"/>
        <w:rPr>
          <w:rFonts w:eastAsia="Times New Roman"/>
          <w:szCs w:val="20"/>
        </w:rPr>
      </w:pPr>
      <w:r w:rsidRPr="00E26C8E">
        <w:rPr>
          <w:rFonts w:eastAsia="Times New Roman"/>
          <w:szCs w:val="20"/>
        </w:rPr>
        <w:t>For each type of waste, describe any potential contaminants that may be generated from onsite storage, and the ultimate fate of those contaminants.</w:t>
      </w:r>
    </w:p>
    <w:p w:rsidR="00E26C8E" w:rsidRPr="00E26C8E" w:rsidRDefault="00E26C8E" w:rsidP="00E26C8E">
      <w:pPr>
        <w:ind w:left="1418" w:hanging="567"/>
        <w:rPr>
          <w:rFonts w:eastAsia="Times New Roman"/>
          <w:b/>
          <w:szCs w:val="20"/>
        </w:rPr>
      </w:pPr>
      <w:r w:rsidRPr="00E26C8E">
        <w:rPr>
          <w:rFonts w:eastAsia="Times New Roman"/>
          <w:b/>
          <w:szCs w:val="20"/>
        </w:rPr>
        <w:t>2.6.4</w:t>
      </w:r>
      <w:r w:rsidRPr="00E26C8E">
        <w:rPr>
          <w:rFonts w:eastAsia="Times New Roman"/>
          <w:b/>
          <w:szCs w:val="20"/>
        </w:rPr>
        <w:tab/>
        <w:t>Rehabilitation Strategies and Timing</w:t>
      </w:r>
    </w:p>
    <w:p w:rsidR="00E26C8E" w:rsidRPr="00E26C8E" w:rsidRDefault="00E26C8E" w:rsidP="00E26C8E">
      <w:pPr>
        <w:ind w:left="1418"/>
        <w:rPr>
          <w:rFonts w:eastAsia="Times New Roman"/>
          <w:szCs w:val="20"/>
        </w:rPr>
      </w:pPr>
      <w:r w:rsidRPr="00E26C8E">
        <w:rPr>
          <w:rFonts w:eastAsia="Times New Roman"/>
          <w:szCs w:val="20"/>
        </w:rPr>
        <w:t>Detail all activities, strategies and designs relating to mine closure, including timing of these activities and all opportunities for progressive rehabilitation of waste rock and tailings and any other waste to be left on site.</w:t>
      </w:r>
    </w:p>
    <w:p w:rsidR="00E26C8E" w:rsidRPr="00E26C8E" w:rsidRDefault="00E26C8E" w:rsidP="00E26C8E">
      <w:pPr>
        <w:ind w:left="851" w:hanging="426"/>
        <w:rPr>
          <w:rFonts w:eastAsia="Times New Roman"/>
          <w:b/>
          <w:szCs w:val="20"/>
        </w:rPr>
      </w:pPr>
      <w:r w:rsidRPr="00E26C8E">
        <w:rPr>
          <w:rFonts w:eastAsia="Times New Roman"/>
          <w:b/>
          <w:szCs w:val="20"/>
        </w:rPr>
        <w:t>2.7</w:t>
      </w:r>
      <w:r w:rsidRPr="00E26C8E">
        <w:rPr>
          <w:rFonts w:eastAsia="Times New Roman"/>
          <w:b/>
          <w:szCs w:val="20"/>
        </w:rPr>
        <w:tab/>
        <w:t>Supporting Surface Infrastructure</w:t>
      </w:r>
    </w:p>
    <w:p w:rsidR="00E26C8E" w:rsidRPr="00E26C8E" w:rsidRDefault="00E26C8E" w:rsidP="00E26C8E">
      <w:pPr>
        <w:ind w:left="1418" w:hanging="567"/>
        <w:rPr>
          <w:rFonts w:eastAsia="Times New Roman"/>
          <w:b/>
          <w:szCs w:val="20"/>
        </w:rPr>
      </w:pPr>
      <w:r w:rsidRPr="00E26C8E">
        <w:rPr>
          <w:rFonts w:eastAsia="Times New Roman"/>
          <w:b/>
          <w:szCs w:val="20"/>
        </w:rPr>
        <w:t>2.7.1</w:t>
      </w:r>
      <w:r w:rsidRPr="00E26C8E">
        <w:rPr>
          <w:rFonts w:eastAsia="Times New Roman"/>
          <w:b/>
          <w:szCs w:val="20"/>
        </w:rPr>
        <w:tab/>
        <w:t>Access and Roads</w:t>
      </w:r>
    </w:p>
    <w:p w:rsidR="00E26C8E" w:rsidRPr="00E26C8E" w:rsidRDefault="00E26C8E" w:rsidP="00E26C8E">
      <w:pPr>
        <w:ind w:left="1418"/>
        <w:rPr>
          <w:rFonts w:eastAsia="Times New Roman"/>
          <w:szCs w:val="20"/>
        </w:rPr>
      </w:pPr>
      <w:r w:rsidRPr="00E26C8E">
        <w:rPr>
          <w:rFonts w:eastAsia="Times New Roman"/>
          <w:szCs w:val="20"/>
        </w:rPr>
        <w:t>Describe:</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access route to the proposed operations and show on a map (as per 5.1.2.1 and 5.1.2.6);</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indicate if any new roads are to be constructed, or if existing roads or intersections (public and private) are to be upgraded;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transport system(s) used to and from the proposed operations and the estimated number of vehicle movements per day;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airport/airstrips to be constructed.</w:t>
      </w:r>
    </w:p>
    <w:p w:rsidR="00E26C8E" w:rsidRPr="00E26C8E" w:rsidRDefault="00E26C8E" w:rsidP="00E26C8E">
      <w:pPr>
        <w:ind w:left="1418" w:hanging="567"/>
        <w:rPr>
          <w:rFonts w:eastAsia="Times New Roman"/>
          <w:b/>
          <w:szCs w:val="20"/>
        </w:rPr>
      </w:pPr>
      <w:r w:rsidRPr="00E26C8E">
        <w:rPr>
          <w:rFonts w:eastAsia="Times New Roman"/>
          <w:b/>
          <w:szCs w:val="20"/>
        </w:rPr>
        <w:t>2.7.2</w:t>
      </w:r>
      <w:r w:rsidRPr="00E26C8E">
        <w:rPr>
          <w:rFonts w:eastAsia="Times New Roman"/>
          <w:b/>
          <w:szCs w:val="20"/>
        </w:rPr>
        <w:tab/>
        <w:t>Accommodation and Offices</w:t>
      </w:r>
    </w:p>
    <w:p w:rsidR="00E26C8E" w:rsidRPr="00E26C8E" w:rsidRDefault="00E26C8E" w:rsidP="00E26C8E">
      <w:pPr>
        <w:ind w:left="1418"/>
        <w:rPr>
          <w:rFonts w:eastAsia="Times New Roman"/>
          <w:szCs w:val="20"/>
        </w:rPr>
      </w:pPr>
      <w:r w:rsidRPr="00E26C8E">
        <w:rPr>
          <w:rFonts w:eastAsia="Times New Roman"/>
          <w:szCs w:val="20"/>
        </w:rPr>
        <w:t>Describe onsite personnel accommodation and offices, including (but not limited to):</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number, area, size, type of construction and location of accommodation, office, meals or laboratory buildings, caravans or camp, and associated structures to be used on site;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if temporary or permanent.</w:t>
      </w:r>
    </w:p>
    <w:p w:rsidR="00E26C8E" w:rsidRPr="00E26C8E" w:rsidRDefault="00E26C8E" w:rsidP="00E26C8E">
      <w:pPr>
        <w:ind w:left="1418" w:hanging="567"/>
        <w:rPr>
          <w:rFonts w:eastAsia="Times New Roman"/>
          <w:b/>
          <w:szCs w:val="20"/>
        </w:rPr>
      </w:pPr>
      <w:r w:rsidRPr="00E26C8E">
        <w:rPr>
          <w:rFonts w:eastAsia="Times New Roman"/>
          <w:b/>
          <w:szCs w:val="20"/>
        </w:rPr>
        <w:t>2.7.3</w:t>
      </w:r>
      <w:r w:rsidRPr="00E26C8E">
        <w:rPr>
          <w:rFonts w:eastAsia="Times New Roman"/>
          <w:b/>
          <w:szCs w:val="20"/>
        </w:rPr>
        <w:tab/>
        <w:t>Public and Private Services and Utilities Used by the Operation</w:t>
      </w:r>
    </w:p>
    <w:p w:rsidR="00E26C8E" w:rsidRPr="00E26C8E" w:rsidRDefault="00E26C8E" w:rsidP="00E26C8E">
      <w:pPr>
        <w:ind w:left="1418"/>
        <w:rPr>
          <w:rFonts w:eastAsia="Times New Roman"/>
          <w:szCs w:val="20"/>
        </w:rPr>
      </w:pPr>
      <w:r w:rsidRPr="00E26C8E">
        <w:rPr>
          <w:rFonts w:eastAsia="Times New Roman"/>
          <w:szCs w:val="20"/>
        </w:rPr>
        <w:t>Describe:</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sources of services or utilities that are, or are to be supplied to the proposed site, including but not limited to power, water, telecommunications;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if new connections to services and utilities are required, the proposed routes for connection;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the effects to any existing services or utilities that have been or may be affected by the proposed operations.</w:t>
      </w:r>
    </w:p>
    <w:p w:rsidR="00E26C8E" w:rsidRPr="00E26C8E" w:rsidRDefault="00E26C8E" w:rsidP="00E26C8E">
      <w:pPr>
        <w:ind w:left="1418" w:hanging="567"/>
        <w:rPr>
          <w:rFonts w:eastAsia="Times New Roman"/>
          <w:b/>
          <w:szCs w:val="20"/>
        </w:rPr>
      </w:pPr>
      <w:r w:rsidRPr="00E26C8E">
        <w:rPr>
          <w:rFonts w:eastAsia="Times New Roman"/>
          <w:b/>
          <w:szCs w:val="20"/>
        </w:rPr>
        <w:t>2.7.4</w:t>
      </w:r>
      <w:r w:rsidRPr="00E26C8E">
        <w:rPr>
          <w:rFonts w:eastAsia="Times New Roman"/>
          <w:b/>
          <w:szCs w:val="20"/>
        </w:rPr>
        <w:tab/>
        <w:t>Visual Screening</w:t>
      </w:r>
    </w:p>
    <w:p w:rsidR="00E26C8E" w:rsidRPr="00E26C8E" w:rsidRDefault="00E26C8E" w:rsidP="00E26C8E">
      <w:pPr>
        <w:ind w:left="1418"/>
        <w:rPr>
          <w:rFonts w:eastAsia="Times New Roman"/>
          <w:szCs w:val="20"/>
        </w:rPr>
      </w:pPr>
      <w:r w:rsidRPr="00E26C8E">
        <w:rPr>
          <w:rFonts w:eastAsia="Times New Roman"/>
          <w:szCs w:val="20"/>
        </w:rPr>
        <w:t>Describe the type of screening, including existing or proposed vegetation (i.e. species and density of plantings) and show on a map (as per 5.1.2.1).</w:t>
      </w:r>
    </w:p>
    <w:p w:rsidR="00E26C8E" w:rsidRPr="00E26C8E" w:rsidRDefault="00E26C8E" w:rsidP="00E26C8E">
      <w:pPr>
        <w:ind w:left="1418" w:hanging="567"/>
        <w:rPr>
          <w:rFonts w:eastAsia="Times New Roman"/>
          <w:b/>
          <w:szCs w:val="20"/>
        </w:rPr>
      </w:pPr>
      <w:r w:rsidRPr="00E26C8E">
        <w:rPr>
          <w:rFonts w:eastAsia="Times New Roman"/>
          <w:b/>
          <w:szCs w:val="20"/>
        </w:rPr>
        <w:t>2.7.5</w:t>
      </w:r>
      <w:r w:rsidRPr="00E26C8E">
        <w:rPr>
          <w:rFonts w:eastAsia="Times New Roman"/>
          <w:b/>
          <w:szCs w:val="20"/>
        </w:rPr>
        <w:tab/>
        <w:t>Fuel and Chemical Storage</w:t>
      </w:r>
    </w:p>
    <w:p w:rsidR="00E26C8E" w:rsidRPr="00E26C8E" w:rsidRDefault="00E26C8E" w:rsidP="00E26C8E">
      <w:pPr>
        <w:ind w:left="1418"/>
        <w:rPr>
          <w:rFonts w:eastAsia="Times New Roman"/>
          <w:szCs w:val="20"/>
        </w:rPr>
      </w:pPr>
      <w:r w:rsidRPr="00E26C8E">
        <w:rPr>
          <w:rFonts w:eastAsia="Times New Roman"/>
          <w:szCs w:val="20"/>
        </w:rPr>
        <w:t>For all fuels and chemicals proposed to be stored on site show the proposed location of storage on a map (as per 5.1.2.1) and provide detail on:</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types of bulk chemicals and the volumes of each;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proposed storage, bunding and containment for all chemical and fuel storage vessels.</w:t>
      </w:r>
    </w:p>
    <w:p w:rsidR="00E26C8E" w:rsidRPr="00E26C8E" w:rsidRDefault="00E26C8E" w:rsidP="00E26C8E">
      <w:pPr>
        <w:spacing w:after="0" w:line="240" w:lineRule="auto"/>
        <w:jc w:val="left"/>
        <w:rPr>
          <w:rFonts w:eastAsia="Times New Roman"/>
          <w:b/>
          <w:szCs w:val="20"/>
        </w:rPr>
      </w:pPr>
      <w:r w:rsidRPr="00E26C8E">
        <w:rPr>
          <w:rFonts w:eastAsia="Times New Roman"/>
          <w:b/>
          <w:szCs w:val="20"/>
        </w:rPr>
        <w:br w:type="page"/>
      </w:r>
    </w:p>
    <w:p w:rsidR="00E26C8E" w:rsidRPr="00E26C8E" w:rsidRDefault="00E26C8E" w:rsidP="00E26C8E">
      <w:pPr>
        <w:ind w:left="1418" w:hanging="567"/>
        <w:rPr>
          <w:rFonts w:eastAsia="Times New Roman"/>
          <w:b/>
          <w:szCs w:val="20"/>
        </w:rPr>
      </w:pPr>
      <w:r w:rsidRPr="00E26C8E">
        <w:rPr>
          <w:rFonts w:eastAsia="Times New Roman"/>
          <w:b/>
          <w:szCs w:val="20"/>
        </w:rPr>
        <w:t>2.7.6</w:t>
      </w:r>
      <w:r w:rsidRPr="00E26C8E">
        <w:rPr>
          <w:rFonts w:eastAsia="Times New Roman"/>
          <w:b/>
          <w:szCs w:val="20"/>
        </w:rPr>
        <w:tab/>
        <w:t>Site Security</w:t>
      </w:r>
    </w:p>
    <w:p w:rsidR="00E26C8E" w:rsidRPr="00E26C8E" w:rsidRDefault="00E26C8E" w:rsidP="00E26C8E">
      <w:pPr>
        <w:ind w:left="1418"/>
        <w:rPr>
          <w:rFonts w:eastAsia="Times New Roman"/>
          <w:szCs w:val="20"/>
        </w:rPr>
      </w:pPr>
      <w:r w:rsidRPr="00E26C8E">
        <w:rPr>
          <w:rFonts w:eastAsia="Times New Roman"/>
          <w:szCs w:val="20"/>
        </w:rPr>
        <w:t>Describe and show on a map (as per 5.1.2.1) infrastructure and measures that will be adopted to prevent unauthorised access by the public, including but not limited to:</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fencing;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signage.</w:t>
      </w:r>
    </w:p>
    <w:p w:rsidR="00E26C8E" w:rsidRPr="00E26C8E" w:rsidRDefault="00E26C8E" w:rsidP="00E26C8E">
      <w:pPr>
        <w:ind w:left="1418" w:hanging="567"/>
        <w:rPr>
          <w:rFonts w:eastAsia="Times New Roman"/>
          <w:b/>
          <w:szCs w:val="20"/>
        </w:rPr>
      </w:pPr>
      <w:r w:rsidRPr="00E26C8E">
        <w:rPr>
          <w:rFonts w:eastAsia="Times New Roman"/>
          <w:b/>
          <w:szCs w:val="20"/>
        </w:rPr>
        <w:t>2.7.7</w:t>
      </w:r>
      <w:r w:rsidRPr="00E26C8E">
        <w:rPr>
          <w:rFonts w:eastAsia="Times New Roman"/>
          <w:b/>
          <w:szCs w:val="20"/>
        </w:rPr>
        <w:tab/>
        <w:t>Erosion, Sediment and Silt Control</w:t>
      </w:r>
    </w:p>
    <w:p w:rsidR="00E26C8E" w:rsidRPr="00E26C8E" w:rsidRDefault="00E26C8E" w:rsidP="00E26C8E">
      <w:pPr>
        <w:ind w:left="1418"/>
        <w:rPr>
          <w:rFonts w:eastAsia="Times New Roman"/>
          <w:szCs w:val="20"/>
        </w:rPr>
      </w:pPr>
      <w:r w:rsidRPr="00E26C8E">
        <w:rPr>
          <w:rFonts w:eastAsia="Times New Roman"/>
          <w:szCs w:val="20"/>
        </w:rPr>
        <w:t>Describe and show on a plan (as per 5.1.2.1):</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location and design of silt management structures;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management and disposal of silt;</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strategies to control runoff on disturbed and rehabilitated areas;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storage, diversion and release of clean water (discharge water must comply with the current Environment Protection (Water Quality) Policy;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a whole of site stormwater balance, if not included in the water balance in clause 2.5.4.</w:t>
      </w:r>
    </w:p>
    <w:p w:rsidR="00E26C8E" w:rsidRPr="00E26C8E" w:rsidRDefault="00E26C8E" w:rsidP="00E26C8E">
      <w:pPr>
        <w:ind w:left="1418" w:hanging="567"/>
        <w:rPr>
          <w:rFonts w:eastAsia="Times New Roman"/>
          <w:b/>
          <w:szCs w:val="20"/>
        </w:rPr>
      </w:pPr>
      <w:r w:rsidRPr="00E26C8E">
        <w:rPr>
          <w:rFonts w:eastAsia="Times New Roman"/>
          <w:b/>
          <w:szCs w:val="20"/>
        </w:rPr>
        <w:t>2.7.8</w:t>
      </w:r>
      <w:r w:rsidRPr="00E26C8E">
        <w:rPr>
          <w:rFonts w:eastAsia="Times New Roman"/>
          <w:b/>
          <w:szCs w:val="20"/>
        </w:rPr>
        <w:tab/>
        <w:t>Rehabilitation Strategies and Timing</w:t>
      </w:r>
    </w:p>
    <w:p w:rsidR="00E26C8E" w:rsidRPr="00E26C8E" w:rsidRDefault="00E26C8E" w:rsidP="00E26C8E">
      <w:pPr>
        <w:ind w:left="1418"/>
        <w:rPr>
          <w:rFonts w:eastAsia="Times New Roman"/>
          <w:szCs w:val="20"/>
        </w:rPr>
      </w:pPr>
      <w:r w:rsidRPr="00E26C8E">
        <w:rPr>
          <w:rFonts w:eastAsia="Times New Roman"/>
          <w:szCs w:val="20"/>
        </w:rPr>
        <w:t>Detail all activities, strategies and designs relating to mine closure for rehabilitation of supporting surface infrastructure. Provide details for timing of closure activities, including all opportunities for progressive rehabilitation.</w:t>
      </w:r>
    </w:p>
    <w:p w:rsidR="00E26C8E" w:rsidRPr="00E26C8E" w:rsidRDefault="00E26C8E" w:rsidP="00E26C8E">
      <w:pPr>
        <w:ind w:left="851" w:hanging="426"/>
        <w:rPr>
          <w:rFonts w:eastAsia="Times New Roman"/>
          <w:b/>
          <w:szCs w:val="20"/>
        </w:rPr>
      </w:pPr>
      <w:r w:rsidRPr="00E26C8E">
        <w:rPr>
          <w:rFonts w:eastAsia="Times New Roman"/>
          <w:b/>
          <w:szCs w:val="20"/>
        </w:rPr>
        <w:t>2.8</w:t>
      </w:r>
      <w:r w:rsidRPr="00E26C8E">
        <w:rPr>
          <w:rFonts w:eastAsia="Times New Roman"/>
          <w:b/>
          <w:szCs w:val="20"/>
        </w:rPr>
        <w:tab/>
        <w:t>Vegetation Clearance</w:t>
      </w:r>
    </w:p>
    <w:p w:rsidR="00E26C8E" w:rsidRPr="00E26C8E" w:rsidRDefault="00E26C8E" w:rsidP="00E26C8E">
      <w:pPr>
        <w:ind w:left="1418" w:hanging="567"/>
        <w:rPr>
          <w:rFonts w:eastAsia="Times New Roman"/>
          <w:b/>
          <w:szCs w:val="20"/>
        </w:rPr>
      </w:pPr>
      <w:r w:rsidRPr="00E26C8E">
        <w:rPr>
          <w:rFonts w:eastAsia="Times New Roman"/>
          <w:b/>
          <w:szCs w:val="20"/>
        </w:rPr>
        <w:t>2.8.1</w:t>
      </w:r>
      <w:r w:rsidRPr="00E26C8E">
        <w:rPr>
          <w:rFonts w:eastAsia="Times New Roman"/>
          <w:b/>
          <w:szCs w:val="20"/>
        </w:rPr>
        <w:tab/>
        <w:t>Description of Vegetation Clearance</w:t>
      </w:r>
    </w:p>
    <w:p w:rsidR="00E26C8E" w:rsidRPr="00E26C8E" w:rsidRDefault="00E26C8E" w:rsidP="00E26C8E">
      <w:pPr>
        <w:ind w:left="1418"/>
        <w:rPr>
          <w:rFonts w:eastAsia="Times New Roman"/>
          <w:szCs w:val="20"/>
        </w:rPr>
      </w:pPr>
      <w:r w:rsidRPr="00E26C8E">
        <w:rPr>
          <w:rFonts w:eastAsia="Times New Roman"/>
          <w:szCs w:val="20"/>
        </w:rPr>
        <w:t>If clearing of native vegetation is proposed, a map (as per 5.1.2.2) and description of the vegetation present in the application area must be provided, showing:</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the extent of any proposed vegetation clearance;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the likelihood of the presence of threatened flora.</w:t>
      </w:r>
    </w:p>
    <w:p w:rsidR="00E26C8E" w:rsidRPr="00E26C8E" w:rsidRDefault="00E26C8E" w:rsidP="00E26C8E">
      <w:pPr>
        <w:ind w:left="1418"/>
        <w:rPr>
          <w:rFonts w:eastAsia="Times New Roman"/>
          <w:szCs w:val="20"/>
        </w:rPr>
      </w:pPr>
      <w:r w:rsidRPr="00E26C8E">
        <w:rPr>
          <w:rFonts w:eastAsia="Times New Roman"/>
          <w:szCs w:val="20"/>
        </w:rPr>
        <w:t>State the estimated quantum of significant environmental benefit (SEB) to be gained in exchange for the proposed clearance and describe how the SEB will be provided.</w:t>
      </w:r>
    </w:p>
    <w:p w:rsidR="00E26C8E" w:rsidRPr="00E26C8E" w:rsidRDefault="00E26C8E" w:rsidP="00E26C8E">
      <w:pPr>
        <w:ind w:left="851" w:hanging="426"/>
        <w:rPr>
          <w:rFonts w:eastAsia="Times New Roman"/>
          <w:b/>
          <w:szCs w:val="20"/>
        </w:rPr>
      </w:pPr>
      <w:r w:rsidRPr="00E26C8E">
        <w:rPr>
          <w:rFonts w:eastAsia="Times New Roman"/>
          <w:b/>
          <w:szCs w:val="20"/>
        </w:rPr>
        <w:t>2.9</w:t>
      </w:r>
      <w:r w:rsidRPr="00E26C8E">
        <w:rPr>
          <w:rFonts w:eastAsia="Times New Roman"/>
          <w:b/>
          <w:szCs w:val="20"/>
        </w:rPr>
        <w:tab/>
        <w:t>Completion</w:t>
      </w:r>
    </w:p>
    <w:p w:rsidR="00E26C8E" w:rsidRPr="00E26C8E" w:rsidRDefault="00E26C8E" w:rsidP="00E26C8E">
      <w:pPr>
        <w:ind w:left="1418" w:hanging="567"/>
        <w:rPr>
          <w:rFonts w:eastAsia="Times New Roman"/>
          <w:b/>
          <w:szCs w:val="20"/>
        </w:rPr>
      </w:pPr>
      <w:r w:rsidRPr="00E26C8E">
        <w:rPr>
          <w:rFonts w:eastAsia="Times New Roman"/>
          <w:b/>
          <w:szCs w:val="20"/>
        </w:rPr>
        <w:t>2.9.1</w:t>
      </w:r>
      <w:r w:rsidRPr="00E26C8E">
        <w:rPr>
          <w:rFonts w:eastAsia="Times New Roman"/>
          <w:b/>
          <w:szCs w:val="20"/>
        </w:rPr>
        <w:tab/>
        <w:t>Description of Site at Completion</w:t>
      </w:r>
    </w:p>
    <w:p w:rsidR="00E26C8E" w:rsidRPr="00E26C8E" w:rsidRDefault="00E26C8E" w:rsidP="00E26C8E">
      <w:pPr>
        <w:ind w:left="1418"/>
        <w:rPr>
          <w:rFonts w:eastAsia="Times New Roman"/>
          <w:szCs w:val="20"/>
        </w:rPr>
      </w:pPr>
      <w:r w:rsidRPr="00E26C8E">
        <w:rPr>
          <w:rFonts w:eastAsia="Times New Roman"/>
          <w:szCs w:val="20"/>
        </w:rPr>
        <w:t>Provide a description, plans and cross sections (as per 5.1.2.7 and 5.2.2.2) of the site as it will be at completion after all rehabilitation and closure activities have been completed, including:</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potential land use options;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landforms;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proposed vegetation covers (including native vegetation that will not be disturbed due to proposed operations);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natural contours of land not to be disturbed by proposed operations;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any infrastructure that will remain on site and will become the responsibility of the landowner;</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location, description and management of waste disposal areas;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location of reshaped and rehabilitated areas showing proposed surface contours and revegetation;</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mine voids (open pit and/or underground);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location of stored and/or exposed PAF material and/or other hazardous materials;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expected final water level and time to reach this level, and water quality of mine voids;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location of surface water infrastructure including ponds and diversions;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representative plans and cross-sections (as per 5.1.2.7 and 5.2.2.2) that show:</w:t>
      </w:r>
    </w:p>
    <w:p w:rsidR="00E26C8E" w:rsidRPr="00E26C8E" w:rsidRDefault="00E26C8E" w:rsidP="00E26C8E">
      <w:pPr>
        <w:ind w:left="1985" w:hanging="284"/>
        <w:rPr>
          <w:rFonts w:eastAsia="Times New Roman"/>
          <w:szCs w:val="20"/>
        </w:rPr>
      </w:pPr>
      <w:r w:rsidRPr="00E26C8E">
        <w:rPr>
          <w:rFonts w:eastAsia="Times New Roman"/>
          <w:szCs w:val="20"/>
        </w:rPr>
        <w:t>◦</w:t>
      </w:r>
      <w:r w:rsidRPr="00E26C8E">
        <w:rPr>
          <w:rFonts w:eastAsia="Times New Roman"/>
          <w:szCs w:val="20"/>
        </w:rPr>
        <w:tab/>
        <w:t>pre-mining natural surface;</w:t>
      </w:r>
    </w:p>
    <w:p w:rsidR="00E26C8E" w:rsidRPr="00E26C8E" w:rsidRDefault="00E26C8E" w:rsidP="00E26C8E">
      <w:pPr>
        <w:ind w:left="1985" w:hanging="284"/>
        <w:rPr>
          <w:rFonts w:eastAsia="Times New Roman"/>
          <w:szCs w:val="20"/>
        </w:rPr>
      </w:pPr>
      <w:r w:rsidRPr="00E26C8E">
        <w:rPr>
          <w:rFonts w:eastAsia="Times New Roman"/>
          <w:szCs w:val="20"/>
        </w:rPr>
        <w:t>◦</w:t>
      </w:r>
      <w:r w:rsidRPr="00E26C8E">
        <w:rPr>
          <w:rFonts w:eastAsia="Times New Roman"/>
          <w:szCs w:val="20"/>
        </w:rPr>
        <w:tab/>
        <w:t>emplacement areas, waste disposal areas and disturbed areas;</w:t>
      </w:r>
    </w:p>
    <w:p w:rsidR="00E26C8E" w:rsidRPr="00E26C8E" w:rsidRDefault="00E26C8E" w:rsidP="00E26C8E">
      <w:pPr>
        <w:ind w:left="1985" w:hanging="284"/>
        <w:rPr>
          <w:rFonts w:eastAsia="Times New Roman"/>
          <w:szCs w:val="20"/>
        </w:rPr>
      </w:pPr>
      <w:r w:rsidRPr="00E26C8E">
        <w:rPr>
          <w:rFonts w:eastAsia="Times New Roman"/>
          <w:szCs w:val="20"/>
        </w:rPr>
        <w:t>◦</w:t>
      </w:r>
      <w:r w:rsidRPr="00E26C8E">
        <w:rPr>
          <w:rFonts w:eastAsia="Times New Roman"/>
          <w:szCs w:val="20"/>
        </w:rPr>
        <w:tab/>
        <w:t>final rehabilitated surface;</w:t>
      </w:r>
    </w:p>
    <w:p w:rsidR="00E26C8E" w:rsidRPr="00E26C8E" w:rsidRDefault="00E26C8E" w:rsidP="00E26C8E">
      <w:pPr>
        <w:ind w:left="1985" w:hanging="284"/>
        <w:rPr>
          <w:rFonts w:eastAsia="Times New Roman"/>
          <w:szCs w:val="20"/>
        </w:rPr>
      </w:pPr>
      <w:r w:rsidRPr="00E26C8E">
        <w:rPr>
          <w:rFonts w:eastAsia="Times New Roman"/>
          <w:szCs w:val="20"/>
        </w:rPr>
        <w:t>◦</w:t>
      </w:r>
      <w:r w:rsidRPr="00E26C8E">
        <w:rPr>
          <w:rFonts w:eastAsia="Times New Roman"/>
          <w:szCs w:val="20"/>
        </w:rPr>
        <w:tab/>
        <w:t>where relevant, backfilled and remaining underground workings;</w:t>
      </w:r>
    </w:p>
    <w:p w:rsidR="00E26C8E" w:rsidRPr="00E26C8E" w:rsidRDefault="00E26C8E" w:rsidP="00E26C8E">
      <w:pPr>
        <w:ind w:left="1985" w:hanging="284"/>
        <w:rPr>
          <w:rFonts w:eastAsia="Times New Roman"/>
          <w:szCs w:val="20"/>
        </w:rPr>
      </w:pPr>
      <w:r w:rsidRPr="00E26C8E">
        <w:rPr>
          <w:rFonts w:eastAsia="Times New Roman"/>
          <w:szCs w:val="20"/>
        </w:rPr>
        <w:t>◦</w:t>
      </w:r>
      <w:r w:rsidRPr="00E26C8E">
        <w:rPr>
          <w:rFonts w:eastAsia="Times New Roman"/>
          <w:szCs w:val="20"/>
        </w:rPr>
        <w:tab/>
        <w:t>predicted final groundwater elevations; and</w:t>
      </w:r>
    </w:p>
    <w:p w:rsidR="00E26C8E" w:rsidRPr="00E26C8E" w:rsidRDefault="00E26C8E" w:rsidP="00E26C8E">
      <w:pPr>
        <w:ind w:left="1985" w:hanging="284"/>
        <w:rPr>
          <w:rFonts w:eastAsia="Times New Roman"/>
          <w:szCs w:val="20"/>
        </w:rPr>
      </w:pPr>
      <w:r w:rsidRPr="00E26C8E">
        <w:rPr>
          <w:rFonts w:eastAsia="Times New Roman"/>
          <w:szCs w:val="20"/>
        </w:rPr>
        <w:t>◦</w:t>
      </w:r>
      <w:r w:rsidRPr="00E26C8E">
        <w:rPr>
          <w:rFonts w:eastAsia="Times New Roman"/>
          <w:szCs w:val="20"/>
        </w:rPr>
        <w:tab/>
        <w:t>interpreted geology including all rock types.</w:t>
      </w:r>
    </w:p>
    <w:p w:rsidR="00E26C8E" w:rsidRPr="00E26C8E" w:rsidRDefault="00E26C8E" w:rsidP="00E26C8E">
      <w:pPr>
        <w:ind w:left="1418"/>
        <w:rPr>
          <w:rFonts w:eastAsia="Times New Roman"/>
          <w:szCs w:val="20"/>
        </w:rPr>
      </w:pPr>
      <w:r w:rsidRPr="00E26C8E">
        <w:rPr>
          <w:rFonts w:eastAsia="Times New Roman"/>
          <w:szCs w:val="20"/>
        </w:rPr>
        <w:t>Provide a description of the proposed mechanism for transferring responsibility for any potential residual liability (i.e. ongoing maintenance or monitoring) subsequent to surrender of the tenement.</w:t>
      </w:r>
    </w:p>
    <w:p w:rsidR="00E26C8E" w:rsidRPr="00E26C8E" w:rsidRDefault="00E26C8E" w:rsidP="00E26C8E">
      <w:pPr>
        <w:ind w:left="851" w:hanging="426"/>
        <w:rPr>
          <w:rFonts w:eastAsia="Times New Roman"/>
          <w:b/>
          <w:szCs w:val="20"/>
        </w:rPr>
      </w:pPr>
      <w:r w:rsidRPr="00E26C8E">
        <w:rPr>
          <w:rFonts w:eastAsia="Times New Roman"/>
          <w:b/>
          <w:szCs w:val="20"/>
        </w:rPr>
        <w:t>2.10</w:t>
      </w:r>
      <w:r w:rsidRPr="00E26C8E">
        <w:rPr>
          <w:rFonts w:eastAsia="Times New Roman"/>
          <w:b/>
          <w:szCs w:val="20"/>
        </w:rPr>
        <w:tab/>
        <w:t>Resource Inputs</w:t>
      </w:r>
    </w:p>
    <w:p w:rsidR="00E26C8E" w:rsidRPr="00E26C8E" w:rsidRDefault="00E26C8E" w:rsidP="00E26C8E">
      <w:pPr>
        <w:ind w:left="1418" w:hanging="567"/>
        <w:rPr>
          <w:rFonts w:eastAsia="Times New Roman"/>
          <w:b/>
          <w:szCs w:val="20"/>
        </w:rPr>
      </w:pPr>
      <w:r w:rsidRPr="00E26C8E">
        <w:rPr>
          <w:rFonts w:eastAsia="Times New Roman"/>
          <w:b/>
          <w:szCs w:val="20"/>
        </w:rPr>
        <w:t>2.10.1</w:t>
      </w:r>
      <w:r w:rsidRPr="00E26C8E">
        <w:rPr>
          <w:rFonts w:eastAsia="Times New Roman"/>
          <w:b/>
          <w:szCs w:val="20"/>
        </w:rPr>
        <w:tab/>
        <w:t>Workforce and local procurement</w:t>
      </w:r>
    </w:p>
    <w:p w:rsidR="00E26C8E" w:rsidRPr="00E26C8E" w:rsidRDefault="00E26C8E" w:rsidP="00E26C8E">
      <w:pPr>
        <w:ind w:left="1418"/>
        <w:rPr>
          <w:rFonts w:eastAsia="Times New Roman"/>
          <w:szCs w:val="20"/>
        </w:rPr>
      </w:pPr>
      <w:r w:rsidRPr="00E26C8E">
        <w:rPr>
          <w:rFonts w:eastAsia="Times New Roman"/>
          <w:szCs w:val="20"/>
        </w:rPr>
        <w:t>For the proposed workforce (for all operations including mining, processing, waste management and supporting surface infrastructure) describe:</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how operations on the site will be managed;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number and workforce breakdown by job type;</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number of full-time employee positions that would be directly created by the proposal (not to include existing positions);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the proportion of the workforce that would reside in the local community and the estimated impact on local employment;</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any programs to target and assist Indigenous or local employment at the quarry;</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training to be provided to employees and potential employees;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approximate timelines for creation of the positions;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potential for local business participation, and procurement of local goods and services.</w:t>
      </w:r>
    </w:p>
    <w:p w:rsidR="00E26C8E" w:rsidRPr="00E26C8E" w:rsidRDefault="00E26C8E" w:rsidP="00E26C8E">
      <w:pPr>
        <w:ind w:left="1418" w:hanging="567"/>
        <w:rPr>
          <w:rFonts w:eastAsia="Times New Roman"/>
          <w:b/>
          <w:szCs w:val="20"/>
        </w:rPr>
      </w:pPr>
      <w:r w:rsidRPr="00E26C8E">
        <w:rPr>
          <w:rFonts w:eastAsia="Times New Roman"/>
          <w:b/>
          <w:szCs w:val="20"/>
        </w:rPr>
        <w:t>2.10.2</w:t>
      </w:r>
      <w:r w:rsidRPr="00E26C8E">
        <w:rPr>
          <w:rFonts w:eastAsia="Times New Roman"/>
          <w:b/>
          <w:szCs w:val="20"/>
        </w:rPr>
        <w:tab/>
        <w:t>Energy Sources</w:t>
      </w:r>
    </w:p>
    <w:p w:rsidR="00E26C8E" w:rsidRPr="00E26C8E" w:rsidRDefault="00E26C8E" w:rsidP="00E26C8E">
      <w:pPr>
        <w:ind w:left="1418"/>
        <w:rPr>
          <w:rFonts w:eastAsia="Times New Roman"/>
          <w:szCs w:val="20"/>
        </w:rPr>
      </w:pPr>
      <w:r w:rsidRPr="00E26C8E">
        <w:rPr>
          <w:rFonts w:eastAsia="Times New Roman"/>
          <w:szCs w:val="20"/>
        </w:rPr>
        <w:t>For the proposed energy sources and usage provide:</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estimates of total annual energy usage (from all sources, including personnel transport and ore transport to point of sale);</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expected sources of energy;</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potential for efficiency gains;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amount and percentage of zero emission energy to be utilised;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equivalent annual CO2 generated;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any carbon offsets proposed.</w:t>
      </w:r>
    </w:p>
    <w:p w:rsidR="00E26C8E" w:rsidRPr="00E26C8E" w:rsidRDefault="00E26C8E" w:rsidP="00E26C8E">
      <w:pPr>
        <w:ind w:left="1418" w:hanging="567"/>
        <w:rPr>
          <w:rFonts w:eastAsia="Times New Roman"/>
          <w:b/>
          <w:szCs w:val="20"/>
        </w:rPr>
      </w:pPr>
      <w:r w:rsidRPr="00E26C8E">
        <w:rPr>
          <w:rFonts w:eastAsia="Times New Roman"/>
          <w:b/>
          <w:szCs w:val="20"/>
        </w:rPr>
        <w:t>2.10.3</w:t>
      </w:r>
      <w:r w:rsidRPr="00E26C8E">
        <w:rPr>
          <w:rFonts w:eastAsia="Times New Roman"/>
          <w:b/>
          <w:szCs w:val="20"/>
        </w:rPr>
        <w:tab/>
        <w:t>Water Sources</w:t>
      </w:r>
    </w:p>
    <w:p w:rsidR="00E26C8E" w:rsidRPr="00E26C8E" w:rsidRDefault="00E26C8E" w:rsidP="00E26C8E">
      <w:pPr>
        <w:ind w:left="1418"/>
        <w:rPr>
          <w:rFonts w:eastAsia="Times New Roman"/>
          <w:szCs w:val="20"/>
        </w:rPr>
      </w:pPr>
      <w:r w:rsidRPr="00E26C8E">
        <w:rPr>
          <w:rFonts w:eastAsia="Times New Roman"/>
          <w:szCs w:val="20"/>
        </w:rPr>
        <w:t>Provide details on the source(s) of water to be used at the mine, expected usage and any discharge, including:</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expected annual water usage by source;</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indicate if any water usage by source will be more than 5% of the total annual water withdrawal for that source;</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percentage of water that will be recycled;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water discharge by quality and destination.</w:t>
      </w:r>
    </w:p>
    <w:p w:rsidR="00E26C8E" w:rsidRPr="00E26C8E" w:rsidRDefault="00E26C8E" w:rsidP="00E26C8E">
      <w:pPr>
        <w:ind w:left="426" w:hanging="284"/>
        <w:rPr>
          <w:rFonts w:eastAsia="Times New Roman"/>
          <w:b/>
          <w:szCs w:val="20"/>
        </w:rPr>
      </w:pPr>
      <w:r w:rsidRPr="00E26C8E">
        <w:rPr>
          <w:rFonts w:eastAsia="Times New Roman"/>
          <w:b/>
          <w:szCs w:val="20"/>
        </w:rPr>
        <w:t>3.</w:t>
      </w:r>
      <w:r w:rsidRPr="00E26C8E">
        <w:rPr>
          <w:rFonts w:eastAsia="Times New Roman"/>
          <w:b/>
          <w:szCs w:val="20"/>
        </w:rPr>
        <w:tab/>
        <w:t>CONSULTATION</w:t>
      </w:r>
    </w:p>
    <w:p w:rsidR="00E26C8E" w:rsidRPr="00E26C8E" w:rsidRDefault="00E26C8E" w:rsidP="00E26C8E">
      <w:pPr>
        <w:ind w:left="426"/>
        <w:rPr>
          <w:rFonts w:eastAsia="Times New Roman"/>
          <w:szCs w:val="20"/>
        </w:rPr>
      </w:pPr>
      <w:r w:rsidRPr="00E26C8E">
        <w:rPr>
          <w:rFonts w:eastAsia="Times New Roman"/>
          <w:szCs w:val="20"/>
        </w:rPr>
        <w:t xml:space="preserve">In setting out the result of the consultation undertaken in connection with the proposed operations in accordance with sections 36(1)(c)(iv) and 49(1)(c)(iv) of the </w:t>
      </w:r>
      <w:r w:rsidRPr="00E26C8E">
        <w:rPr>
          <w:rFonts w:eastAsia="Times New Roman"/>
          <w:i/>
          <w:szCs w:val="20"/>
        </w:rPr>
        <w:t>Mining Act 1971</w:t>
      </w:r>
      <w:r w:rsidRPr="00E26C8E">
        <w:rPr>
          <w:rFonts w:eastAsia="Times New Roman"/>
          <w:szCs w:val="20"/>
        </w:rPr>
        <w:t xml:space="preserve"> and regulation 47 of the </w:t>
      </w:r>
      <w:r w:rsidRPr="00E26C8E">
        <w:rPr>
          <w:rFonts w:eastAsia="Times New Roman"/>
          <w:i/>
          <w:szCs w:val="20"/>
        </w:rPr>
        <w:t>Mining Regulations 2020</w:t>
      </w:r>
      <w:r w:rsidRPr="00E26C8E">
        <w:rPr>
          <w:rFonts w:eastAsia="Times New Roman"/>
          <w:szCs w:val="20"/>
        </w:rPr>
        <w:t xml:space="preserve">, the Minister determines in accordance with regulation 46(7)(e) of the </w:t>
      </w:r>
      <w:r w:rsidRPr="00E26C8E">
        <w:rPr>
          <w:rFonts w:eastAsia="Times New Roman"/>
          <w:i/>
          <w:szCs w:val="20"/>
        </w:rPr>
        <w:t>Mining Regulations 2020</w:t>
      </w:r>
      <w:r w:rsidRPr="00E26C8E">
        <w:rPr>
          <w:rFonts w:eastAsia="Times New Roman"/>
          <w:szCs w:val="20"/>
        </w:rPr>
        <w:t xml:space="preserve"> that a proposal must include:</w:t>
      </w:r>
    </w:p>
    <w:p w:rsidR="00E26C8E" w:rsidRPr="00E26C8E" w:rsidRDefault="00E26C8E" w:rsidP="00E26C8E">
      <w:pPr>
        <w:ind w:left="567"/>
        <w:rPr>
          <w:rFonts w:eastAsia="Times New Roman"/>
          <w:szCs w:val="20"/>
        </w:rPr>
      </w:pPr>
      <w:r w:rsidRPr="00E26C8E">
        <w:rPr>
          <w:rFonts w:eastAsia="Times New Roman"/>
          <w:szCs w:val="20"/>
        </w:rPr>
        <w:t>A description of:</w:t>
      </w:r>
    </w:p>
    <w:p w:rsidR="00E26C8E" w:rsidRPr="00E26C8E" w:rsidRDefault="00E26C8E" w:rsidP="00E26C8E">
      <w:pPr>
        <w:ind w:left="851" w:hanging="284"/>
        <w:rPr>
          <w:rFonts w:eastAsia="Times New Roman"/>
          <w:szCs w:val="20"/>
        </w:rPr>
      </w:pPr>
      <w:r w:rsidRPr="00E26C8E">
        <w:rPr>
          <w:rFonts w:eastAsia="Times New Roman"/>
          <w:szCs w:val="20"/>
        </w:rPr>
        <w:t>•</w:t>
      </w:r>
      <w:r w:rsidRPr="00E26C8E">
        <w:rPr>
          <w:rFonts w:eastAsia="Times New Roman"/>
          <w:szCs w:val="20"/>
        </w:rPr>
        <w:tab/>
        <w:t>the process undertaken for identifying stakeholders with an interest in, or stakeholders likely to be directly affected by the proposed operation;</w:t>
      </w:r>
    </w:p>
    <w:p w:rsidR="00E26C8E" w:rsidRPr="00E26C8E" w:rsidRDefault="00E26C8E" w:rsidP="00E26C8E">
      <w:pPr>
        <w:ind w:left="851" w:hanging="284"/>
        <w:rPr>
          <w:rFonts w:eastAsia="Times New Roman"/>
          <w:szCs w:val="20"/>
        </w:rPr>
      </w:pPr>
      <w:r w:rsidRPr="00E26C8E">
        <w:rPr>
          <w:rFonts w:eastAsia="Times New Roman"/>
          <w:szCs w:val="20"/>
        </w:rPr>
        <w:t>•</w:t>
      </w:r>
      <w:r w:rsidRPr="00E26C8E">
        <w:rPr>
          <w:rFonts w:eastAsia="Times New Roman"/>
          <w:szCs w:val="20"/>
        </w:rPr>
        <w:tab/>
        <w:t>the process undertaken for the delivery of information to, gathering of feedback from, and responding to those identified stakeholders;</w:t>
      </w:r>
    </w:p>
    <w:p w:rsidR="00E26C8E" w:rsidRPr="00E26C8E" w:rsidRDefault="00E26C8E" w:rsidP="00E26C8E">
      <w:pPr>
        <w:ind w:left="851" w:hanging="284"/>
        <w:rPr>
          <w:rFonts w:eastAsia="Times New Roman"/>
          <w:szCs w:val="20"/>
        </w:rPr>
      </w:pPr>
      <w:r w:rsidRPr="00E26C8E">
        <w:rPr>
          <w:rFonts w:eastAsia="Times New Roman"/>
          <w:szCs w:val="20"/>
        </w:rPr>
        <w:t>•</w:t>
      </w:r>
      <w:r w:rsidRPr="00E26C8E">
        <w:rPr>
          <w:rFonts w:eastAsia="Times New Roman"/>
          <w:szCs w:val="20"/>
        </w:rPr>
        <w:tab/>
        <w:t>if any individual or group of similar affected persons were not able to be consulted, what steps were taken to consult with them; and</w:t>
      </w:r>
    </w:p>
    <w:p w:rsidR="00E26C8E" w:rsidRPr="00E26C8E" w:rsidRDefault="00E26C8E" w:rsidP="00E26C8E">
      <w:pPr>
        <w:ind w:left="851" w:hanging="284"/>
        <w:rPr>
          <w:rFonts w:eastAsia="Times New Roman"/>
          <w:szCs w:val="20"/>
        </w:rPr>
      </w:pPr>
      <w:r w:rsidRPr="00E26C8E">
        <w:rPr>
          <w:rFonts w:eastAsia="Times New Roman"/>
          <w:szCs w:val="20"/>
        </w:rPr>
        <w:t>•</w:t>
      </w:r>
      <w:r w:rsidRPr="00E26C8E">
        <w:rPr>
          <w:rFonts w:eastAsia="Times New Roman"/>
          <w:szCs w:val="20"/>
        </w:rPr>
        <w:tab/>
        <w:t>the extent to which the outcomes proposed in clause 4.2.2 have been developed in consultation with the landowner and any other person who may be directly affected by the proposed mine operations.</w:t>
      </w:r>
    </w:p>
    <w:p w:rsidR="00E26C8E" w:rsidRPr="00E26C8E" w:rsidRDefault="00E26C8E" w:rsidP="00E26C8E">
      <w:pPr>
        <w:ind w:left="567"/>
        <w:rPr>
          <w:rFonts w:eastAsia="Times New Roman"/>
          <w:szCs w:val="20"/>
        </w:rPr>
      </w:pPr>
      <w:r w:rsidRPr="00E26C8E">
        <w:rPr>
          <w:rFonts w:eastAsia="Times New Roman"/>
          <w:szCs w:val="20"/>
        </w:rPr>
        <w:t>The results of the consultation undertaken with those identified stakeholders, including:</w:t>
      </w:r>
    </w:p>
    <w:p w:rsidR="00E26C8E" w:rsidRPr="00E26C8E" w:rsidRDefault="00E26C8E" w:rsidP="00E26C8E">
      <w:pPr>
        <w:ind w:left="851" w:hanging="284"/>
        <w:rPr>
          <w:rFonts w:eastAsia="Times New Roman"/>
          <w:szCs w:val="20"/>
        </w:rPr>
      </w:pPr>
      <w:r w:rsidRPr="00E26C8E">
        <w:rPr>
          <w:rFonts w:eastAsia="Times New Roman"/>
          <w:szCs w:val="20"/>
        </w:rPr>
        <w:t>•</w:t>
      </w:r>
      <w:r w:rsidRPr="00E26C8E">
        <w:rPr>
          <w:rFonts w:eastAsia="Times New Roman"/>
          <w:szCs w:val="20"/>
        </w:rPr>
        <w:tab/>
        <w:t>the persons consulted;</w:t>
      </w:r>
    </w:p>
    <w:p w:rsidR="00E26C8E" w:rsidRPr="00E26C8E" w:rsidRDefault="00E26C8E" w:rsidP="00E26C8E">
      <w:pPr>
        <w:ind w:left="851" w:hanging="284"/>
        <w:rPr>
          <w:rFonts w:eastAsia="Times New Roman"/>
          <w:szCs w:val="20"/>
        </w:rPr>
      </w:pPr>
      <w:r w:rsidRPr="00E26C8E">
        <w:rPr>
          <w:rFonts w:eastAsia="Times New Roman"/>
          <w:szCs w:val="20"/>
        </w:rPr>
        <w:t>•</w:t>
      </w:r>
      <w:r w:rsidRPr="00E26C8E">
        <w:rPr>
          <w:rFonts w:eastAsia="Times New Roman"/>
          <w:szCs w:val="20"/>
        </w:rPr>
        <w:tab/>
        <w:t>any concerns/issues raised; and</w:t>
      </w:r>
    </w:p>
    <w:p w:rsidR="00E26C8E" w:rsidRPr="00E26C8E" w:rsidRDefault="00E26C8E" w:rsidP="00E26C8E">
      <w:pPr>
        <w:ind w:left="851" w:hanging="284"/>
        <w:rPr>
          <w:rFonts w:eastAsia="Times New Roman"/>
          <w:szCs w:val="20"/>
        </w:rPr>
      </w:pPr>
      <w:r w:rsidRPr="00E26C8E">
        <w:rPr>
          <w:rFonts w:eastAsia="Times New Roman"/>
          <w:szCs w:val="20"/>
        </w:rPr>
        <w:t>•</w:t>
      </w:r>
      <w:r w:rsidRPr="00E26C8E">
        <w:rPr>
          <w:rFonts w:eastAsia="Times New Roman"/>
          <w:szCs w:val="20"/>
        </w:rPr>
        <w:tab/>
        <w:t>the response and steps (if any) taken or proposed to address those concerns.</w:t>
      </w:r>
    </w:p>
    <w:p w:rsidR="00E26C8E" w:rsidRPr="00E26C8E" w:rsidRDefault="00E26C8E" w:rsidP="00E26C8E">
      <w:pPr>
        <w:ind w:left="426" w:hanging="284"/>
        <w:rPr>
          <w:rFonts w:eastAsia="Times New Roman"/>
          <w:b/>
          <w:szCs w:val="20"/>
        </w:rPr>
      </w:pPr>
      <w:r w:rsidRPr="00E26C8E">
        <w:rPr>
          <w:rFonts w:eastAsia="Times New Roman"/>
          <w:b/>
          <w:szCs w:val="20"/>
        </w:rPr>
        <w:t>4.</w:t>
      </w:r>
      <w:r w:rsidRPr="00E26C8E">
        <w:rPr>
          <w:rFonts w:eastAsia="Times New Roman"/>
          <w:b/>
          <w:szCs w:val="20"/>
        </w:rPr>
        <w:tab/>
        <w:t>MANAGEMENT OF ENVIRONMENTAL IMPACTS</w:t>
      </w:r>
    </w:p>
    <w:p w:rsidR="00E26C8E" w:rsidRPr="00E26C8E" w:rsidRDefault="00E26C8E" w:rsidP="00E26C8E">
      <w:pPr>
        <w:ind w:left="851" w:hanging="425"/>
        <w:rPr>
          <w:rFonts w:eastAsia="Times New Roman"/>
          <w:b/>
          <w:szCs w:val="20"/>
        </w:rPr>
      </w:pPr>
      <w:r w:rsidRPr="00E26C8E">
        <w:rPr>
          <w:rFonts w:eastAsia="Times New Roman"/>
          <w:b/>
          <w:szCs w:val="20"/>
        </w:rPr>
        <w:t>4.1</w:t>
      </w:r>
      <w:r w:rsidRPr="00E26C8E">
        <w:rPr>
          <w:rFonts w:eastAsia="Times New Roman"/>
          <w:b/>
          <w:szCs w:val="20"/>
        </w:rPr>
        <w:tab/>
        <w:t>Assessment of Environmental Impacts</w:t>
      </w:r>
    </w:p>
    <w:p w:rsidR="00E26C8E" w:rsidRPr="00E26C8E" w:rsidRDefault="00E26C8E" w:rsidP="00E26C8E">
      <w:pPr>
        <w:ind w:left="851"/>
        <w:rPr>
          <w:rFonts w:eastAsia="Times New Roman"/>
          <w:szCs w:val="20"/>
        </w:rPr>
      </w:pPr>
      <w:r w:rsidRPr="00E26C8E">
        <w:rPr>
          <w:rFonts w:eastAsia="Times New Roman"/>
          <w:szCs w:val="20"/>
        </w:rPr>
        <w:t xml:space="preserve">In setting out an assessment of the environmental impacts of the proposed authorised operations in accordance with sections 36(1)(c)(ii)(A) and 49(1)(c)(ii)(A) of the </w:t>
      </w:r>
      <w:r w:rsidRPr="00E26C8E">
        <w:rPr>
          <w:rFonts w:eastAsia="Times New Roman"/>
          <w:i/>
          <w:szCs w:val="20"/>
        </w:rPr>
        <w:t>Mining Act 1971</w:t>
      </w:r>
      <w:r w:rsidRPr="00E26C8E">
        <w:rPr>
          <w:rFonts w:eastAsia="Times New Roman"/>
          <w:szCs w:val="20"/>
        </w:rPr>
        <w:t xml:space="preserve"> and regulation 46(2) of the </w:t>
      </w:r>
      <w:r w:rsidRPr="00E26C8E">
        <w:rPr>
          <w:rFonts w:eastAsia="Times New Roman"/>
          <w:i/>
          <w:szCs w:val="20"/>
        </w:rPr>
        <w:t>Mining Regulations 2020</w:t>
      </w:r>
      <w:r w:rsidRPr="00E26C8E">
        <w:rPr>
          <w:rFonts w:eastAsia="Times New Roman"/>
          <w:szCs w:val="20"/>
        </w:rPr>
        <w:t xml:space="preserve">, the Minister determines in accordance with regulation 46(7)(e) of the </w:t>
      </w:r>
      <w:r w:rsidRPr="00E26C8E">
        <w:rPr>
          <w:rFonts w:eastAsia="Times New Roman"/>
          <w:i/>
          <w:szCs w:val="20"/>
        </w:rPr>
        <w:t>Mining Regulations 2020</w:t>
      </w:r>
      <w:r w:rsidRPr="00E26C8E">
        <w:rPr>
          <w:rFonts w:eastAsia="Times New Roman"/>
          <w:szCs w:val="20"/>
        </w:rPr>
        <w:t xml:space="preserve"> that a proposal must include an assessment of the environment as set out in this Terms of Reference.</w:t>
      </w:r>
    </w:p>
    <w:p w:rsidR="00E26C8E" w:rsidRPr="00E26C8E" w:rsidRDefault="00E26C8E" w:rsidP="00E26C8E">
      <w:pPr>
        <w:ind w:left="1418" w:hanging="567"/>
        <w:rPr>
          <w:rFonts w:eastAsia="Times New Roman"/>
          <w:b/>
          <w:szCs w:val="20"/>
        </w:rPr>
      </w:pPr>
      <w:r w:rsidRPr="00E26C8E">
        <w:rPr>
          <w:rFonts w:eastAsia="Times New Roman"/>
          <w:b/>
          <w:szCs w:val="20"/>
        </w:rPr>
        <w:t>4.1.1</w:t>
      </w:r>
      <w:r w:rsidRPr="00E26C8E">
        <w:rPr>
          <w:rFonts w:eastAsia="Times New Roman"/>
          <w:b/>
          <w:szCs w:val="20"/>
        </w:rPr>
        <w:tab/>
        <w:t>Elements of the Environment</w:t>
      </w:r>
    </w:p>
    <w:p w:rsidR="00E26C8E" w:rsidRPr="00E26C8E" w:rsidRDefault="00E26C8E" w:rsidP="00E26C8E">
      <w:pPr>
        <w:ind w:left="1418"/>
        <w:rPr>
          <w:rFonts w:eastAsia="Times New Roman"/>
          <w:szCs w:val="20"/>
        </w:rPr>
      </w:pPr>
      <w:r w:rsidRPr="00E26C8E">
        <w:rPr>
          <w:rFonts w:eastAsia="Times New Roman"/>
          <w:szCs w:val="20"/>
        </w:rPr>
        <w:t xml:space="preserve">Describe the specific elements of the environment (the environment is defined in Section 6(4) of the </w:t>
      </w:r>
      <w:r w:rsidRPr="00E26C8E">
        <w:rPr>
          <w:rFonts w:eastAsia="Times New Roman"/>
          <w:i/>
          <w:szCs w:val="20"/>
        </w:rPr>
        <w:t>Mining Act 1971</w:t>
      </w:r>
      <w:r w:rsidRPr="00E26C8E">
        <w:rPr>
          <w:rFonts w:eastAsia="Times New Roman"/>
          <w:szCs w:val="20"/>
        </w:rPr>
        <w:t>) that may reasonably be expected to be impacted by the proposed operation during construction, operation, and indefinitely post completion.</w:t>
      </w:r>
    </w:p>
    <w:p w:rsidR="00E26C8E" w:rsidRPr="00E26C8E" w:rsidRDefault="00E26C8E" w:rsidP="00E26C8E">
      <w:pPr>
        <w:ind w:left="1418"/>
        <w:rPr>
          <w:rFonts w:eastAsia="Times New Roman"/>
          <w:szCs w:val="20"/>
        </w:rPr>
      </w:pPr>
      <w:r w:rsidRPr="00E26C8E">
        <w:rPr>
          <w:rFonts w:eastAsia="Times New Roman"/>
          <w:szCs w:val="20"/>
        </w:rPr>
        <w:t>For each element of the environment identified: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provide a summary of any issues or considerations raised by stakeholders, and any relevant legislated or recognised standards in relation to the element of the environment;</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describe all potential environmental receptors;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undertake an impact assessment of how the element could be potentially impacted by proposed operations (during construction, operation and post completion) through the provision of the information listed in the following clause 4.1.2.</w:t>
      </w:r>
    </w:p>
    <w:p w:rsidR="00E26C8E" w:rsidRPr="00E26C8E" w:rsidRDefault="00E26C8E" w:rsidP="00E26C8E">
      <w:pPr>
        <w:ind w:left="1418" w:hanging="567"/>
        <w:rPr>
          <w:rFonts w:eastAsia="Times New Roman"/>
          <w:b/>
          <w:szCs w:val="20"/>
        </w:rPr>
      </w:pPr>
      <w:r w:rsidRPr="00E26C8E">
        <w:rPr>
          <w:rFonts w:eastAsia="Times New Roman"/>
          <w:b/>
          <w:szCs w:val="20"/>
        </w:rPr>
        <w:t>4.1.2</w:t>
      </w:r>
      <w:r w:rsidRPr="00E26C8E">
        <w:rPr>
          <w:rFonts w:eastAsia="Times New Roman"/>
          <w:b/>
          <w:szCs w:val="20"/>
        </w:rPr>
        <w:tab/>
        <w:t>Potential Impact Events</w:t>
      </w:r>
    </w:p>
    <w:p w:rsidR="00E26C8E" w:rsidRPr="00E26C8E" w:rsidRDefault="00E26C8E" w:rsidP="00E26C8E">
      <w:pPr>
        <w:ind w:left="1418"/>
        <w:rPr>
          <w:rFonts w:eastAsia="Times New Roman"/>
          <w:szCs w:val="20"/>
        </w:rPr>
      </w:pPr>
      <w:r w:rsidRPr="00E26C8E">
        <w:rPr>
          <w:rFonts w:eastAsia="Times New Roman"/>
          <w:szCs w:val="20"/>
        </w:rPr>
        <w:t>Describe potential impact events associated with each phase of the proposed operations (construction, operation and post completion) and relevant to each element of the environment.</w:t>
      </w:r>
    </w:p>
    <w:p w:rsidR="00E26C8E" w:rsidRPr="00E26C8E" w:rsidRDefault="00E26C8E" w:rsidP="00E26C8E">
      <w:pPr>
        <w:ind w:left="1418"/>
        <w:rPr>
          <w:rFonts w:eastAsia="Times New Roman"/>
          <w:szCs w:val="20"/>
        </w:rPr>
      </w:pPr>
      <w:r w:rsidRPr="00E26C8E">
        <w:rPr>
          <w:rFonts w:eastAsia="Times New Roman"/>
          <w:szCs w:val="20"/>
        </w:rPr>
        <w:t>For the purpose of the impact assessment, a potential impact event is the combination of a source, a pathway and an environmental receptor.</w:t>
      </w:r>
    </w:p>
    <w:p w:rsidR="00E26C8E" w:rsidRPr="00E26C8E" w:rsidRDefault="00E26C8E" w:rsidP="00E26C8E">
      <w:pPr>
        <w:ind w:left="1418"/>
        <w:rPr>
          <w:rFonts w:eastAsia="Times New Roman"/>
          <w:szCs w:val="20"/>
        </w:rPr>
      </w:pPr>
      <w:r w:rsidRPr="00E26C8E">
        <w:rPr>
          <w:rFonts w:eastAsia="Times New Roman"/>
          <w:szCs w:val="20"/>
        </w:rPr>
        <w:t>The source, pathway and environmental receptor of each potential impact event must be described prior to the implementation of engineering or administrative control measures.</w:t>
      </w:r>
    </w:p>
    <w:p w:rsidR="00E26C8E" w:rsidRPr="00E26C8E" w:rsidRDefault="00E26C8E" w:rsidP="00E26C8E">
      <w:pPr>
        <w:spacing w:after="0" w:line="240" w:lineRule="auto"/>
        <w:jc w:val="left"/>
        <w:rPr>
          <w:rFonts w:eastAsia="Times New Roman"/>
          <w:szCs w:val="20"/>
        </w:rPr>
      </w:pPr>
      <w:r w:rsidRPr="00E26C8E">
        <w:rPr>
          <w:rFonts w:eastAsia="Times New Roman"/>
          <w:szCs w:val="20"/>
        </w:rPr>
        <w:br w:type="page"/>
      </w:r>
    </w:p>
    <w:p w:rsidR="00E26C8E" w:rsidRPr="00E26C8E" w:rsidRDefault="00E26C8E" w:rsidP="00E26C8E">
      <w:pPr>
        <w:ind w:left="1418"/>
        <w:rPr>
          <w:rFonts w:eastAsia="Times New Roman"/>
          <w:szCs w:val="20"/>
        </w:rPr>
      </w:pPr>
      <w:r w:rsidRPr="00E26C8E">
        <w:rPr>
          <w:rFonts w:eastAsia="Times New Roman"/>
          <w:szCs w:val="20"/>
        </w:rPr>
        <w:t>For each potential impact event identified in clause 4.1.2, provide:</w:t>
      </w:r>
    </w:p>
    <w:p w:rsidR="00E26C8E" w:rsidRPr="00E26C8E" w:rsidRDefault="00E26C8E" w:rsidP="00E26C8E">
      <w:pPr>
        <w:ind w:left="2127" w:hanging="709"/>
        <w:rPr>
          <w:rFonts w:eastAsia="Times New Roman"/>
          <w:b/>
          <w:szCs w:val="20"/>
        </w:rPr>
      </w:pPr>
      <w:r w:rsidRPr="00E26C8E">
        <w:rPr>
          <w:rFonts w:eastAsia="Times New Roman"/>
          <w:b/>
          <w:szCs w:val="20"/>
        </w:rPr>
        <w:t>4.1.2.1</w:t>
      </w:r>
      <w:r w:rsidRPr="00E26C8E">
        <w:rPr>
          <w:rFonts w:eastAsia="Times New Roman"/>
          <w:b/>
          <w:szCs w:val="20"/>
        </w:rPr>
        <w:tab/>
        <w:t>Source</w:t>
      </w:r>
    </w:p>
    <w:p w:rsidR="00E26C8E" w:rsidRPr="00E26C8E" w:rsidRDefault="00E26C8E" w:rsidP="00E26C8E">
      <w:pPr>
        <w:ind w:left="2127"/>
        <w:rPr>
          <w:rFonts w:eastAsia="Times New Roman"/>
          <w:szCs w:val="20"/>
        </w:rPr>
      </w:pPr>
      <w:r w:rsidRPr="00E26C8E">
        <w:rPr>
          <w:rFonts w:eastAsia="Times New Roman"/>
          <w:szCs w:val="20"/>
        </w:rPr>
        <w:t>A description of the source of the potential impact event which alone or in combination has the potential to cause harm to an environmental receptor.</w:t>
      </w:r>
    </w:p>
    <w:p w:rsidR="00E26C8E" w:rsidRPr="00E26C8E" w:rsidRDefault="00E26C8E" w:rsidP="00E26C8E">
      <w:pPr>
        <w:ind w:left="2127" w:hanging="709"/>
        <w:rPr>
          <w:rFonts w:eastAsia="Times New Roman"/>
          <w:szCs w:val="20"/>
        </w:rPr>
      </w:pPr>
      <w:r w:rsidRPr="00E26C8E">
        <w:rPr>
          <w:rFonts w:eastAsia="Times New Roman"/>
          <w:b/>
          <w:szCs w:val="20"/>
        </w:rPr>
        <w:t>4.1.2.2</w:t>
      </w:r>
      <w:r w:rsidRPr="00E26C8E">
        <w:rPr>
          <w:rFonts w:eastAsia="Times New Roman"/>
          <w:b/>
          <w:szCs w:val="20"/>
        </w:rPr>
        <w:tab/>
        <w:t>Pathway</w:t>
      </w:r>
    </w:p>
    <w:p w:rsidR="00E26C8E" w:rsidRPr="00E26C8E" w:rsidRDefault="00E26C8E" w:rsidP="00E26C8E">
      <w:pPr>
        <w:ind w:left="2127"/>
        <w:rPr>
          <w:rFonts w:eastAsia="Times New Roman"/>
          <w:szCs w:val="20"/>
        </w:rPr>
      </w:pPr>
      <w:r w:rsidRPr="00E26C8E">
        <w:rPr>
          <w:rFonts w:eastAsia="Times New Roman"/>
          <w:szCs w:val="20"/>
        </w:rPr>
        <w:t>A description of the potential pathway, means or route (with consideration of any natural barriers) by which an identified environmental receptor can be exposed to, or may reasonably be expected to be impacted by an identified source.</w:t>
      </w:r>
    </w:p>
    <w:p w:rsidR="00E26C8E" w:rsidRPr="00E26C8E" w:rsidRDefault="00E26C8E" w:rsidP="00E26C8E">
      <w:pPr>
        <w:ind w:left="2127" w:hanging="709"/>
        <w:rPr>
          <w:rFonts w:eastAsia="Times New Roman"/>
          <w:b/>
          <w:szCs w:val="20"/>
        </w:rPr>
      </w:pPr>
      <w:r w:rsidRPr="00E26C8E">
        <w:rPr>
          <w:rFonts w:eastAsia="Times New Roman"/>
          <w:b/>
          <w:szCs w:val="20"/>
        </w:rPr>
        <w:t>4.1.2.3</w:t>
      </w:r>
      <w:r w:rsidRPr="00E26C8E">
        <w:rPr>
          <w:rFonts w:eastAsia="Times New Roman"/>
          <w:b/>
          <w:szCs w:val="20"/>
        </w:rPr>
        <w:tab/>
        <w:t>Environmental Receptor</w:t>
      </w:r>
    </w:p>
    <w:p w:rsidR="00E26C8E" w:rsidRPr="00E26C8E" w:rsidRDefault="00E26C8E" w:rsidP="00E26C8E">
      <w:pPr>
        <w:ind w:left="2127"/>
        <w:rPr>
          <w:rFonts w:eastAsia="Times New Roman"/>
          <w:szCs w:val="20"/>
        </w:rPr>
      </w:pPr>
      <w:r w:rsidRPr="00E26C8E">
        <w:rPr>
          <w:rFonts w:eastAsia="Times New Roman"/>
          <w:szCs w:val="20"/>
        </w:rPr>
        <w:t>A description of the environmental receptors that may reasonably be expected to be adversely impacted by the source, taking into account the considerations for the element of the environment described under 4.1.1</w:t>
      </w:r>
    </w:p>
    <w:p w:rsidR="00E26C8E" w:rsidRPr="00E26C8E" w:rsidRDefault="00E26C8E" w:rsidP="00E26C8E">
      <w:pPr>
        <w:ind w:left="2127" w:hanging="709"/>
        <w:rPr>
          <w:rFonts w:eastAsia="Times New Roman"/>
          <w:b/>
          <w:szCs w:val="20"/>
        </w:rPr>
      </w:pPr>
      <w:r w:rsidRPr="00E26C8E">
        <w:rPr>
          <w:rFonts w:eastAsia="Times New Roman"/>
          <w:b/>
          <w:szCs w:val="20"/>
        </w:rPr>
        <w:t>4.1.2.4</w:t>
      </w:r>
      <w:r w:rsidRPr="00E26C8E">
        <w:rPr>
          <w:rFonts w:eastAsia="Times New Roman"/>
          <w:b/>
          <w:szCs w:val="20"/>
        </w:rPr>
        <w:tab/>
        <w:t>Description of Uncertainty</w:t>
      </w:r>
    </w:p>
    <w:p w:rsidR="00E26C8E" w:rsidRPr="00E26C8E" w:rsidRDefault="00E26C8E" w:rsidP="00E26C8E">
      <w:pPr>
        <w:ind w:left="2127"/>
        <w:rPr>
          <w:rFonts w:eastAsia="Times New Roman"/>
          <w:szCs w:val="20"/>
        </w:rPr>
      </w:pPr>
      <w:r w:rsidRPr="00E26C8E">
        <w:rPr>
          <w:rFonts w:eastAsia="Times New Roman"/>
          <w:szCs w:val="20"/>
        </w:rPr>
        <w:t>Describe any significant degree of uncertainty pertaining to the evaluation of sources, pathways and environmental receptors, including (but not limited to) lack of site specific information, limitations on modelling and quality of data. Describe any assumptions connected with the identified uncertainty.</w:t>
      </w:r>
    </w:p>
    <w:p w:rsidR="00E26C8E" w:rsidRPr="00E26C8E" w:rsidRDefault="00E26C8E" w:rsidP="00E26C8E">
      <w:pPr>
        <w:ind w:left="2127"/>
        <w:rPr>
          <w:rFonts w:eastAsia="Times New Roman"/>
          <w:szCs w:val="20"/>
        </w:rPr>
      </w:pPr>
      <w:r w:rsidRPr="00E26C8E">
        <w:rPr>
          <w:rFonts w:eastAsia="Times New Roman"/>
          <w:szCs w:val="20"/>
        </w:rPr>
        <w:t>So far as is relevant, identify the sensitivity to change of any assumption that has been made, including whether a change in assumption may result in a new environmental impact.</w:t>
      </w:r>
    </w:p>
    <w:p w:rsidR="00E26C8E" w:rsidRPr="00E26C8E" w:rsidRDefault="00E26C8E" w:rsidP="00E26C8E">
      <w:pPr>
        <w:ind w:left="2127" w:hanging="709"/>
        <w:rPr>
          <w:rFonts w:eastAsia="Times New Roman"/>
          <w:b/>
          <w:szCs w:val="20"/>
        </w:rPr>
      </w:pPr>
      <w:r w:rsidRPr="00E26C8E">
        <w:rPr>
          <w:rFonts w:eastAsia="Times New Roman"/>
          <w:b/>
          <w:szCs w:val="20"/>
        </w:rPr>
        <w:t>4.1.2.5</w:t>
      </w:r>
      <w:r w:rsidRPr="00E26C8E">
        <w:rPr>
          <w:rFonts w:eastAsia="Times New Roman"/>
          <w:b/>
          <w:szCs w:val="20"/>
        </w:rPr>
        <w:tab/>
        <w:t>Confirmation of Impact Events</w:t>
      </w:r>
    </w:p>
    <w:p w:rsidR="00E26C8E" w:rsidRPr="00E26C8E" w:rsidRDefault="00E26C8E" w:rsidP="00E26C8E">
      <w:pPr>
        <w:ind w:left="2127"/>
        <w:rPr>
          <w:rFonts w:eastAsia="Times New Roman"/>
          <w:szCs w:val="20"/>
        </w:rPr>
      </w:pPr>
      <w:r w:rsidRPr="00E26C8E">
        <w:rPr>
          <w:rFonts w:eastAsia="Times New Roman"/>
          <w:szCs w:val="20"/>
        </w:rPr>
        <w:t>For each potential impact event provide:</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an analysis of whether a source, pathway and receptor does exist (and if not, or if it remains uncertain, provide an explanation for the conclusion); and</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a description of the likely impact from the source on the environmental receptor.</w:t>
      </w:r>
    </w:p>
    <w:p w:rsidR="00E26C8E" w:rsidRPr="00E26C8E" w:rsidRDefault="00E26C8E" w:rsidP="00E26C8E">
      <w:pPr>
        <w:ind w:left="851" w:hanging="425"/>
        <w:rPr>
          <w:rFonts w:eastAsia="Times New Roman"/>
          <w:b/>
          <w:szCs w:val="20"/>
        </w:rPr>
      </w:pPr>
      <w:r w:rsidRPr="00E26C8E">
        <w:rPr>
          <w:rFonts w:eastAsia="Times New Roman"/>
          <w:b/>
          <w:szCs w:val="20"/>
        </w:rPr>
        <w:t>4.2</w:t>
      </w:r>
      <w:r w:rsidRPr="00E26C8E">
        <w:rPr>
          <w:rFonts w:eastAsia="Times New Roman"/>
          <w:b/>
          <w:szCs w:val="20"/>
        </w:rPr>
        <w:tab/>
        <w:t>Control and Management Strategies, Uncertainty Assessment, Statement of Environmental Outcomes and Criteria</w:t>
      </w:r>
    </w:p>
    <w:p w:rsidR="00E26C8E" w:rsidRPr="00E26C8E" w:rsidRDefault="00E26C8E" w:rsidP="00E26C8E">
      <w:pPr>
        <w:ind w:left="851"/>
        <w:rPr>
          <w:rFonts w:eastAsia="Times New Roman"/>
          <w:szCs w:val="20"/>
        </w:rPr>
      </w:pPr>
      <w:r w:rsidRPr="00E26C8E">
        <w:rPr>
          <w:rFonts w:eastAsia="Times New Roman"/>
          <w:szCs w:val="20"/>
        </w:rPr>
        <w:t>For each impact event confirmed in clause 4.1.2.5, the information listed in clauses 4.2.1-4.2.4 must be provided:</w:t>
      </w:r>
    </w:p>
    <w:p w:rsidR="00E26C8E" w:rsidRPr="00E26C8E" w:rsidRDefault="00E26C8E" w:rsidP="00E26C8E">
      <w:pPr>
        <w:ind w:left="1418" w:hanging="567"/>
        <w:rPr>
          <w:rFonts w:eastAsia="Times New Roman"/>
          <w:b/>
          <w:szCs w:val="20"/>
        </w:rPr>
      </w:pPr>
      <w:r w:rsidRPr="00E26C8E">
        <w:rPr>
          <w:rFonts w:eastAsia="Times New Roman"/>
          <w:b/>
          <w:szCs w:val="20"/>
        </w:rPr>
        <w:t>4.2.1</w:t>
      </w:r>
      <w:r w:rsidRPr="00E26C8E">
        <w:rPr>
          <w:rFonts w:eastAsia="Times New Roman"/>
          <w:b/>
          <w:szCs w:val="20"/>
        </w:rPr>
        <w:tab/>
        <w:t>Control and Management Strategies</w:t>
      </w:r>
    </w:p>
    <w:p w:rsidR="00E26C8E" w:rsidRPr="00E26C8E" w:rsidRDefault="00E26C8E" w:rsidP="00E26C8E">
      <w:pPr>
        <w:ind w:left="1418"/>
        <w:rPr>
          <w:rFonts w:eastAsia="Times New Roman"/>
          <w:szCs w:val="20"/>
        </w:rPr>
      </w:pPr>
      <w:r w:rsidRPr="00E26C8E">
        <w:rPr>
          <w:rFonts w:eastAsia="Times New Roman"/>
          <w:szCs w:val="20"/>
        </w:rPr>
        <w:t xml:space="preserve">In setting out an outline of the measures that the applicant intends to take to manage, limit or remedy environmental impacts as confirmed in clause 4.1.2.5 in accordance with sections 36(1)(c)(ii)(B) and 49(1)(c)(ii)(B) of the </w:t>
      </w:r>
      <w:r w:rsidRPr="00E26C8E">
        <w:rPr>
          <w:rFonts w:eastAsia="Times New Roman"/>
          <w:i/>
          <w:szCs w:val="20"/>
        </w:rPr>
        <w:t>Mining Act 1971</w:t>
      </w:r>
      <w:r w:rsidRPr="00E26C8E">
        <w:rPr>
          <w:rFonts w:eastAsia="Times New Roman"/>
          <w:szCs w:val="20"/>
        </w:rPr>
        <w:t xml:space="preserve"> and regulation 46(3) of the </w:t>
      </w:r>
      <w:r w:rsidRPr="00E26C8E">
        <w:rPr>
          <w:rFonts w:eastAsia="Times New Roman"/>
          <w:i/>
          <w:szCs w:val="20"/>
        </w:rPr>
        <w:t>Mining Regulations 2020</w:t>
      </w:r>
      <w:r w:rsidRPr="00E26C8E">
        <w:rPr>
          <w:rFonts w:eastAsia="Times New Roman"/>
          <w:szCs w:val="20"/>
        </w:rPr>
        <w:t xml:space="preserve">, the Minister determines in accordance with regulation 46(7)(e) of the </w:t>
      </w:r>
      <w:r w:rsidRPr="00E26C8E">
        <w:rPr>
          <w:rFonts w:eastAsia="Times New Roman"/>
          <w:i/>
          <w:szCs w:val="20"/>
        </w:rPr>
        <w:t>Mining Regulations 2020</w:t>
      </w:r>
      <w:r w:rsidRPr="00E26C8E">
        <w:rPr>
          <w:rFonts w:eastAsia="Times New Roman"/>
          <w:szCs w:val="20"/>
        </w:rPr>
        <w:t xml:space="preserve"> that a proposal must:</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Include a description of the strategies proposed to manage, limit or remedy each impact event;</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Demonstrate that the control and management strategies proposed are commensurate with the potential impacts, achieve compliance with other applicable statutory requirements and promote progressive rehabilitation;</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Include a description of any significant degree of uncertainty pertaining to the likely effectiveness of proposed control and management strategies, including (but not limited to) lack of site specific information, limitations on modelling and quality of data</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Include a description of any assumptions connected with the identified uncertainty;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So far as is relevant, identify the sensitivity to change of any assumption that has been made and assess the likelihood of an outcome not being achieved if an assumption is later found to be incorrect.</w:t>
      </w:r>
    </w:p>
    <w:p w:rsidR="00E26C8E" w:rsidRPr="00E26C8E" w:rsidRDefault="00E26C8E" w:rsidP="00E26C8E">
      <w:pPr>
        <w:ind w:left="1418" w:hanging="567"/>
        <w:rPr>
          <w:rFonts w:eastAsia="Times New Roman"/>
          <w:b/>
          <w:szCs w:val="20"/>
        </w:rPr>
      </w:pPr>
      <w:r w:rsidRPr="00E26C8E">
        <w:rPr>
          <w:rFonts w:eastAsia="Times New Roman"/>
          <w:b/>
          <w:szCs w:val="20"/>
        </w:rPr>
        <w:t>4.2.2</w:t>
      </w:r>
      <w:r w:rsidRPr="00E26C8E">
        <w:rPr>
          <w:rFonts w:eastAsia="Times New Roman"/>
          <w:b/>
          <w:szCs w:val="20"/>
        </w:rPr>
        <w:tab/>
        <w:t>Statement of Proposed Environmental Outcomes</w:t>
      </w:r>
    </w:p>
    <w:p w:rsidR="00E26C8E" w:rsidRPr="00E26C8E" w:rsidRDefault="00E26C8E" w:rsidP="00E26C8E">
      <w:pPr>
        <w:ind w:left="1418"/>
        <w:rPr>
          <w:rFonts w:eastAsia="Times New Roman"/>
          <w:szCs w:val="20"/>
        </w:rPr>
      </w:pPr>
      <w:r w:rsidRPr="00E26C8E">
        <w:rPr>
          <w:rFonts w:eastAsia="Times New Roman"/>
          <w:szCs w:val="20"/>
        </w:rPr>
        <w:t xml:space="preserve">Statements of the environmental outcomes that are expected to occur are required in accordance with sections 36(1)(c)(ii)(C) and 49(1)(c)(ii)(C) of the </w:t>
      </w:r>
      <w:r w:rsidRPr="00E26C8E">
        <w:rPr>
          <w:rFonts w:eastAsia="Times New Roman"/>
          <w:i/>
          <w:szCs w:val="20"/>
        </w:rPr>
        <w:t>Mining Act 1971</w:t>
      </w:r>
      <w:r w:rsidRPr="00E26C8E">
        <w:rPr>
          <w:rFonts w:eastAsia="Times New Roman"/>
          <w:szCs w:val="20"/>
        </w:rPr>
        <w:t xml:space="preserve"> and regulation 46(4) of the </w:t>
      </w:r>
      <w:r w:rsidRPr="00E26C8E">
        <w:rPr>
          <w:rFonts w:eastAsia="Times New Roman"/>
          <w:i/>
          <w:szCs w:val="20"/>
        </w:rPr>
        <w:t>Mining Regulations 2020</w:t>
      </w:r>
      <w:r w:rsidRPr="00E26C8E">
        <w:rPr>
          <w:rFonts w:eastAsia="Times New Roman"/>
          <w:szCs w:val="20"/>
        </w:rPr>
        <w:t xml:space="preserve"> and must be made for each impact event confirmed in clause 4.1.2.5. The Minister determines in accordance with regulation 46(7)(e) of the </w:t>
      </w:r>
      <w:r w:rsidRPr="00E26C8E">
        <w:rPr>
          <w:rFonts w:eastAsia="Times New Roman"/>
          <w:i/>
          <w:szCs w:val="20"/>
        </w:rPr>
        <w:t>Mining Regulations 2020</w:t>
      </w:r>
      <w:r w:rsidRPr="00E26C8E">
        <w:rPr>
          <w:rFonts w:eastAsia="Times New Roman"/>
          <w:szCs w:val="20"/>
        </w:rPr>
        <w:t xml:space="preserve"> that a proposal must:</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Provide a statement of the proposed environmental outcome(s) (including completion outcomes assessed on a long term basis) for each impact event confirmed in clause 4.1.2.5.</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Ensure that the statement of environmental outcome(s) describe the likely consequence of the expected impact on the environment by the proposed mine operations subsequent to the implementation of the control measures described in clause 4.2.1.</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Provide a statement that demonstrates the environmental outcomes would be able to be achieved taking into consideration the effectiveness of the control strategies (clause 4.2.1) and description of uncertainty (clause 4.2.2).</w:t>
      </w:r>
    </w:p>
    <w:p w:rsidR="00E26C8E" w:rsidRPr="00E26C8E" w:rsidRDefault="00E26C8E" w:rsidP="00E26C8E">
      <w:pPr>
        <w:ind w:left="1418" w:hanging="567"/>
        <w:rPr>
          <w:rFonts w:eastAsia="Times New Roman"/>
          <w:b/>
          <w:szCs w:val="20"/>
        </w:rPr>
      </w:pPr>
      <w:r w:rsidRPr="00E26C8E">
        <w:rPr>
          <w:rFonts w:eastAsia="Times New Roman"/>
          <w:b/>
          <w:szCs w:val="20"/>
        </w:rPr>
        <w:t>4.2.3</w:t>
      </w:r>
      <w:r w:rsidRPr="00E26C8E">
        <w:rPr>
          <w:rFonts w:eastAsia="Times New Roman"/>
          <w:b/>
          <w:szCs w:val="20"/>
        </w:rPr>
        <w:tab/>
        <w:t>Draft Measurement Criteria</w:t>
      </w:r>
    </w:p>
    <w:p w:rsidR="00E26C8E" w:rsidRPr="00E26C8E" w:rsidRDefault="00E26C8E" w:rsidP="00E26C8E">
      <w:pPr>
        <w:ind w:left="1418"/>
        <w:rPr>
          <w:rFonts w:eastAsia="Times New Roman"/>
          <w:szCs w:val="20"/>
        </w:rPr>
      </w:pPr>
      <w:r w:rsidRPr="00E26C8E">
        <w:rPr>
          <w:rFonts w:eastAsia="Times New Roman"/>
          <w:szCs w:val="20"/>
        </w:rPr>
        <w:t xml:space="preserve">In preparing a draft statement of the criteria to be adopted to measure each of the proposed environmental outcomes in accordance with sections 36(1)(c)(iii) and 49(1)(c)(iii) of the </w:t>
      </w:r>
      <w:r w:rsidRPr="00E26C8E">
        <w:rPr>
          <w:rFonts w:eastAsia="Times New Roman"/>
          <w:i/>
          <w:szCs w:val="20"/>
        </w:rPr>
        <w:t>Mining Act 1971</w:t>
      </w:r>
      <w:r w:rsidRPr="00E26C8E">
        <w:rPr>
          <w:rFonts w:eastAsia="Times New Roman"/>
          <w:szCs w:val="20"/>
        </w:rPr>
        <w:t xml:space="preserve"> and regulation 46(5) of the </w:t>
      </w:r>
      <w:r w:rsidRPr="00E26C8E">
        <w:rPr>
          <w:rFonts w:eastAsia="Times New Roman"/>
          <w:i/>
          <w:szCs w:val="20"/>
        </w:rPr>
        <w:t>Mining Regulations 2020</w:t>
      </w:r>
      <w:r w:rsidRPr="00E26C8E">
        <w:rPr>
          <w:rFonts w:eastAsia="Times New Roman"/>
          <w:szCs w:val="20"/>
        </w:rPr>
        <w:t xml:space="preserve">, the Minister determines in accordance with regulation 46(7)(e) of the </w:t>
      </w:r>
      <w:r w:rsidRPr="00E26C8E">
        <w:rPr>
          <w:rFonts w:eastAsia="Times New Roman"/>
          <w:i/>
          <w:szCs w:val="20"/>
        </w:rPr>
        <w:t>Mining Regulations 2020</w:t>
      </w:r>
      <w:r w:rsidRPr="00E26C8E">
        <w:rPr>
          <w:rFonts w:eastAsia="Times New Roman"/>
          <w:szCs w:val="20"/>
        </w:rPr>
        <w:t xml:space="preserve"> that the draft criteria must:</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 xml:space="preserve">as far as practical comply with the five elements set out in regulation 46(5) of the </w:t>
      </w:r>
      <w:r w:rsidRPr="00E26C8E">
        <w:rPr>
          <w:rFonts w:eastAsia="Times New Roman"/>
          <w:i/>
          <w:szCs w:val="20"/>
        </w:rPr>
        <w:t>Mining Regulations 2020</w:t>
      </w:r>
      <w:r w:rsidRPr="00E26C8E">
        <w:rPr>
          <w:rFonts w:eastAsia="Times New Roman"/>
          <w:szCs w:val="20"/>
        </w:rPr>
        <w:t>;</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include demonstration of the successful implementation for the significant environmental benefit, if native vegetation is proposed to be cleared and an on-ground off-set proposed;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be developed separately for construction, operation and completion, as appropriate;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where appropriate, recognised industry standards, codes of practice or legislative provisions from other Acts should be used as criteria.</w:t>
      </w:r>
    </w:p>
    <w:p w:rsidR="00E26C8E" w:rsidRPr="00E26C8E" w:rsidRDefault="00E26C8E" w:rsidP="00E26C8E">
      <w:pPr>
        <w:ind w:left="1418" w:hanging="567"/>
        <w:rPr>
          <w:rFonts w:eastAsia="Times New Roman"/>
          <w:b/>
          <w:szCs w:val="20"/>
        </w:rPr>
      </w:pPr>
      <w:r w:rsidRPr="00E26C8E">
        <w:rPr>
          <w:rFonts w:eastAsia="Times New Roman"/>
          <w:b/>
          <w:szCs w:val="20"/>
        </w:rPr>
        <w:t>4.2.4</w:t>
      </w:r>
      <w:r w:rsidRPr="00E26C8E">
        <w:rPr>
          <w:rFonts w:eastAsia="Times New Roman"/>
          <w:b/>
          <w:szCs w:val="20"/>
        </w:rPr>
        <w:tab/>
        <w:t>Draft Leading Indicator Criteria</w:t>
      </w:r>
    </w:p>
    <w:p w:rsidR="00E26C8E" w:rsidRPr="00E26C8E" w:rsidRDefault="00E26C8E" w:rsidP="00E26C8E">
      <w:pPr>
        <w:ind w:left="1418"/>
        <w:rPr>
          <w:rFonts w:eastAsia="Times New Roman"/>
          <w:szCs w:val="20"/>
        </w:rPr>
      </w:pPr>
      <w:r w:rsidRPr="00E26C8E">
        <w:rPr>
          <w:rFonts w:eastAsia="Times New Roman"/>
          <w:szCs w:val="20"/>
        </w:rPr>
        <w:t>Where there is a high level of reliance on control measures strategies to achieve an environmental outcome, provide a draft statement of leading indicator criteria that will be used to give an early warning that a control measure strategy may fail or be failing.</w:t>
      </w:r>
      <w:r w:rsidRPr="00E26C8E">
        <w:rPr>
          <w:rFonts w:eastAsia="Times New Roman"/>
          <w:b/>
          <w:szCs w:val="20"/>
        </w:rPr>
        <w:br w:type="page"/>
      </w:r>
    </w:p>
    <w:p w:rsidR="00E26C8E" w:rsidRPr="00E26C8E" w:rsidRDefault="00E26C8E" w:rsidP="00E26C8E">
      <w:pPr>
        <w:ind w:left="426" w:hanging="284"/>
        <w:rPr>
          <w:rFonts w:eastAsia="Times New Roman"/>
          <w:b/>
          <w:szCs w:val="20"/>
        </w:rPr>
      </w:pPr>
      <w:r w:rsidRPr="00E26C8E">
        <w:rPr>
          <w:rFonts w:eastAsia="Times New Roman"/>
          <w:b/>
          <w:szCs w:val="20"/>
        </w:rPr>
        <w:t>5.</w:t>
      </w:r>
      <w:r w:rsidRPr="00E26C8E">
        <w:rPr>
          <w:rFonts w:eastAsia="Times New Roman"/>
          <w:b/>
          <w:szCs w:val="20"/>
        </w:rPr>
        <w:tab/>
        <w:t>MAPS, PLANS AND CROSS SECTIONS</w:t>
      </w:r>
    </w:p>
    <w:p w:rsidR="00E26C8E" w:rsidRPr="00E26C8E" w:rsidRDefault="00E26C8E" w:rsidP="00E26C8E">
      <w:pPr>
        <w:ind w:left="426"/>
        <w:rPr>
          <w:rFonts w:eastAsia="Times New Roman"/>
          <w:szCs w:val="20"/>
        </w:rPr>
      </w:pPr>
      <w:r w:rsidRPr="00E26C8E">
        <w:rPr>
          <w:rFonts w:eastAsia="Times New Roman"/>
          <w:szCs w:val="20"/>
        </w:rPr>
        <w:t xml:space="preserve">In preparing a proposal in accordance with sections 36(1)(c) and 49(1)(c) of the </w:t>
      </w:r>
      <w:r w:rsidRPr="00E26C8E">
        <w:rPr>
          <w:rFonts w:eastAsia="Times New Roman"/>
          <w:i/>
          <w:szCs w:val="20"/>
        </w:rPr>
        <w:t>Mining Act 1971</w:t>
      </w:r>
      <w:r w:rsidRPr="00E26C8E">
        <w:rPr>
          <w:rFonts w:eastAsia="Times New Roman"/>
          <w:szCs w:val="20"/>
        </w:rPr>
        <w:t xml:space="preserve"> and regulation 46 of the </w:t>
      </w:r>
      <w:r w:rsidRPr="00E26C8E">
        <w:rPr>
          <w:rFonts w:eastAsia="Times New Roman"/>
          <w:i/>
          <w:szCs w:val="20"/>
        </w:rPr>
        <w:t>Mining Regulations 2020</w:t>
      </w:r>
      <w:r w:rsidRPr="00E26C8E">
        <w:rPr>
          <w:rFonts w:eastAsia="Times New Roman"/>
          <w:szCs w:val="20"/>
        </w:rPr>
        <w:t xml:space="preserve">, the Minister determines in accordance with regulation 46(7)(e) of the </w:t>
      </w:r>
      <w:r w:rsidRPr="00E26C8E">
        <w:rPr>
          <w:rFonts w:eastAsia="Times New Roman"/>
          <w:i/>
          <w:szCs w:val="20"/>
        </w:rPr>
        <w:t>Mining Regulations 2020</w:t>
      </w:r>
      <w:r w:rsidRPr="00E26C8E">
        <w:rPr>
          <w:rFonts w:eastAsia="Times New Roman"/>
          <w:szCs w:val="20"/>
        </w:rPr>
        <w:t xml:space="preserve"> that all maps and plans must comply with the following requirements relating to the amount of detail or information to be provided:</w:t>
      </w:r>
    </w:p>
    <w:p w:rsidR="00E26C8E" w:rsidRPr="00E26C8E" w:rsidRDefault="00E26C8E" w:rsidP="00E26C8E">
      <w:pPr>
        <w:ind w:left="709" w:hanging="283"/>
        <w:rPr>
          <w:rFonts w:eastAsia="Times New Roman"/>
          <w:szCs w:val="20"/>
        </w:rPr>
      </w:pPr>
      <w:r w:rsidRPr="00E26C8E">
        <w:rPr>
          <w:rFonts w:eastAsia="Times New Roman"/>
          <w:szCs w:val="20"/>
        </w:rPr>
        <w:t>•</w:t>
      </w:r>
      <w:r w:rsidRPr="00E26C8E">
        <w:rPr>
          <w:rFonts w:eastAsia="Times New Roman"/>
          <w:szCs w:val="20"/>
        </w:rPr>
        <w:tab/>
        <w:t>state and show the relevant datum (Australian Height Datum (AHD) is preferred);</w:t>
      </w:r>
    </w:p>
    <w:p w:rsidR="00E26C8E" w:rsidRPr="00E26C8E" w:rsidRDefault="00E26C8E" w:rsidP="00E26C8E">
      <w:pPr>
        <w:ind w:left="709" w:hanging="283"/>
        <w:rPr>
          <w:rFonts w:eastAsia="Times New Roman"/>
          <w:szCs w:val="20"/>
        </w:rPr>
      </w:pPr>
      <w:r w:rsidRPr="00E26C8E">
        <w:rPr>
          <w:rFonts w:eastAsia="Times New Roman"/>
          <w:szCs w:val="20"/>
        </w:rPr>
        <w:t>•</w:t>
      </w:r>
      <w:r w:rsidRPr="00E26C8E">
        <w:rPr>
          <w:rFonts w:eastAsia="Times New Roman"/>
          <w:szCs w:val="20"/>
        </w:rPr>
        <w:tab/>
        <w:t>metric units;</w:t>
      </w:r>
    </w:p>
    <w:p w:rsidR="00E26C8E" w:rsidRPr="00E26C8E" w:rsidRDefault="00E26C8E" w:rsidP="00E26C8E">
      <w:pPr>
        <w:ind w:left="709" w:hanging="283"/>
        <w:rPr>
          <w:rFonts w:eastAsia="Times New Roman"/>
          <w:szCs w:val="20"/>
        </w:rPr>
      </w:pPr>
      <w:r w:rsidRPr="00E26C8E">
        <w:rPr>
          <w:rFonts w:eastAsia="Times New Roman"/>
          <w:szCs w:val="20"/>
        </w:rPr>
        <w:t>•</w:t>
      </w:r>
      <w:r w:rsidRPr="00E26C8E">
        <w:rPr>
          <w:rFonts w:eastAsia="Times New Roman"/>
          <w:szCs w:val="20"/>
        </w:rPr>
        <w:tab/>
        <w:t>title, north arrow, scale bar, text and legend;</w:t>
      </w:r>
    </w:p>
    <w:p w:rsidR="00E26C8E" w:rsidRPr="00E26C8E" w:rsidRDefault="00E26C8E" w:rsidP="00E26C8E">
      <w:pPr>
        <w:ind w:left="709" w:hanging="283"/>
        <w:rPr>
          <w:rFonts w:eastAsia="Times New Roman"/>
          <w:szCs w:val="20"/>
        </w:rPr>
      </w:pPr>
      <w:r w:rsidRPr="00E26C8E">
        <w:rPr>
          <w:rFonts w:eastAsia="Times New Roman"/>
          <w:szCs w:val="20"/>
        </w:rPr>
        <w:t>•</w:t>
      </w:r>
      <w:r w:rsidRPr="00E26C8E">
        <w:rPr>
          <w:rFonts w:eastAsia="Times New Roman"/>
          <w:szCs w:val="20"/>
        </w:rPr>
        <w:tab/>
        <w:t>date prepared and author;</w:t>
      </w:r>
    </w:p>
    <w:p w:rsidR="00E26C8E" w:rsidRPr="00E26C8E" w:rsidRDefault="00E26C8E" w:rsidP="00E26C8E">
      <w:pPr>
        <w:ind w:left="709" w:hanging="283"/>
        <w:rPr>
          <w:rFonts w:eastAsia="Times New Roman"/>
          <w:szCs w:val="20"/>
        </w:rPr>
      </w:pPr>
      <w:r w:rsidRPr="00E26C8E">
        <w:rPr>
          <w:rFonts w:eastAsia="Times New Roman"/>
          <w:szCs w:val="20"/>
        </w:rPr>
        <w:t>•</w:t>
      </w:r>
      <w:r w:rsidRPr="00E26C8E">
        <w:rPr>
          <w:rFonts w:eastAsia="Times New Roman"/>
          <w:szCs w:val="20"/>
        </w:rPr>
        <w:tab/>
        <w:t>be of appropriate resolution and scale for represented information; and</w:t>
      </w:r>
    </w:p>
    <w:p w:rsidR="00E26C8E" w:rsidRPr="00E26C8E" w:rsidRDefault="00E26C8E" w:rsidP="00E26C8E">
      <w:pPr>
        <w:ind w:left="709" w:hanging="283"/>
        <w:rPr>
          <w:rFonts w:eastAsia="Times New Roman"/>
          <w:szCs w:val="20"/>
        </w:rPr>
      </w:pPr>
      <w:r w:rsidRPr="00E26C8E">
        <w:rPr>
          <w:rFonts w:eastAsia="Times New Roman"/>
          <w:szCs w:val="20"/>
        </w:rPr>
        <w:t>•</w:t>
      </w:r>
      <w:r w:rsidRPr="00E26C8E">
        <w:rPr>
          <w:rFonts w:eastAsia="Times New Roman"/>
          <w:szCs w:val="20"/>
        </w:rPr>
        <w:tab/>
        <w:t>be legible in both the hardcopy and electronic versions of the submission.</w:t>
      </w:r>
    </w:p>
    <w:p w:rsidR="00E26C8E" w:rsidRPr="00E26C8E" w:rsidRDefault="00E26C8E" w:rsidP="00E26C8E">
      <w:pPr>
        <w:ind w:left="426"/>
        <w:rPr>
          <w:rFonts w:eastAsia="Times New Roman"/>
          <w:szCs w:val="20"/>
        </w:rPr>
      </w:pPr>
      <w:r w:rsidRPr="00E26C8E">
        <w:rPr>
          <w:rFonts w:eastAsia="Times New Roman"/>
          <w:szCs w:val="20"/>
        </w:rPr>
        <w:t>All cross-sections must conform to the following standards:</w:t>
      </w:r>
    </w:p>
    <w:p w:rsidR="00E26C8E" w:rsidRPr="00E26C8E" w:rsidRDefault="00E26C8E" w:rsidP="00E26C8E">
      <w:pPr>
        <w:ind w:left="709" w:hanging="283"/>
        <w:rPr>
          <w:rFonts w:eastAsia="Times New Roman"/>
          <w:szCs w:val="20"/>
        </w:rPr>
      </w:pPr>
      <w:r w:rsidRPr="00E26C8E">
        <w:rPr>
          <w:rFonts w:eastAsia="Times New Roman"/>
          <w:szCs w:val="20"/>
        </w:rPr>
        <w:t>•</w:t>
      </w:r>
      <w:r w:rsidRPr="00E26C8E">
        <w:rPr>
          <w:rFonts w:eastAsia="Times New Roman"/>
          <w:szCs w:val="20"/>
        </w:rPr>
        <w:tab/>
        <w:t>state and show the relevant datum (Australian Height Datum (AHD) is preferred);</w:t>
      </w:r>
    </w:p>
    <w:p w:rsidR="00E26C8E" w:rsidRPr="00E26C8E" w:rsidRDefault="00E26C8E" w:rsidP="00E26C8E">
      <w:pPr>
        <w:ind w:left="709" w:hanging="283"/>
        <w:rPr>
          <w:rFonts w:eastAsia="Times New Roman"/>
          <w:szCs w:val="20"/>
        </w:rPr>
      </w:pPr>
      <w:r w:rsidRPr="00E26C8E">
        <w:rPr>
          <w:rFonts w:eastAsia="Times New Roman"/>
          <w:szCs w:val="20"/>
        </w:rPr>
        <w:t>•</w:t>
      </w:r>
      <w:r w:rsidRPr="00E26C8E">
        <w:rPr>
          <w:rFonts w:eastAsia="Times New Roman"/>
          <w:szCs w:val="20"/>
        </w:rPr>
        <w:tab/>
        <w:t>metric units;</w:t>
      </w:r>
    </w:p>
    <w:p w:rsidR="00E26C8E" w:rsidRPr="00E26C8E" w:rsidRDefault="00E26C8E" w:rsidP="00E26C8E">
      <w:pPr>
        <w:ind w:left="709" w:hanging="283"/>
        <w:rPr>
          <w:rFonts w:eastAsia="Times New Roman"/>
          <w:szCs w:val="20"/>
        </w:rPr>
      </w:pPr>
      <w:r w:rsidRPr="00E26C8E">
        <w:rPr>
          <w:rFonts w:eastAsia="Times New Roman"/>
          <w:szCs w:val="20"/>
        </w:rPr>
        <w:t>•</w:t>
      </w:r>
      <w:r w:rsidRPr="00E26C8E">
        <w:rPr>
          <w:rFonts w:eastAsia="Times New Roman"/>
          <w:szCs w:val="20"/>
        </w:rPr>
        <w:tab/>
        <w:t>title, scale bar, text and legend;</w:t>
      </w:r>
    </w:p>
    <w:p w:rsidR="00E26C8E" w:rsidRPr="00E26C8E" w:rsidRDefault="00E26C8E" w:rsidP="00E26C8E">
      <w:pPr>
        <w:ind w:left="709" w:hanging="283"/>
        <w:rPr>
          <w:rFonts w:eastAsia="Times New Roman"/>
          <w:szCs w:val="20"/>
        </w:rPr>
      </w:pPr>
      <w:r w:rsidRPr="00E26C8E">
        <w:rPr>
          <w:rFonts w:eastAsia="Times New Roman"/>
          <w:szCs w:val="20"/>
        </w:rPr>
        <w:t>•</w:t>
      </w:r>
      <w:r w:rsidRPr="00E26C8E">
        <w:rPr>
          <w:rFonts w:eastAsia="Times New Roman"/>
          <w:szCs w:val="20"/>
        </w:rPr>
        <w:tab/>
        <w:t>date prepared and author;</w:t>
      </w:r>
    </w:p>
    <w:p w:rsidR="00E26C8E" w:rsidRPr="00E26C8E" w:rsidRDefault="00E26C8E" w:rsidP="00E26C8E">
      <w:pPr>
        <w:ind w:left="709" w:hanging="283"/>
        <w:rPr>
          <w:rFonts w:eastAsia="Times New Roman"/>
          <w:szCs w:val="20"/>
        </w:rPr>
      </w:pPr>
      <w:r w:rsidRPr="00E26C8E">
        <w:rPr>
          <w:rFonts w:eastAsia="Times New Roman"/>
          <w:szCs w:val="20"/>
        </w:rPr>
        <w:t>•</w:t>
      </w:r>
      <w:r w:rsidRPr="00E26C8E">
        <w:rPr>
          <w:rFonts w:eastAsia="Times New Roman"/>
          <w:szCs w:val="20"/>
        </w:rPr>
        <w:tab/>
        <w:t>be of appropriate resolution and scale for represented information; and</w:t>
      </w:r>
    </w:p>
    <w:p w:rsidR="00E26C8E" w:rsidRPr="00E26C8E" w:rsidRDefault="00E26C8E" w:rsidP="00E26C8E">
      <w:pPr>
        <w:ind w:left="709" w:hanging="283"/>
        <w:rPr>
          <w:rFonts w:eastAsia="Times New Roman"/>
          <w:szCs w:val="20"/>
        </w:rPr>
      </w:pPr>
      <w:r w:rsidRPr="00E26C8E">
        <w:rPr>
          <w:rFonts w:eastAsia="Times New Roman"/>
          <w:szCs w:val="20"/>
        </w:rPr>
        <w:t>•</w:t>
      </w:r>
      <w:r w:rsidRPr="00E26C8E">
        <w:rPr>
          <w:rFonts w:eastAsia="Times New Roman"/>
          <w:szCs w:val="20"/>
        </w:rPr>
        <w:tab/>
        <w:t>be legible in both the hardcopy and electronic versions of the submission; and</w:t>
      </w:r>
    </w:p>
    <w:p w:rsidR="00E26C8E" w:rsidRPr="00E26C8E" w:rsidRDefault="00E26C8E" w:rsidP="00E26C8E">
      <w:pPr>
        <w:ind w:left="709" w:hanging="283"/>
        <w:rPr>
          <w:rFonts w:eastAsia="Times New Roman"/>
          <w:szCs w:val="20"/>
        </w:rPr>
      </w:pPr>
      <w:r w:rsidRPr="00E26C8E">
        <w:rPr>
          <w:rFonts w:eastAsia="Times New Roman"/>
          <w:szCs w:val="20"/>
        </w:rPr>
        <w:t>•</w:t>
      </w:r>
      <w:r w:rsidRPr="00E26C8E">
        <w:rPr>
          <w:rFonts w:eastAsia="Times New Roman"/>
          <w:szCs w:val="20"/>
        </w:rPr>
        <w:tab/>
        <w:t>be accompanied by a map showing the orientation of the cross-sections.</w:t>
      </w:r>
    </w:p>
    <w:p w:rsidR="00E26C8E" w:rsidRPr="00E26C8E" w:rsidRDefault="00E26C8E" w:rsidP="00E26C8E">
      <w:pPr>
        <w:ind w:left="851" w:hanging="425"/>
        <w:rPr>
          <w:rFonts w:eastAsia="Times New Roman"/>
          <w:b/>
          <w:szCs w:val="20"/>
        </w:rPr>
      </w:pPr>
      <w:r w:rsidRPr="00E26C8E">
        <w:rPr>
          <w:rFonts w:eastAsia="Times New Roman"/>
          <w:b/>
          <w:szCs w:val="20"/>
        </w:rPr>
        <w:t>5.1</w:t>
      </w:r>
      <w:r w:rsidRPr="00E26C8E">
        <w:rPr>
          <w:rFonts w:eastAsia="Times New Roman"/>
          <w:b/>
          <w:szCs w:val="20"/>
        </w:rPr>
        <w:tab/>
        <w:t>List of Maps</w:t>
      </w:r>
    </w:p>
    <w:p w:rsidR="00E26C8E" w:rsidRPr="00E26C8E" w:rsidRDefault="00E26C8E" w:rsidP="00E26C8E">
      <w:pPr>
        <w:ind w:left="1418" w:hanging="567"/>
        <w:rPr>
          <w:rFonts w:eastAsia="Times New Roman"/>
          <w:b/>
          <w:szCs w:val="20"/>
        </w:rPr>
      </w:pPr>
      <w:r w:rsidRPr="00E26C8E">
        <w:rPr>
          <w:rFonts w:eastAsia="Times New Roman"/>
          <w:b/>
          <w:szCs w:val="20"/>
        </w:rPr>
        <w:t>5.1.1</w:t>
      </w:r>
      <w:r w:rsidRPr="00E26C8E">
        <w:rPr>
          <w:rFonts w:eastAsia="Times New Roman"/>
          <w:b/>
          <w:szCs w:val="20"/>
        </w:rPr>
        <w:tab/>
        <w:t>Maps required for Description of the Existing Environment (as per clause 2)</w:t>
      </w:r>
    </w:p>
    <w:p w:rsidR="00E26C8E" w:rsidRPr="00E26C8E" w:rsidRDefault="00E26C8E" w:rsidP="00E26C8E">
      <w:pPr>
        <w:ind w:left="2127" w:hanging="709"/>
        <w:rPr>
          <w:rFonts w:eastAsia="Times New Roman"/>
          <w:b/>
          <w:szCs w:val="20"/>
        </w:rPr>
      </w:pPr>
      <w:r w:rsidRPr="00E26C8E">
        <w:rPr>
          <w:rFonts w:eastAsia="Times New Roman"/>
          <w:b/>
          <w:szCs w:val="20"/>
        </w:rPr>
        <w:t>5.1.1.1</w:t>
      </w:r>
      <w:r w:rsidRPr="00E26C8E">
        <w:rPr>
          <w:rFonts w:eastAsia="Times New Roman"/>
          <w:b/>
          <w:szCs w:val="20"/>
        </w:rPr>
        <w:tab/>
        <w:t>Topographic Map showing:</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application area boundaries;</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existing surface contours;</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existing vegetation;</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location of watercourses, including ephemeral and permanent rivers, creeks, swamps, streams, wetlands and any man-made water management structures;</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surface water catchment boundaries;</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direction of drainage and discharge from the application area;</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location and extent of all previously disturbed areas associated with previous mining;</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location and extent of any known existing contamination; and</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location and extent of any adjacent conservation reserves, heritage sites (in so far as may be permitted by the relevant legislation) or any other significant areas.</w:t>
      </w:r>
    </w:p>
    <w:p w:rsidR="00E26C8E" w:rsidRPr="00E26C8E" w:rsidRDefault="00E26C8E" w:rsidP="00E26C8E">
      <w:pPr>
        <w:ind w:left="2127" w:hanging="709"/>
        <w:rPr>
          <w:rFonts w:eastAsia="Times New Roman"/>
          <w:b/>
          <w:szCs w:val="20"/>
        </w:rPr>
      </w:pPr>
      <w:r w:rsidRPr="00E26C8E">
        <w:rPr>
          <w:rFonts w:eastAsia="Times New Roman"/>
          <w:b/>
          <w:szCs w:val="20"/>
        </w:rPr>
        <w:t>5.1.1.2</w:t>
      </w:r>
      <w:r w:rsidRPr="00E26C8E">
        <w:rPr>
          <w:rFonts w:eastAsia="Times New Roman"/>
          <w:b/>
          <w:szCs w:val="20"/>
        </w:rPr>
        <w:tab/>
        <w:t>Local Geological Map showing:</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application area boundaries;</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geology within the application area, including but not limited to location, dimensions and orientation (dip and strike), and extent of the mineral resource and ore reserve;</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topsoil/subsoil variation if there is a variation in soils over the application area; and</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natural geohazards in the application area.</w:t>
      </w:r>
    </w:p>
    <w:p w:rsidR="00E26C8E" w:rsidRPr="00E26C8E" w:rsidRDefault="00E26C8E" w:rsidP="00E26C8E">
      <w:pPr>
        <w:ind w:left="2127" w:hanging="709"/>
        <w:rPr>
          <w:rFonts w:eastAsia="Times New Roman"/>
          <w:b/>
          <w:szCs w:val="20"/>
        </w:rPr>
      </w:pPr>
      <w:r w:rsidRPr="00E26C8E">
        <w:rPr>
          <w:rFonts w:eastAsia="Times New Roman"/>
          <w:b/>
          <w:szCs w:val="20"/>
        </w:rPr>
        <w:t>5.1.1.3</w:t>
      </w:r>
      <w:r w:rsidRPr="00E26C8E">
        <w:rPr>
          <w:rFonts w:eastAsia="Times New Roman"/>
          <w:b/>
          <w:szCs w:val="20"/>
        </w:rPr>
        <w:tab/>
        <w:t>Aquifer Potentiometric Surface Map(s) showing:</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application area boundaries;</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potentiometric surface contours/groundwater elevation contours and the time (or time period) the contours relate to;</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interpreted direction(s) of groundwater flow; and</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location of representative bores (where measurements were obtained of which the contours are based on) used to establish this information.</w:t>
      </w:r>
    </w:p>
    <w:p w:rsidR="00E26C8E" w:rsidRPr="00E26C8E" w:rsidRDefault="00E26C8E" w:rsidP="00E26C8E">
      <w:pPr>
        <w:ind w:left="2127" w:hanging="709"/>
        <w:rPr>
          <w:rFonts w:eastAsia="Times New Roman"/>
          <w:b/>
          <w:szCs w:val="20"/>
        </w:rPr>
      </w:pPr>
      <w:r w:rsidRPr="00E26C8E">
        <w:rPr>
          <w:rFonts w:eastAsia="Times New Roman"/>
          <w:b/>
          <w:szCs w:val="20"/>
        </w:rPr>
        <w:t>5.1.1.4</w:t>
      </w:r>
      <w:r w:rsidRPr="00E26C8E">
        <w:rPr>
          <w:rFonts w:eastAsia="Times New Roman"/>
          <w:b/>
          <w:szCs w:val="20"/>
        </w:rPr>
        <w:tab/>
        <w:t>Land Access Map showing:</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application area boundaries;</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cadastral information for the Tenement (including land title(s) and ownership);</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any exempt land;</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location of residences within and near the application area; and</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human infrastructure as per 1.13.</w:t>
      </w:r>
    </w:p>
    <w:p w:rsidR="00E26C8E" w:rsidRPr="00E26C8E" w:rsidRDefault="00E26C8E" w:rsidP="00E26C8E">
      <w:pPr>
        <w:ind w:left="2127" w:hanging="709"/>
        <w:rPr>
          <w:rFonts w:eastAsia="Times New Roman"/>
          <w:b/>
          <w:szCs w:val="20"/>
        </w:rPr>
      </w:pPr>
      <w:r w:rsidRPr="00E26C8E">
        <w:rPr>
          <w:rFonts w:eastAsia="Times New Roman"/>
          <w:b/>
          <w:szCs w:val="20"/>
        </w:rPr>
        <w:t>5.1.1.5</w:t>
      </w:r>
      <w:r w:rsidRPr="00E26C8E">
        <w:rPr>
          <w:rFonts w:eastAsia="Times New Roman"/>
          <w:b/>
          <w:szCs w:val="20"/>
        </w:rPr>
        <w:tab/>
        <w:t>Caves Map showing:</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application area boundaries; and</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location of the cave(s).</w:t>
      </w:r>
    </w:p>
    <w:p w:rsidR="00E26C8E" w:rsidRPr="00E26C8E" w:rsidRDefault="00E26C8E" w:rsidP="00E26C8E">
      <w:pPr>
        <w:spacing w:after="0" w:line="240" w:lineRule="auto"/>
        <w:jc w:val="left"/>
        <w:rPr>
          <w:rFonts w:eastAsia="Times New Roman"/>
          <w:b/>
          <w:szCs w:val="20"/>
        </w:rPr>
      </w:pPr>
      <w:r w:rsidRPr="00E26C8E">
        <w:rPr>
          <w:rFonts w:eastAsia="Times New Roman"/>
          <w:b/>
          <w:szCs w:val="20"/>
        </w:rPr>
        <w:br w:type="page"/>
      </w:r>
    </w:p>
    <w:p w:rsidR="00E26C8E" w:rsidRPr="00E26C8E" w:rsidRDefault="00E26C8E" w:rsidP="00E26C8E">
      <w:pPr>
        <w:ind w:left="1418" w:hanging="567"/>
        <w:rPr>
          <w:rFonts w:eastAsia="Times New Roman"/>
          <w:b/>
          <w:szCs w:val="20"/>
        </w:rPr>
      </w:pPr>
      <w:r w:rsidRPr="00E26C8E">
        <w:rPr>
          <w:rFonts w:eastAsia="Times New Roman"/>
          <w:b/>
          <w:szCs w:val="20"/>
        </w:rPr>
        <w:t>5.1.2</w:t>
      </w:r>
      <w:r w:rsidRPr="00E26C8E">
        <w:rPr>
          <w:rFonts w:eastAsia="Times New Roman"/>
          <w:b/>
          <w:szCs w:val="20"/>
        </w:rPr>
        <w:tab/>
        <w:t>Map(s) and Plan(s) required for Description of Proposed Mine Operations (as per clause 3)</w:t>
      </w:r>
    </w:p>
    <w:p w:rsidR="00E26C8E" w:rsidRPr="00E26C8E" w:rsidRDefault="00E26C8E" w:rsidP="00E26C8E">
      <w:pPr>
        <w:ind w:left="2127" w:hanging="709"/>
        <w:rPr>
          <w:rFonts w:eastAsia="Times New Roman"/>
          <w:b/>
          <w:szCs w:val="20"/>
        </w:rPr>
      </w:pPr>
      <w:r w:rsidRPr="00E26C8E">
        <w:rPr>
          <w:rFonts w:eastAsia="Times New Roman"/>
          <w:b/>
          <w:szCs w:val="20"/>
        </w:rPr>
        <w:t>5.1.2.1</w:t>
      </w:r>
      <w:r w:rsidRPr="00E26C8E">
        <w:rPr>
          <w:rFonts w:eastAsia="Times New Roman"/>
          <w:b/>
          <w:szCs w:val="20"/>
        </w:rPr>
        <w:tab/>
      </w:r>
      <w:r w:rsidRPr="00E26C8E">
        <w:rPr>
          <w:rFonts w:eastAsia="Times New Roman"/>
          <w:b/>
          <w:spacing w:val="-2"/>
          <w:szCs w:val="20"/>
        </w:rPr>
        <w:t>Site Layout Map showing all components of the proposed mine operation including (but not limited to):</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application area boundaries;</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location of surface water and sediment management infrastructure;</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location of process water dams;</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location of fuel and chemical storage areas;</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location of haul/access roads;</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location of fixed plant;</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location of mobile plant for stage 1 of mining;</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location of visual screening measures;</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location of fencing;</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location and extent of topsoil/subsoil and product stockpiles.</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location and extent of all areas proposed to be disturbed from mining including waste rock, silt/slime dams, mine infrastructure, processing plant, process water ponds, waste disposal facilities; and</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location and extent of open pit(s) and/or underground workings.</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location of key environmental features that are within or in close proximity to the Tenement and that are relevant to the design of the Site Layout Plan, including but not limited to housing and infrastructure, existing heritage sites, existing ephemeral and permanent rivers, watercourses, creeks or dams and/or existing native vegetation</w:t>
      </w:r>
    </w:p>
    <w:p w:rsidR="00E26C8E" w:rsidRPr="00E26C8E" w:rsidRDefault="00E26C8E" w:rsidP="00E26C8E">
      <w:pPr>
        <w:ind w:left="2127" w:hanging="709"/>
        <w:rPr>
          <w:rFonts w:eastAsia="Times New Roman"/>
          <w:b/>
          <w:szCs w:val="20"/>
        </w:rPr>
      </w:pPr>
      <w:r w:rsidRPr="00E26C8E">
        <w:rPr>
          <w:rFonts w:eastAsia="Times New Roman"/>
          <w:b/>
          <w:szCs w:val="20"/>
        </w:rPr>
        <w:t>5.1.2.2</w:t>
      </w:r>
      <w:r w:rsidRPr="00E26C8E">
        <w:rPr>
          <w:rFonts w:eastAsia="Times New Roman"/>
          <w:b/>
          <w:szCs w:val="20"/>
        </w:rPr>
        <w:tab/>
        <w:t>Sequence of Mining and Progressive Rehabilitation Map showing:</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application area boundaries;</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staging of each progressive mining stage;</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proposed native vegetation clearance;</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location and applicable buffer zones for protection of native vegetation that will not be cleared; and</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conceptual staging of each progressive rehabilitation stage.</w:t>
      </w:r>
    </w:p>
    <w:p w:rsidR="00E26C8E" w:rsidRPr="00E26C8E" w:rsidRDefault="00E26C8E" w:rsidP="00E26C8E">
      <w:pPr>
        <w:ind w:left="2127" w:hanging="709"/>
        <w:rPr>
          <w:rFonts w:eastAsia="Times New Roman"/>
          <w:b/>
          <w:szCs w:val="20"/>
        </w:rPr>
      </w:pPr>
      <w:r w:rsidRPr="00E26C8E">
        <w:rPr>
          <w:rFonts w:eastAsia="Times New Roman"/>
          <w:b/>
          <w:szCs w:val="20"/>
        </w:rPr>
        <w:t>5.1.2.3</w:t>
      </w:r>
      <w:r w:rsidRPr="00E26C8E">
        <w:rPr>
          <w:rFonts w:eastAsia="Times New Roman"/>
          <w:b/>
          <w:szCs w:val="20"/>
        </w:rPr>
        <w:tab/>
        <w:t>Crushing, Grinding and Processing Plant Plan</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application area boundaries</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layout of crushing, grinding and processing plant(s) and ancillary plant and infrastructure; and</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if required; including lining and drainage systems.</w:t>
      </w:r>
    </w:p>
    <w:p w:rsidR="00E26C8E" w:rsidRPr="00E26C8E" w:rsidRDefault="00E26C8E" w:rsidP="00E26C8E">
      <w:pPr>
        <w:ind w:left="2127" w:hanging="709"/>
        <w:rPr>
          <w:rFonts w:eastAsia="Times New Roman"/>
          <w:b/>
          <w:szCs w:val="20"/>
        </w:rPr>
      </w:pPr>
      <w:r w:rsidRPr="00E26C8E">
        <w:rPr>
          <w:rFonts w:eastAsia="Times New Roman"/>
          <w:b/>
          <w:szCs w:val="20"/>
        </w:rPr>
        <w:t>5.1.2.4</w:t>
      </w:r>
      <w:r w:rsidRPr="00E26C8E">
        <w:rPr>
          <w:rFonts w:eastAsia="Times New Roman"/>
          <w:b/>
          <w:szCs w:val="20"/>
        </w:rPr>
        <w:tab/>
        <w:t>Heap Leach Pad Plan</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application area boundaries</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construction and design drawings of heap leach pad (including size and batters); and</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solution containment measures</w:t>
      </w:r>
    </w:p>
    <w:p w:rsidR="00E26C8E" w:rsidRPr="00E26C8E" w:rsidRDefault="00E26C8E" w:rsidP="00E26C8E">
      <w:pPr>
        <w:ind w:left="2127" w:hanging="709"/>
        <w:rPr>
          <w:rFonts w:eastAsia="Times New Roman"/>
          <w:b/>
          <w:szCs w:val="20"/>
        </w:rPr>
      </w:pPr>
      <w:r w:rsidRPr="00E26C8E">
        <w:rPr>
          <w:rFonts w:eastAsia="Times New Roman"/>
          <w:b/>
          <w:szCs w:val="20"/>
        </w:rPr>
        <w:t>5.1.2.5</w:t>
      </w:r>
      <w:r w:rsidRPr="00E26C8E">
        <w:rPr>
          <w:rFonts w:eastAsia="Times New Roman"/>
          <w:b/>
          <w:szCs w:val="20"/>
        </w:rPr>
        <w:tab/>
        <w:t>Tailings Storage Facility (TSF) Plan</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application area boundaries</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conceptual drawings and plans for design, construction, operation and completion of all facilities;</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size, shape, height and method of construction; and</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location of any waste material deemed to be hazardous including potentially acid forming material.</w:t>
      </w:r>
    </w:p>
    <w:p w:rsidR="00E26C8E" w:rsidRPr="00E26C8E" w:rsidRDefault="00E26C8E" w:rsidP="00E26C8E">
      <w:pPr>
        <w:ind w:left="2127" w:hanging="709"/>
        <w:rPr>
          <w:rFonts w:eastAsia="Times New Roman"/>
          <w:b/>
          <w:szCs w:val="20"/>
        </w:rPr>
      </w:pPr>
      <w:r w:rsidRPr="00E26C8E">
        <w:rPr>
          <w:rFonts w:eastAsia="Times New Roman"/>
          <w:b/>
          <w:szCs w:val="20"/>
        </w:rPr>
        <w:t>5.1.2.6</w:t>
      </w:r>
      <w:r w:rsidRPr="00E26C8E">
        <w:rPr>
          <w:rFonts w:eastAsia="Times New Roman"/>
          <w:b/>
          <w:szCs w:val="20"/>
        </w:rPr>
        <w:tab/>
        <w:t>Access Route Map showing:</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application area boundaries</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access route for heavy vehicles;</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exit route for heavy vehicles; and</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any road upgrades or new roads to be constructed.</w:t>
      </w:r>
    </w:p>
    <w:p w:rsidR="00E26C8E" w:rsidRPr="00E26C8E" w:rsidRDefault="00E26C8E" w:rsidP="00E26C8E">
      <w:pPr>
        <w:ind w:left="2127" w:hanging="709"/>
        <w:rPr>
          <w:rFonts w:eastAsia="Times New Roman"/>
          <w:b/>
          <w:szCs w:val="20"/>
        </w:rPr>
      </w:pPr>
      <w:r w:rsidRPr="00E26C8E">
        <w:rPr>
          <w:rFonts w:eastAsia="Times New Roman"/>
          <w:b/>
          <w:szCs w:val="20"/>
        </w:rPr>
        <w:t>5.1.2.7</w:t>
      </w:r>
      <w:r w:rsidRPr="00E26C8E">
        <w:rPr>
          <w:rFonts w:eastAsia="Times New Roman"/>
          <w:b/>
          <w:szCs w:val="20"/>
        </w:rPr>
        <w:tab/>
        <w:t>Completion Map showing:</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application area boundaries</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conceptual final landforms (including rehabilitated and non-disturbed areas);</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proposed topographical contours of the entire site (including rehabilitated and non-disturbed areas);</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backfilled and remaining underground workings;</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location of waste disposal areas (including waste rock dumps, tailings storage facilities and paf encapsulation); and</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interpreted geology including all rock types</w:t>
      </w:r>
    </w:p>
    <w:p w:rsidR="00E26C8E" w:rsidRPr="00E26C8E" w:rsidRDefault="00E26C8E" w:rsidP="00E26C8E">
      <w:pPr>
        <w:ind w:left="851" w:hanging="425"/>
        <w:rPr>
          <w:rFonts w:eastAsia="Times New Roman"/>
          <w:b/>
          <w:szCs w:val="20"/>
        </w:rPr>
      </w:pPr>
      <w:r w:rsidRPr="00E26C8E">
        <w:rPr>
          <w:rFonts w:eastAsia="Times New Roman"/>
          <w:b/>
          <w:szCs w:val="20"/>
        </w:rPr>
        <w:t>5.2</w:t>
      </w:r>
      <w:r w:rsidRPr="00E26C8E">
        <w:rPr>
          <w:rFonts w:eastAsia="Times New Roman"/>
          <w:b/>
          <w:szCs w:val="20"/>
        </w:rPr>
        <w:tab/>
        <w:t>Summary of Cross-Sections and Long Sections</w:t>
      </w:r>
    </w:p>
    <w:p w:rsidR="00E26C8E" w:rsidRPr="00E26C8E" w:rsidRDefault="00E26C8E" w:rsidP="00E26C8E">
      <w:pPr>
        <w:ind w:left="851"/>
        <w:rPr>
          <w:rFonts w:eastAsia="Times New Roman"/>
          <w:szCs w:val="20"/>
        </w:rPr>
      </w:pPr>
      <w:r w:rsidRPr="00E26C8E">
        <w:rPr>
          <w:rFonts w:eastAsia="Times New Roman"/>
          <w:szCs w:val="20"/>
        </w:rPr>
        <w:t>Following is a summary of all cross-sections and long sections required in the proposal:</w:t>
      </w:r>
    </w:p>
    <w:p w:rsidR="00E26C8E" w:rsidRPr="00E26C8E" w:rsidRDefault="00E26C8E" w:rsidP="00E26C8E">
      <w:pPr>
        <w:ind w:left="1418" w:hanging="567"/>
        <w:rPr>
          <w:rFonts w:eastAsia="Times New Roman"/>
          <w:b/>
          <w:szCs w:val="20"/>
        </w:rPr>
      </w:pPr>
      <w:r w:rsidRPr="00E26C8E">
        <w:rPr>
          <w:rFonts w:eastAsia="Times New Roman"/>
          <w:b/>
          <w:szCs w:val="20"/>
        </w:rPr>
        <w:t>5.2.1</w:t>
      </w:r>
      <w:r w:rsidRPr="00E26C8E">
        <w:rPr>
          <w:rFonts w:eastAsia="Times New Roman"/>
          <w:b/>
          <w:szCs w:val="20"/>
        </w:rPr>
        <w:tab/>
        <w:t>Cross-Sections required for Description of the Existing Environment (as per clause 2)</w:t>
      </w:r>
    </w:p>
    <w:p w:rsidR="00E26C8E" w:rsidRPr="00E26C8E" w:rsidRDefault="00E26C8E" w:rsidP="00E26C8E">
      <w:pPr>
        <w:ind w:left="2127" w:hanging="709"/>
        <w:rPr>
          <w:rFonts w:eastAsia="Times New Roman"/>
          <w:b/>
          <w:szCs w:val="20"/>
        </w:rPr>
      </w:pPr>
      <w:r w:rsidRPr="00E26C8E">
        <w:rPr>
          <w:rFonts w:eastAsia="Times New Roman"/>
          <w:b/>
          <w:szCs w:val="20"/>
        </w:rPr>
        <w:t>5.2.1.1</w:t>
      </w:r>
      <w:r w:rsidRPr="00E26C8E">
        <w:rPr>
          <w:rFonts w:eastAsia="Times New Roman"/>
          <w:b/>
          <w:szCs w:val="20"/>
        </w:rPr>
        <w:tab/>
      </w:r>
      <w:r w:rsidRPr="00E26C8E">
        <w:rPr>
          <w:rFonts w:eastAsia="Times New Roman"/>
          <w:b/>
          <w:spacing w:val="-2"/>
          <w:szCs w:val="20"/>
        </w:rPr>
        <w:t>Long</w:t>
      </w:r>
      <w:r w:rsidRPr="00E26C8E">
        <w:rPr>
          <w:rFonts w:eastAsia="Times New Roman"/>
          <w:b/>
          <w:szCs w:val="20"/>
        </w:rPr>
        <w:t xml:space="preserve"> Section and Geological Cross-Section(s) showing:</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a representation of the geological profile within the application area; and</w:t>
      </w:r>
    </w:p>
    <w:p w:rsidR="00E26C8E" w:rsidRPr="00E26C8E" w:rsidRDefault="00E26C8E" w:rsidP="00E26C8E">
      <w:pPr>
        <w:ind w:left="2410" w:hanging="283"/>
        <w:rPr>
          <w:rFonts w:eastAsia="Times New Roman"/>
          <w:b/>
          <w:spacing w:val="-2"/>
          <w:szCs w:val="20"/>
        </w:rPr>
      </w:pPr>
      <w:r w:rsidRPr="00E26C8E">
        <w:rPr>
          <w:rFonts w:eastAsia="Times New Roman"/>
          <w:szCs w:val="20"/>
        </w:rPr>
        <w:t>•</w:t>
      </w:r>
      <w:r w:rsidRPr="00E26C8E">
        <w:rPr>
          <w:rFonts w:eastAsia="Times New Roman"/>
          <w:szCs w:val="20"/>
        </w:rPr>
        <w:tab/>
        <w:t>depth of the resource and any overlying overburden.</w:t>
      </w:r>
    </w:p>
    <w:p w:rsidR="00E26C8E" w:rsidRPr="00E26C8E" w:rsidRDefault="00E26C8E" w:rsidP="00E26C8E">
      <w:pPr>
        <w:ind w:left="2127" w:hanging="709"/>
        <w:rPr>
          <w:rFonts w:eastAsia="Times New Roman"/>
          <w:b/>
          <w:szCs w:val="20"/>
        </w:rPr>
      </w:pPr>
      <w:r w:rsidRPr="00E26C8E">
        <w:rPr>
          <w:rFonts w:eastAsia="Times New Roman"/>
          <w:b/>
          <w:szCs w:val="20"/>
        </w:rPr>
        <w:t>5.2.1.2</w:t>
      </w:r>
      <w:r w:rsidRPr="00E26C8E">
        <w:rPr>
          <w:rFonts w:eastAsia="Times New Roman"/>
          <w:b/>
          <w:szCs w:val="20"/>
        </w:rPr>
        <w:tab/>
        <w:t>Hydrogeological Cross-Section(s) showing:</w:t>
      </w:r>
    </w:p>
    <w:p w:rsidR="00E26C8E" w:rsidRPr="00E26C8E" w:rsidRDefault="00E26C8E" w:rsidP="00E26C8E">
      <w:pPr>
        <w:ind w:left="2127"/>
        <w:rPr>
          <w:rFonts w:eastAsia="Times New Roman"/>
          <w:szCs w:val="20"/>
        </w:rPr>
      </w:pPr>
      <w:r w:rsidRPr="00E26C8E">
        <w:rPr>
          <w:rFonts w:eastAsia="Times New Roman"/>
          <w:szCs w:val="20"/>
        </w:rPr>
        <w:t>Include a series of hydrogeological cross-sections that represent the following at a regional scale and/or tenement application scale, as specified:</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application area boundaries;</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major geological units (regional scale);</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geological units showing aquifer and confining units (tenement scale);</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aquifer systems (regional and tenement scale) including any palaeochannels;</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interpreted hydrostratigraphy showing the known and inferred groundwater heads/groundwater elevations, interpreted groundwater flow direction, recharge and discharge mechanisms (if applicable);</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location of GDEs;</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interpreted faults (regional and tenement scale);</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mineralised zone (tenement scale);</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location of representative drill log sites from which geological information was obtained (regional and tenement scale); and</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location of representative monitoring bores from which baseline groundwater information was obtained.</w:t>
      </w:r>
    </w:p>
    <w:p w:rsidR="00E26C8E" w:rsidRPr="00E26C8E" w:rsidRDefault="00E26C8E" w:rsidP="00E26C8E">
      <w:pPr>
        <w:ind w:left="1418" w:hanging="567"/>
        <w:rPr>
          <w:rFonts w:eastAsia="Times New Roman"/>
          <w:b/>
          <w:szCs w:val="20"/>
        </w:rPr>
      </w:pPr>
      <w:r w:rsidRPr="00E26C8E">
        <w:rPr>
          <w:rFonts w:eastAsia="Times New Roman"/>
          <w:b/>
          <w:szCs w:val="20"/>
        </w:rPr>
        <w:t>5.2.2</w:t>
      </w:r>
      <w:r w:rsidRPr="00E26C8E">
        <w:rPr>
          <w:rFonts w:eastAsia="Times New Roman"/>
          <w:b/>
          <w:szCs w:val="20"/>
        </w:rPr>
        <w:tab/>
        <w:t>Cross-Sections required for Description of Operations (as per clause 3)</w:t>
      </w:r>
    </w:p>
    <w:p w:rsidR="00E26C8E" w:rsidRPr="00E26C8E" w:rsidRDefault="00E26C8E" w:rsidP="00E26C8E">
      <w:pPr>
        <w:ind w:left="2127" w:hanging="709"/>
        <w:rPr>
          <w:rFonts w:eastAsia="Times New Roman"/>
          <w:b/>
          <w:szCs w:val="20"/>
        </w:rPr>
      </w:pPr>
      <w:r w:rsidRPr="00E26C8E">
        <w:rPr>
          <w:rFonts w:eastAsia="Times New Roman"/>
          <w:b/>
          <w:szCs w:val="20"/>
        </w:rPr>
        <w:t>5.2.2.1</w:t>
      </w:r>
      <w:r w:rsidRPr="00E26C8E">
        <w:rPr>
          <w:rFonts w:eastAsia="Times New Roman"/>
          <w:b/>
          <w:szCs w:val="20"/>
        </w:rPr>
        <w:tab/>
        <w:t>Mining Operation Cross-Section(s) showing:</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pre-mining natural surface;</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proposed pit depth;</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proposed pit dimensions (length and width);</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proposed pit batters and benches;</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location of underground shafts and stopes; and</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stages of operation.</w:t>
      </w:r>
    </w:p>
    <w:p w:rsidR="00E26C8E" w:rsidRPr="00E26C8E" w:rsidRDefault="00E26C8E" w:rsidP="00E26C8E">
      <w:pPr>
        <w:ind w:left="2127" w:hanging="709"/>
        <w:rPr>
          <w:rFonts w:eastAsia="Times New Roman"/>
          <w:b/>
          <w:szCs w:val="20"/>
        </w:rPr>
      </w:pPr>
      <w:r w:rsidRPr="00E26C8E">
        <w:rPr>
          <w:rFonts w:eastAsia="Times New Roman"/>
          <w:b/>
          <w:szCs w:val="20"/>
        </w:rPr>
        <w:t>5.2.2.2</w:t>
      </w:r>
      <w:r w:rsidRPr="00E26C8E">
        <w:rPr>
          <w:rFonts w:eastAsia="Times New Roman"/>
          <w:b/>
          <w:szCs w:val="20"/>
        </w:rPr>
        <w:tab/>
        <w:t>Completion Cross Section(s) showing:</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pre mining natural surface;</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proposed conceptual rehabilitated final batters and benches;</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location of underground backfill in shafts and stopes;</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predicted final groundwater elevations; and</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proposed conceptual final rehabilitated surface.</w:t>
      </w:r>
    </w:p>
    <w:p w:rsidR="00E26C8E" w:rsidRPr="00E26C8E" w:rsidRDefault="00E26C8E" w:rsidP="00E26C8E">
      <w:pPr>
        <w:rPr>
          <w:rFonts w:eastAsia="Times New Roman"/>
          <w:b/>
          <w:szCs w:val="20"/>
        </w:rPr>
      </w:pPr>
      <w:r w:rsidRPr="00E26C8E">
        <w:rPr>
          <w:rFonts w:eastAsia="Times New Roman"/>
          <w:b/>
          <w:szCs w:val="20"/>
        </w:rPr>
        <w:t>ADDITIONAL INFORMATION TO ACCOMPANY APPLICATION</w:t>
      </w:r>
    </w:p>
    <w:p w:rsidR="00E26C8E" w:rsidRPr="00E26C8E" w:rsidRDefault="00E26C8E" w:rsidP="00E26C8E">
      <w:pPr>
        <w:ind w:left="142"/>
        <w:rPr>
          <w:rFonts w:eastAsia="Times New Roman"/>
          <w:szCs w:val="20"/>
        </w:rPr>
      </w:pPr>
      <w:r w:rsidRPr="00E26C8E">
        <w:rPr>
          <w:rFonts w:eastAsia="Times New Roman"/>
          <w:szCs w:val="20"/>
        </w:rPr>
        <w:t xml:space="preserve">An application for an ML and/or MPL must be accompanied by additional information as set out in regulations 30, 37 and 48 of the </w:t>
      </w:r>
      <w:r w:rsidRPr="00E26C8E">
        <w:rPr>
          <w:rFonts w:eastAsia="Times New Roman"/>
          <w:i/>
          <w:szCs w:val="20"/>
        </w:rPr>
        <w:t>Mining Regulations 2020</w:t>
      </w:r>
      <w:r w:rsidRPr="00E26C8E">
        <w:rPr>
          <w:rFonts w:eastAsia="Times New Roman"/>
          <w:szCs w:val="20"/>
        </w:rPr>
        <w:t>, and must comply with the following determinations of this Terms of Reference as set out below:</w:t>
      </w:r>
    </w:p>
    <w:p w:rsidR="00E26C8E" w:rsidRPr="00E26C8E" w:rsidRDefault="00E26C8E" w:rsidP="00E26C8E">
      <w:pPr>
        <w:ind w:left="426" w:hanging="284"/>
        <w:rPr>
          <w:rFonts w:eastAsia="Times New Roman"/>
          <w:b/>
          <w:szCs w:val="20"/>
        </w:rPr>
      </w:pPr>
      <w:r w:rsidRPr="00E26C8E">
        <w:rPr>
          <w:rFonts w:eastAsia="Times New Roman"/>
          <w:b/>
          <w:szCs w:val="20"/>
        </w:rPr>
        <w:t>6.</w:t>
      </w:r>
      <w:r w:rsidRPr="00E26C8E">
        <w:rPr>
          <w:rFonts w:eastAsia="Times New Roman"/>
          <w:b/>
          <w:szCs w:val="20"/>
        </w:rPr>
        <w:tab/>
        <w:t>REASONABLE PROSPECT OF ACCESS TO LAND</w:t>
      </w:r>
    </w:p>
    <w:p w:rsidR="00E26C8E" w:rsidRPr="00E26C8E" w:rsidRDefault="00E26C8E" w:rsidP="00E26C8E">
      <w:pPr>
        <w:ind w:left="426"/>
        <w:rPr>
          <w:rFonts w:eastAsia="Times New Roman"/>
          <w:szCs w:val="20"/>
        </w:rPr>
      </w:pPr>
      <w:r w:rsidRPr="00E26C8E">
        <w:rPr>
          <w:rFonts w:eastAsia="Times New Roman"/>
          <w:szCs w:val="20"/>
        </w:rPr>
        <w:t xml:space="preserve">In preparing a statement under regulation 30(1)(e)(i) of the </w:t>
      </w:r>
      <w:r w:rsidRPr="00E26C8E">
        <w:rPr>
          <w:rFonts w:eastAsia="Times New Roman"/>
          <w:i/>
          <w:szCs w:val="20"/>
        </w:rPr>
        <w:t>Mining Regulations 2020</w:t>
      </w:r>
      <w:r w:rsidRPr="00E26C8E">
        <w:rPr>
          <w:rFonts w:eastAsia="Times New Roman"/>
          <w:szCs w:val="20"/>
        </w:rPr>
        <w:t xml:space="preserve"> that demonstrates that there is a reasonable prospect that the land in respect of which an ML is sought could be effectively and efficiently mined, the Minister determines in accordance with regulation 30(2) of the </w:t>
      </w:r>
      <w:r w:rsidRPr="00E26C8E">
        <w:rPr>
          <w:rFonts w:eastAsia="Times New Roman"/>
          <w:i/>
          <w:szCs w:val="20"/>
        </w:rPr>
        <w:t>Mining Regulations 2020</w:t>
      </w:r>
      <w:r w:rsidRPr="00E26C8E">
        <w:rPr>
          <w:rFonts w:eastAsia="Times New Roman"/>
          <w:szCs w:val="20"/>
        </w:rPr>
        <w:t xml:space="preserve"> that this statement must be supported by the following evidence:</w:t>
      </w:r>
    </w:p>
    <w:p w:rsidR="00E26C8E" w:rsidRPr="00E26C8E" w:rsidRDefault="00E26C8E" w:rsidP="00E26C8E">
      <w:pPr>
        <w:ind w:left="709" w:hanging="284"/>
        <w:rPr>
          <w:rFonts w:eastAsia="Times New Roman"/>
          <w:szCs w:val="20"/>
        </w:rPr>
      </w:pPr>
      <w:r w:rsidRPr="00E26C8E">
        <w:rPr>
          <w:rFonts w:eastAsia="Times New Roman"/>
          <w:szCs w:val="20"/>
        </w:rPr>
        <w:t>•</w:t>
      </w:r>
      <w:r w:rsidRPr="00E26C8E">
        <w:rPr>
          <w:rFonts w:eastAsia="Times New Roman"/>
          <w:szCs w:val="20"/>
        </w:rPr>
        <w:tab/>
        <w:t xml:space="preserve">A description of any waivers of exemption obtained, and/or information on the status of waivers of exemption yet to be negotiated/finalised under Section 9AA of the </w:t>
      </w:r>
      <w:r w:rsidRPr="00E26C8E">
        <w:rPr>
          <w:rFonts w:eastAsia="Times New Roman"/>
          <w:i/>
          <w:szCs w:val="20"/>
        </w:rPr>
        <w:t>Mining Act 1971</w:t>
      </w:r>
      <w:r w:rsidRPr="00E26C8E">
        <w:rPr>
          <w:rFonts w:eastAsia="Times New Roman"/>
          <w:szCs w:val="20"/>
        </w:rPr>
        <w:t>; and</w:t>
      </w:r>
    </w:p>
    <w:p w:rsidR="00E26C8E" w:rsidRPr="00E26C8E" w:rsidRDefault="00E26C8E" w:rsidP="00E26C8E">
      <w:pPr>
        <w:ind w:left="709" w:hanging="284"/>
        <w:rPr>
          <w:rFonts w:eastAsia="Times New Roman"/>
          <w:szCs w:val="20"/>
        </w:rPr>
      </w:pPr>
      <w:r w:rsidRPr="00E26C8E">
        <w:rPr>
          <w:rFonts w:eastAsia="Times New Roman"/>
          <w:szCs w:val="20"/>
        </w:rPr>
        <w:t>•</w:t>
      </w:r>
      <w:r w:rsidRPr="00E26C8E">
        <w:rPr>
          <w:rFonts w:eastAsia="Times New Roman"/>
          <w:szCs w:val="20"/>
        </w:rPr>
        <w:tab/>
        <w:t xml:space="preserve">A description of any native title mining agreements obtained under the </w:t>
      </w:r>
      <w:r w:rsidRPr="00E26C8E">
        <w:rPr>
          <w:rFonts w:eastAsia="Times New Roman"/>
          <w:i/>
          <w:szCs w:val="20"/>
        </w:rPr>
        <w:t>Mining Act 1971</w:t>
      </w:r>
      <w:r w:rsidRPr="00E26C8E">
        <w:rPr>
          <w:rFonts w:eastAsia="Times New Roman"/>
          <w:szCs w:val="20"/>
        </w:rPr>
        <w:t xml:space="preserve"> or </w:t>
      </w:r>
      <w:r w:rsidRPr="00E26C8E">
        <w:rPr>
          <w:rFonts w:eastAsia="Times New Roman"/>
          <w:i/>
          <w:szCs w:val="20"/>
        </w:rPr>
        <w:t>Indigenous Land Use Agreements (ILUA) under the Native Act 1993 (Cth)</w:t>
      </w:r>
      <w:r w:rsidRPr="00E26C8E">
        <w:rPr>
          <w:rFonts w:eastAsia="Times New Roman"/>
          <w:szCs w:val="20"/>
        </w:rPr>
        <w:t>.</w:t>
      </w:r>
    </w:p>
    <w:p w:rsidR="00E26C8E" w:rsidRPr="00E26C8E" w:rsidRDefault="00E26C8E" w:rsidP="00E26C8E">
      <w:pPr>
        <w:spacing w:after="60"/>
        <w:ind w:left="426" w:hanging="284"/>
        <w:rPr>
          <w:rFonts w:eastAsia="Times New Roman"/>
          <w:b/>
          <w:szCs w:val="20"/>
        </w:rPr>
      </w:pPr>
      <w:r w:rsidRPr="00E26C8E">
        <w:rPr>
          <w:rFonts w:eastAsia="Times New Roman"/>
          <w:b/>
          <w:szCs w:val="20"/>
        </w:rPr>
        <w:t>7.</w:t>
      </w:r>
      <w:r w:rsidRPr="00E26C8E">
        <w:rPr>
          <w:rFonts w:eastAsia="Times New Roman"/>
          <w:b/>
          <w:szCs w:val="20"/>
        </w:rPr>
        <w:tab/>
        <w:t>DESCRIPTION OF CONTRIBUTIONS TO THE ECONOMY</w:t>
      </w:r>
    </w:p>
    <w:p w:rsidR="00E26C8E" w:rsidRPr="00E26C8E" w:rsidRDefault="00E26C8E" w:rsidP="00E26C8E">
      <w:pPr>
        <w:spacing w:after="60"/>
        <w:ind w:left="426"/>
        <w:rPr>
          <w:rFonts w:eastAsia="Times New Roman"/>
          <w:szCs w:val="20"/>
        </w:rPr>
      </w:pPr>
      <w:r w:rsidRPr="00E26C8E">
        <w:rPr>
          <w:rFonts w:eastAsia="Times New Roman"/>
          <w:szCs w:val="20"/>
        </w:rPr>
        <w:t xml:space="preserve">For the purposes of regulation 30(1)(g) of the </w:t>
      </w:r>
      <w:r w:rsidRPr="00E26C8E">
        <w:rPr>
          <w:rFonts w:eastAsia="Times New Roman"/>
          <w:i/>
          <w:szCs w:val="20"/>
        </w:rPr>
        <w:t>Mining Regulations 2020</w:t>
      </w:r>
      <w:r w:rsidRPr="00E26C8E">
        <w:rPr>
          <w:rFonts w:eastAsia="Times New Roman"/>
          <w:szCs w:val="20"/>
        </w:rPr>
        <w:t>, the Minister determines that the following information must accompany an application for an ML:</w:t>
      </w:r>
    </w:p>
    <w:p w:rsidR="00E26C8E" w:rsidRPr="00E26C8E" w:rsidRDefault="00E26C8E" w:rsidP="00E26C8E">
      <w:pPr>
        <w:spacing w:after="60"/>
        <w:ind w:left="567"/>
        <w:rPr>
          <w:rFonts w:eastAsia="Times New Roman"/>
          <w:szCs w:val="20"/>
        </w:rPr>
      </w:pPr>
      <w:r w:rsidRPr="00E26C8E">
        <w:rPr>
          <w:rFonts w:eastAsia="Times New Roman"/>
          <w:szCs w:val="20"/>
        </w:rPr>
        <w:t>Describe:</w:t>
      </w:r>
    </w:p>
    <w:p w:rsidR="00E26C8E" w:rsidRPr="00E26C8E" w:rsidRDefault="00E26C8E" w:rsidP="00E26C8E">
      <w:pPr>
        <w:spacing w:after="60"/>
        <w:ind w:left="851" w:hanging="284"/>
        <w:rPr>
          <w:rFonts w:eastAsia="Times New Roman"/>
          <w:szCs w:val="20"/>
        </w:rPr>
      </w:pPr>
      <w:r w:rsidRPr="00E26C8E">
        <w:rPr>
          <w:rFonts w:eastAsia="Times New Roman"/>
          <w:szCs w:val="20"/>
        </w:rPr>
        <w:t>•</w:t>
      </w:r>
      <w:r w:rsidRPr="00E26C8E">
        <w:rPr>
          <w:rFonts w:eastAsia="Times New Roman"/>
          <w:szCs w:val="20"/>
        </w:rPr>
        <w:tab/>
        <w:t>goods and services used in the local community, state and external to state;</w:t>
      </w:r>
    </w:p>
    <w:p w:rsidR="00E26C8E" w:rsidRPr="00E26C8E" w:rsidRDefault="00E26C8E" w:rsidP="00E26C8E">
      <w:pPr>
        <w:spacing w:after="60"/>
        <w:ind w:left="851" w:hanging="284"/>
        <w:rPr>
          <w:rFonts w:eastAsia="Times New Roman"/>
          <w:szCs w:val="20"/>
        </w:rPr>
      </w:pPr>
      <w:r w:rsidRPr="00E26C8E">
        <w:rPr>
          <w:rFonts w:eastAsia="Times New Roman"/>
          <w:szCs w:val="20"/>
        </w:rPr>
        <w:t>•</w:t>
      </w:r>
      <w:r w:rsidRPr="00E26C8E">
        <w:rPr>
          <w:rFonts w:eastAsia="Times New Roman"/>
          <w:szCs w:val="20"/>
        </w:rPr>
        <w:tab/>
        <w:t>wages and other employee benefits;</w:t>
      </w:r>
    </w:p>
    <w:p w:rsidR="00E26C8E" w:rsidRPr="00E26C8E" w:rsidRDefault="00E26C8E" w:rsidP="00E26C8E">
      <w:pPr>
        <w:spacing w:after="60"/>
        <w:ind w:left="851" w:hanging="284"/>
        <w:rPr>
          <w:rFonts w:eastAsia="Times New Roman"/>
          <w:szCs w:val="20"/>
        </w:rPr>
      </w:pPr>
      <w:r w:rsidRPr="00E26C8E">
        <w:rPr>
          <w:rFonts w:eastAsia="Times New Roman"/>
          <w:szCs w:val="20"/>
        </w:rPr>
        <w:t>•</w:t>
      </w:r>
      <w:r w:rsidRPr="00E26C8E">
        <w:rPr>
          <w:rFonts w:eastAsia="Times New Roman"/>
          <w:szCs w:val="20"/>
        </w:rPr>
        <w:tab/>
        <w:t>economic benefits derived from local employment;</w:t>
      </w:r>
    </w:p>
    <w:p w:rsidR="00E26C8E" w:rsidRPr="00E26C8E" w:rsidRDefault="00E26C8E" w:rsidP="00E26C8E">
      <w:pPr>
        <w:spacing w:after="60"/>
        <w:ind w:left="851" w:hanging="284"/>
        <w:rPr>
          <w:rFonts w:eastAsia="Times New Roman"/>
          <w:szCs w:val="20"/>
        </w:rPr>
      </w:pPr>
      <w:r w:rsidRPr="00E26C8E">
        <w:rPr>
          <w:rFonts w:eastAsia="Times New Roman"/>
          <w:szCs w:val="20"/>
        </w:rPr>
        <w:t>•</w:t>
      </w:r>
      <w:r w:rsidRPr="00E26C8E">
        <w:rPr>
          <w:rFonts w:eastAsia="Times New Roman"/>
          <w:szCs w:val="20"/>
        </w:rPr>
        <w:tab/>
        <w:t>approximate royalty payments and other direct state government taxes; and</w:t>
      </w:r>
    </w:p>
    <w:p w:rsidR="00E26C8E" w:rsidRPr="00E26C8E" w:rsidRDefault="00E26C8E" w:rsidP="00E26C8E">
      <w:pPr>
        <w:spacing w:after="60"/>
        <w:ind w:left="851" w:hanging="284"/>
        <w:rPr>
          <w:rFonts w:eastAsia="Times New Roman"/>
          <w:szCs w:val="20"/>
        </w:rPr>
      </w:pPr>
      <w:r w:rsidRPr="00E26C8E">
        <w:rPr>
          <w:rFonts w:eastAsia="Times New Roman"/>
          <w:szCs w:val="20"/>
        </w:rPr>
        <w:t>•</w:t>
      </w:r>
      <w:r w:rsidRPr="00E26C8E">
        <w:rPr>
          <w:rFonts w:eastAsia="Times New Roman"/>
          <w:szCs w:val="20"/>
        </w:rPr>
        <w:tab/>
        <w:t>any other potential economic contributions proposed during the development of the mine, operation of the proposed mine and post completion.</w:t>
      </w:r>
    </w:p>
    <w:p w:rsidR="00E26C8E" w:rsidRPr="00E26C8E" w:rsidRDefault="00E26C8E" w:rsidP="00E26C8E">
      <w:pPr>
        <w:spacing w:after="60"/>
        <w:ind w:left="426" w:hanging="284"/>
        <w:rPr>
          <w:rFonts w:eastAsia="Times New Roman"/>
          <w:b/>
          <w:szCs w:val="20"/>
        </w:rPr>
      </w:pPr>
      <w:r w:rsidRPr="00E26C8E">
        <w:rPr>
          <w:rFonts w:eastAsia="Times New Roman"/>
          <w:b/>
          <w:szCs w:val="20"/>
        </w:rPr>
        <w:t>8.</w:t>
      </w:r>
      <w:r w:rsidRPr="00E26C8E">
        <w:rPr>
          <w:rFonts w:eastAsia="Times New Roman"/>
          <w:b/>
          <w:szCs w:val="20"/>
        </w:rPr>
        <w:tab/>
        <w:t>RESERVES OR RESOURCES (OR BOTH)</w:t>
      </w:r>
    </w:p>
    <w:p w:rsidR="00E26C8E" w:rsidRPr="00E26C8E" w:rsidRDefault="00E26C8E" w:rsidP="00E26C8E">
      <w:pPr>
        <w:spacing w:after="60"/>
        <w:ind w:left="426"/>
        <w:rPr>
          <w:rFonts w:eastAsia="Times New Roman"/>
          <w:szCs w:val="20"/>
        </w:rPr>
      </w:pPr>
      <w:r w:rsidRPr="00E26C8E">
        <w:rPr>
          <w:rFonts w:eastAsia="Times New Roman"/>
          <w:szCs w:val="20"/>
        </w:rPr>
        <w:t>Provide:</w:t>
      </w:r>
    </w:p>
    <w:p w:rsidR="00E26C8E" w:rsidRPr="00E26C8E" w:rsidRDefault="00E26C8E" w:rsidP="00E26C8E">
      <w:pPr>
        <w:spacing w:after="60"/>
        <w:ind w:left="709" w:hanging="284"/>
        <w:rPr>
          <w:rFonts w:eastAsia="Times New Roman"/>
          <w:szCs w:val="20"/>
        </w:rPr>
      </w:pPr>
      <w:r w:rsidRPr="00E26C8E">
        <w:rPr>
          <w:rFonts w:eastAsia="Times New Roman"/>
          <w:szCs w:val="20"/>
        </w:rPr>
        <w:t>•</w:t>
      </w:r>
      <w:r w:rsidRPr="00E26C8E">
        <w:rPr>
          <w:rFonts w:eastAsia="Times New Roman"/>
          <w:szCs w:val="20"/>
        </w:rPr>
        <w:tab/>
        <w:t>a JORC compliant reserve or resource estimate (or both); and</w:t>
      </w:r>
    </w:p>
    <w:p w:rsidR="00E26C8E" w:rsidRPr="00E26C8E" w:rsidRDefault="00E26C8E" w:rsidP="00E26C8E">
      <w:pPr>
        <w:spacing w:after="60"/>
        <w:ind w:left="709" w:hanging="284"/>
        <w:rPr>
          <w:rFonts w:eastAsia="Times New Roman"/>
          <w:szCs w:val="20"/>
        </w:rPr>
      </w:pPr>
      <w:r w:rsidRPr="00E26C8E">
        <w:rPr>
          <w:rFonts w:eastAsia="Times New Roman"/>
          <w:szCs w:val="20"/>
        </w:rPr>
        <w:t>•</w:t>
      </w:r>
      <w:r w:rsidRPr="00E26C8E">
        <w:rPr>
          <w:rFonts w:eastAsia="Times New Roman"/>
          <w:szCs w:val="20"/>
        </w:rPr>
        <w:tab/>
        <w:t>the accompanying JORC Public Report and competent person statement;</w:t>
      </w:r>
    </w:p>
    <w:p w:rsidR="00E26C8E" w:rsidRPr="00E26C8E" w:rsidRDefault="00E26C8E" w:rsidP="00E26C8E">
      <w:pPr>
        <w:spacing w:after="60"/>
        <w:ind w:left="426"/>
        <w:rPr>
          <w:rFonts w:eastAsia="Times New Roman"/>
          <w:szCs w:val="20"/>
        </w:rPr>
      </w:pPr>
      <w:r w:rsidRPr="00E26C8E">
        <w:rPr>
          <w:rFonts w:eastAsia="Times New Roman"/>
          <w:szCs w:val="20"/>
        </w:rPr>
        <w:t>or (if a JORC compliant reserve or resource (or both) has not been reported)</w:t>
      </w:r>
    </w:p>
    <w:p w:rsidR="00E26C8E" w:rsidRPr="00E26C8E" w:rsidRDefault="00E26C8E" w:rsidP="00E26C8E">
      <w:pPr>
        <w:spacing w:after="60"/>
        <w:ind w:left="709" w:hanging="284"/>
        <w:rPr>
          <w:rFonts w:eastAsia="Times New Roman"/>
          <w:szCs w:val="20"/>
        </w:rPr>
      </w:pPr>
      <w:r w:rsidRPr="00E26C8E">
        <w:rPr>
          <w:rFonts w:eastAsia="Times New Roman"/>
          <w:szCs w:val="20"/>
        </w:rPr>
        <w:t>•</w:t>
      </w:r>
      <w:r w:rsidRPr="00E26C8E">
        <w:rPr>
          <w:rFonts w:eastAsia="Times New Roman"/>
          <w:szCs w:val="20"/>
        </w:rPr>
        <w:tab/>
        <w:t>a detailed estimate of the resource to be mined, the basis of this estimate, and evidence that demonstrates that the resource can be economically mined at current market prices.</w:t>
      </w:r>
    </w:p>
    <w:p w:rsidR="00E26C8E" w:rsidRPr="00E26C8E" w:rsidRDefault="00E26C8E" w:rsidP="00E26C8E">
      <w:pPr>
        <w:spacing w:after="0"/>
        <w:rPr>
          <w:rFonts w:eastAsia="Times New Roman"/>
          <w:szCs w:val="17"/>
        </w:rPr>
      </w:pPr>
      <w:r w:rsidRPr="00E26C8E">
        <w:rPr>
          <w:rFonts w:eastAsia="Times New Roman"/>
          <w:szCs w:val="17"/>
        </w:rPr>
        <w:t>Dated: 11 December 2020</w:t>
      </w:r>
    </w:p>
    <w:p w:rsidR="00E26C8E" w:rsidRPr="00E26C8E" w:rsidRDefault="00E26C8E" w:rsidP="00E26C8E">
      <w:pPr>
        <w:spacing w:after="0"/>
        <w:jc w:val="right"/>
        <w:rPr>
          <w:rFonts w:eastAsia="Times New Roman"/>
          <w:smallCaps/>
          <w:szCs w:val="20"/>
        </w:rPr>
      </w:pPr>
      <w:r w:rsidRPr="00E26C8E">
        <w:rPr>
          <w:rFonts w:eastAsia="Times New Roman"/>
          <w:smallCaps/>
          <w:szCs w:val="20"/>
        </w:rPr>
        <w:t>Hon. Daniel van Holst Pellekaan</w:t>
      </w:r>
    </w:p>
    <w:p w:rsidR="00E26C8E" w:rsidRPr="00E26C8E" w:rsidRDefault="00E26C8E" w:rsidP="00E26C8E">
      <w:pPr>
        <w:spacing w:after="0"/>
        <w:jc w:val="right"/>
        <w:rPr>
          <w:rFonts w:eastAsia="Times New Roman"/>
          <w:szCs w:val="17"/>
        </w:rPr>
      </w:pPr>
      <w:r w:rsidRPr="00E26C8E">
        <w:rPr>
          <w:rFonts w:eastAsia="Times New Roman"/>
          <w:szCs w:val="17"/>
        </w:rPr>
        <w:t>Minister for Energy and Mining</w:t>
      </w:r>
    </w:p>
    <w:p w:rsidR="00E26C8E" w:rsidRPr="00E26C8E" w:rsidRDefault="00E26C8E" w:rsidP="00E26C8E">
      <w:pPr>
        <w:pBdr>
          <w:top w:val="single" w:sz="4" w:space="1" w:color="auto"/>
        </w:pBdr>
        <w:spacing w:before="100" w:after="0" w:line="14" w:lineRule="exact"/>
        <w:jc w:val="center"/>
        <w:rPr>
          <w:rFonts w:eastAsia="Times New Roman"/>
          <w:szCs w:val="20"/>
        </w:rPr>
      </w:pPr>
    </w:p>
    <w:p w:rsidR="00E26C8E" w:rsidRPr="00E26C8E" w:rsidRDefault="00E26C8E" w:rsidP="00E26C8E">
      <w:pPr>
        <w:jc w:val="center"/>
        <w:rPr>
          <w:caps/>
          <w:szCs w:val="17"/>
        </w:rPr>
      </w:pPr>
      <w:r w:rsidRPr="00E26C8E">
        <w:rPr>
          <w:caps/>
          <w:szCs w:val="17"/>
        </w:rPr>
        <w:t>Mining Act 1971</w:t>
      </w:r>
    </w:p>
    <w:p w:rsidR="00E26C8E" w:rsidRPr="00E26C8E" w:rsidRDefault="00E26C8E" w:rsidP="00E26C8E">
      <w:pPr>
        <w:jc w:val="center"/>
        <w:rPr>
          <w:smallCaps/>
          <w:szCs w:val="17"/>
        </w:rPr>
      </w:pPr>
      <w:r w:rsidRPr="00E26C8E">
        <w:rPr>
          <w:smallCaps/>
          <w:szCs w:val="17"/>
        </w:rPr>
        <w:t>Section 36</w:t>
      </w:r>
    </w:p>
    <w:p w:rsidR="00E26C8E" w:rsidRPr="00E26C8E" w:rsidRDefault="00E26C8E" w:rsidP="00E26C8E">
      <w:pPr>
        <w:jc w:val="center"/>
        <w:rPr>
          <w:i/>
          <w:szCs w:val="17"/>
        </w:rPr>
      </w:pPr>
      <w:r w:rsidRPr="00E26C8E">
        <w:rPr>
          <w:i/>
          <w:szCs w:val="17"/>
        </w:rPr>
        <w:t>Terms of Reference for Uranium ISR Applications</w:t>
      </w:r>
    </w:p>
    <w:p w:rsidR="00E26C8E" w:rsidRPr="00E26C8E" w:rsidRDefault="00E26C8E" w:rsidP="00E26C8E">
      <w:pPr>
        <w:rPr>
          <w:rFonts w:eastAsia="Times New Roman"/>
          <w:szCs w:val="20"/>
        </w:rPr>
      </w:pPr>
      <w:r w:rsidRPr="00E26C8E">
        <w:rPr>
          <w:rFonts w:eastAsia="Times New Roman"/>
          <w:szCs w:val="20"/>
        </w:rPr>
        <w:t>An application for a mining lease (ML) for the recovery of uranium using the In Situ Recovery (ISR) method must be accompanied by:</w:t>
      </w:r>
    </w:p>
    <w:p w:rsidR="00E26C8E" w:rsidRPr="00E26C8E" w:rsidRDefault="00E26C8E" w:rsidP="00E26C8E">
      <w:pPr>
        <w:ind w:left="426" w:hanging="284"/>
        <w:rPr>
          <w:rFonts w:eastAsia="Times New Roman"/>
          <w:szCs w:val="20"/>
        </w:rPr>
      </w:pPr>
      <w:r w:rsidRPr="00E26C8E">
        <w:rPr>
          <w:rFonts w:eastAsia="Times New Roman"/>
          <w:szCs w:val="20"/>
        </w:rPr>
        <w:t>•</w:t>
      </w:r>
      <w:r w:rsidRPr="00E26C8E">
        <w:rPr>
          <w:rFonts w:eastAsia="Times New Roman"/>
          <w:szCs w:val="20"/>
        </w:rPr>
        <w:tab/>
        <w:t>a proposal that complies with section 36 of the</w:t>
      </w:r>
      <w:r w:rsidRPr="00E26C8E">
        <w:rPr>
          <w:rFonts w:eastAsia="Times New Roman"/>
          <w:i/>
          <w:szCs w:val="20"/>
        </w:rPr>
        <w:t xml:space="preserve"> Mining Act 1971</w:t>
      </w:r>
      <w:r w:rsidRPr="00E26C8E">
        <w:rPr>
          <w:rFonts w:eastAsia="Times New Roman"/>
          <w:szCs w:val="20"/>
        </w:rPr>
        <w:t>, regulations 46 and 47 of the</w:t>
      </w:r>
      <w:r w:rsidRPr="00E26C8E">
        <w:rPr>
          <w:rFonts w:eastAsia="Times New Roman"/>
          <w:i/>
          <w:szCs w:val="20"/>
        </w:rPr>
        <w:t xml:space="preserve"> Mining Regulations 2020</w:t>
      </w:r>
      <w:r w:rsidRPr="00E26C8E">
        <w:rPr>
          <w:rFonts w:eastAsia="Times New Roman"/>
          <w:szCs w:val="20"/>
        </w:rPr>
        <w:t xml:space="preserve"> and any determinations set out in this Terms of Reference; and</w:t>
      </w:r>
    </w:p>
    <w:p w:rsidR="00E26C8E" w:rsidRPr="00E26C8E" w:rsidRDefault="00E26C8E" w:rsidP="00E26C8E">
      <w:pPr>
        <w:ind w:left="426" w:hanging="284"/>
        <w:rPr>
          <w:rFonts w:eastAsia="Times New Roman"/>
          <w:szCs w:val="20"/>
        </w:rPr>
      </w:pPr>
      <w:r w:rsidRPr="00E26C8E">
        <w:rPr>
          <w:rFonts w:eastAsia="Times New Roman"/>
          <w:szCs w:val="20"/>
        </w:rPr>
        <w:t>•</w:t>
      </w:r>
      <w:r w:rsidRPr="00E26C8E">
        <w:rPr>
          <w:rFonts w:eastAsia="Times New Roman"/>
          <w:szCs w:val="20"/>
        </w:rPr>
        <w:tab/>
        <w:t>information that complies with regulation 30 of the</w:t>
      </w:r>
      <w:r w:rsidRPr="00E26C8E">
        <w:rPr>
          <w:rFonts w:eastAsia="Times New Roman"/>
          <w:i/>
          <w:szCs w:val="20"/>
        </w:rPr>
        <w:t xml:space="preserve"> Mining Regulations 2020</w:t>
      </w:r>
      <w:r w:rsidRPr="00E26C8E">
        <w:rPr>
          <w:rFonts w:eastAsia="Times New Roman"/>
          <w:szCs w:val="20"/>
        </w:rPr>
        <w:t xml:space="preserve"> and any determinations set out in this Terms of Reference; and</w:t>
      </w:r>
    </w:p>
    <w:p w:rsidR="00E26C8E" w:rsidRPr="00E26C8E" w:rsidRDefault="00E26C8E" w:rsidP="00E26C8E">
      <w:pPr>
        <w:ind w:left="426" w:hanging="284"/>
        <w:rPr>
          <w:rFonts w:eastAsia="Times New Roman"/>
          <w:szCs w:val="20"/>
        </w:rPr>
      </w:pPr>
      <w:r w:rsidRPr="00E26C8E">
        <w:rPr>
          <w:rFonts w:eastAsia="Times New Roman"/>
          <w:szCs w:val="20"/>
        </w:rPr>
        <w:t>•</w:t>
      </w:r>
      <w:r w:rsidRPr="00E26C8E">
        <w:rPr>
          <w:rFonts w:eastAsia="Times New Roman"/>
          <w:szCs w:val="20"/>
        </w:rPr>
        <w:tab/>
        <w:t>a declaration of accuracy that complies with regulation 84 of the</w:t>
      </w:r>
      <w:r w:rsidRPr="00E26C8E">
        <w:rPr>
          <w:rFonts w:eastAsia="Times New Roman"/>
          <w:i/>
          <w:szCs w:val="20"/>
        </w:rPr>
        <w:t xml:space="preserve"> Mining Regulations 2020</w:t>
      </w:r>
      <w:r w:rsidRPr="00E26C8E">
        <w:rPr>
          <w:rFonts w:eastAsia="Times New Roman"/>
          <w:szCs w:val="20"/>
        </w:rPr>
        <w:t>; and</w:t>
      </w:r>
    </w:p>
    <w:p w:rsidR="00E26C8E" w:rsidRPr="00E26C8E" w:rsidRDefault="00E26C8E" w:rsidP="00E26C8E">
      <w:pPr>
        <w:ind w:left="426" w:hanging="284"/>
        <w:rPr>
          <w:rFonts w:eastAsia="Times New Roman"/>
          <w:szCs w:val="20"/>
        </w:rPr>
      </w:pPr>
      <w:r w:rsidRPr="00E26C8E">
        <w:rPr>
          <w:rFonts w:eastAsia="Times New Roman"/>
          <w:szCs w:val="20"/>
        </w:rPr>
        <w:t>•</w:t>
      </w:r>
      <w:r w:rsidRPr="00E26C8E">
        <w:rPr>
          <w:rFonts w:eastAsia="Times New Roman"/>
          <w:szCs w:val="20"/>
        </w:rPr>
        <w:tab/>
        <w:t>the relevant application fee.</w:t>
      </w:r>
    </w:p>
    <w:p w:rsidR="00E26C8E" w:rsidRPr="00E26C8E" w:rsidRDefault="00E26C8E" w:rsidP="00E26C8E">
      <w:pPr>
        <w:rPr>
          <w:rFonts w:eastAsia="Times New Roman"/>
          <w:szCs w:val="20"/>
        </w:rPr>
      </w:pPr>
      <w:r w:rsidRPr="00E26C8E">
        <w:rPr>
          <w:rFonts w:eastAsia="Times New Roman"/>
          <w:szCs w:val="20"/>
        </w:rPr>
        <w:t>An application for a miscellaneous purposes licence (MPL) for operations ancillary to the recovery of uranium using the In Situ Recovery (ISR) method must be accompanied by:</w:t>
      </w:r>
    </w:p>
    <w:p w:rsidR="00E26C8E" w:rsidRPr="00E26C8E" w:rsidRDefault="00E26C8E" w:rsidP="00E26C8E">
      <w:pPr>
        <w:ind w:left="426" w:hanging="284"/>
        <w:rPr>
          <w:rFonts w:eastAsia="Times New Roman"/>
          <w:szCs w:val="20"/>
        </w:rPr>
      </w:pPr>
      <w:r w:rsidRPr="00E26C8E">
        <w:rPr>
          <w:rFonts w:eastAsia="Times New Roman"/>
          <w:szCs w:val="20"/>
        </w:rPr>
        <w:t>•</w:t>
      </w:r>
      <w:r w:rsidRPr="00E26C8E">
        <w:rPr>
          <w:rFonts w:eastAsia="Times New Roman"/>
          <w:szCs w:val="20"/>
        </w:rPr>
        <w:tab/>
        <w:t>a proposal that complies with section 49 of the</w:t>
      </w:r>
      <w:r w:rsidRPr="00E26C8E">
        <w:rPr>
          <w:rFonts w:eastAsia="Times New Roman"/>
          <w:i/>
          <w:szCs w:val="20"/>
        </w:rPr>
        <w:t xml:space="preserve"> Mining Act 1971</w:t>
      </w:r>
      <w:r w:rsidRPr="00E26C8E">
        <w:rPr>
          <w:rFonts w:eastAsia="Times New Roman"/>
          <w:szCs w:val="20"/>
        </w:rPr>
        <w:t>, regulations 46 and 47 of the</w:t>
      </w:r>
      <w:r w:rsidRPr="00E26C8E">
        <w:rPr>
          <w:rFonts w:eastAsia="Times New Roman"/>
          <w:i/>
          <w:szCs w:val="20"/>
        </w:rPr>
        <w:t xml:space="preserve"> Mining Regulations 2020</w:t>
      </w:r>
      <w:r w:rsidRPr="00E26C8E">
        <w:rPr>
          <w:rFonts w:eastAsia="Times New Roman"/>
          <w:szCs w:val="20"/>
        </w:rPr>
        <w:t xml:space="preserve"> and any determinations set out in this Terms of Reference; and</w:t>
      </w:r>
    </w:p>
    <w:p w:rsidR="00E26C8E" w:rsidRPr="00E26C8E" w:rsidRDefault="00E26C8E" w:rsidP="00E26C8E">
      <w:pPr>
        <w:ind w:left="426" w:hanging="284"/>
        <w:rPr>
          <w:rFonts w:eastAsia="Times New Roman"/>
          <w:szCs w:val="20"/>
        </w:rPr>
      </w:pPr>
      <w:r w:rsidRPr="00E26C8E">
        <w:rPr>
          <w:rFonts w:eastAsia="Times New Roman"/>
          <w:szCs w:val="20"/>
        </w:rPr>
        <w:t>•</w:t>
      </w:r>
      <w:r w:rsidRPr="00E26C8E">
        <w:rPr>
          <w:rFonts w:eastAsia="Times New Roman"/>
          <w:szCs w:val="20"/>
        </w:rPr>
        <w:tab/>
        <w:t>information that complies with regulations 37 and 38 of the</w:t>
      </w:r>
      <w:r w:rsidRPr="00E26C8E">
        <w:rPr>
          <w:rFonts w:eastAsia="Times New Roman"/>
          <w:i/>
          <w:szCs w:val="20"/>
        </w:rPr>
        <w:t xml:space="preserve"> Mining Regulations 2020</w:t>
      </w:r>
      <w:r w:rsidRPr="00E26C8E">
        <w:rPr>
          <w:rFonts w:eastAsia="Times New Roman"/>
          <w:szCs w:val="20"/>
        </w:rPr>
        <w:t xml:space="preserve"> and any determinations set out in this Terms of Reference; and</w:t>
      </w:r>
    </w:p>
    <w:p w:rsidR="00E26C8E" w:rsidRPr="00E26C8E" w:rsidRDefault="00E26C8E" w:rsidP="00E26C8E">
      <w:pPr>
        <w:ind w:left="426" w:hanging="284"/>
        <w:rPr>
          <w:rFonts w:eastAsia="Times New Roman"/>
          <w:szCs w:val="20"/>
        </w:rPr>
      </w:pPr>
      <w:r w:rsidRPr="00E26C8E">
        <w:rPr>
          <w:rFonts w:eastAsia="Times New Roman"/>
          <w:szCs w:val="20"/>
        </w:rPr>
        <w:t>•</w:t>
      </w:r>
      <w:r w:rsidRPr="00E26C8E">
        <w:rPr>
          <w:rFonts w:eastAsia="Times New Roman"/>
          <w:szCs w:val="20"/>
        </w:rPr>
        <w:tab/>
        <w:t>a declaration of accuracy that complies with regulation 84 of the</w:t>
      </w:r>
      <w:r w:rsidRPr="00E26C8E">
        <w:rPr>
          <w:rFonts w:eastAsia="Times New Roman"/>
          <w:i/>
          <w:szCs w:val="20"/>
        </w:rPr>
        <w:t xml:space="preserve"> Mining Regulations 2020</w:t>
      </w:r>
      <w:r w:rsidRPr="00E26C8E">
        <w:rPr>
          <w:rFonts w:eastAsia="Times New Roman"/>
          <w:szCs w:val="20"/>
        </w:rPr>
        <w:t>; and</w:t>
      </w:r>
    </w:p>
    <w:p w:rsidR="00E26C8E" w:rsidRPr="00E26C8E" w:rsidRDefault="00E26C8E" w:rsidP="00E26C8E">
      <w:pPr>
        <w:ind w:left="426" w:hanging="284"/>
        <w:rPr>
          <w:rFonts w:eastAsia="Times New Roman"/>
          <w:szCs w:val="20"/>
        </w:rPr>
      </w:pPr>
      <w:r w:rsidRPr="00E26C8E">
        <w:rPr>
          <w:rFonts w:eastAsia="Times New Roman"/>
          <w:szCs w:val="20"/>
        </w:rPr>
        <w:t>•</w:t>
      </w:r>
      <w:r w:rsidRPr="00E26C8E">
        <w:rPr>
          <w:rFonts w:eastAsia="Times New Roman"/>
          <w:szCs w:val="20"/>
        </w:rPr>
        <w:tab/>
        <w:t>the relevant application fee.</w:t>
      </w:r>
    </w:p>
    <w:p w:rsidR="00E26C8E" w:rsidRPr="00E26C8E" w:rsidRDefault="00E26C8E" w:rsidP="00E26C8E">
      <w:pPr>
        <w:rPr>
          <w:rFonts w:eastAsia="Times New Roman"/>
          <w:b/>
          <w:szCs w:val="20"/>
        </w:rPr>
      </w:pPr>
      <w:r w:rsidRPr="00E26C8E">
        <w:rPr>
          <w:rFonts w:eastAsia="Times New Roman"/>
          <w:b/>
          <w:szCs w:val="20"/>
        </w:rPr>
        <w:t>FORM OF APPLICATION</w:t>
      </w:r>
    </w:p>
    <w:p w:rsidR="00E26C8E" w:rsidRPr="00E26C8E" w:rsidRDefault="00E26C8E" w:rsidP="00E26C8E">
      <w:pPr>
        <w:ind w:left="142"/>
        <w:rPr>
          <w:rFonts w:eastAsia="Times New Roman"/>
          <w:szCs w:val="20"/>
        </w:rPr>
      </w:pPr>
      <w:r w:rsidRPr="00E26C8E">
        <w:rPr>
          <w:rFonts w:eastAsia="Times New Roman"/>
          <w:szCs w:val="20"/>
        </w:rPr>
        <w:t>In accordance with section 36(1)(a) of the</w:t>
      </w:r>
      <w:r w:rsidRPr="00E26C8E">
        <w:rPr>
          <w:rFonts w:eastAsia="Times New Roman"/>
          <w:i/>
          <w:szCs w:val="20"/>
        </w:rPr>
        <w:t xml:space="preserve"> Mining Act 1971</w:t>
      </w:r>
      <w:r w:rsidRPr="00E26C8E">
        <w:rPr>
          <w:rFonts w:eastAsia="Times New Roman"/>
          <w:szCs w:val="20"/>
        </w:rPr>
        <w:t xml:space="preserve"> an application for a mining lease for the recovery of uranium using the In Situ Recovery (ISR) method must be made in the form and contain such information as set out in this Terms of References, unless otherwise specified by the Director of Mines or an authorised officer.</w:t>
      </w:r>
    </w:p>
    <w:p w:rsidR="00E26C8E" w:rsidRPr="00E26C8E" w:rsidRDefault="00E26C8E" w:rsidP="00E26C8E">
      <w:pPr>
        <w:ind w:left="142"/>
        <w:rPr>
          <w:rFonts w:eastAsia="Times New Roman"/>
          <w:szCs w:val="20"/>
        </w:rPr>
      </w:pPr>
      <w:r w:rsidRPr="00E26C8E">
        <w:rPr>
          <w:rFonts w:eastAsia="Times New Roman"/>
          <w:szCs w:val="20"/>
        </w:rPr>
        <w:t>For the purposes of section 36(1)(a) of the</w:t>
      </w:r>
      <w:r w:rsidRPr="00E26C8E">
        <w:rPr>
          <w:rFonts w:eastAsia="Times New Roman"/>
          <w:i/>
          <w:szCs w:val="20"/>
        </w:rPr>
        <w:t xml:space="preserve"> Mining Act 1971</w:t>
      </w:r>
      <w:r w:rsidRPr="00E26C8E">
        <w:rPr>
          <w:rFonts w:eastAsia="Times New Roman"/>
          <w:szCs w:val="20"/>
        </w:rPr>
        <w:t>, it is determined that an application for a mining lease must contain the information as follows:</w:t>
      </w:r>
    </w:p>
    <w:p w:rsidR="00E26C8E" w:rsidRPr="00E26C8E" w:rsidRDefault="00E26C8E" w:rsidP="00E26C8E">
      <w:pPr>
        <w:ind w:left="567" w:hanging="284"/>
        <w:rPr>
          <w:rFonts w:eastAsia="Times New Roman"/>
          <w:szCs w:val="20"/>
        </w:rPr>
      </w:pPr>
      <w:r w:rsidRPr="00E26C8E">
        <w:rPr>
          <w:rFonts w:eastAsia="Times New Roman"/>
          <w:szCs w:val="20"/>
        </w:rPr>
        <w:t>•</w:t>
      </w:r>
      <w:r w:rsidRPr="00E26C8E">
        <w:rPr>
          <w:rFonts w:eastAsia="Times New Roman"/>
          <w:szCs w:val="20"/>
        </w:rPr>
        <w:tab/>
        <w:t>Applicant name(s) (company and/or individual and/or related body corporate) and each applicants percentage share in the application</w:t>
      </w:r>
    </w:p>
    <w:p w:rsidR="00E26C8E" w:rsidRPr="00E26C8E" w:rsidRDefault="00E26C8E" w:rsidP="00E26C8E">
      <w:pPr>
        <w:ind w:left="567" w:hanging="284"/>
        <w:rPr>
          <w:rFonts w:eastAsia="Times New Roman"/>
          <w:szCs w:val="20"/>
        </w:rPr>
      </w:pPr>
      <w:r w:rsidRPr="00E26C8E">
        <w:rPr>
          <w:rFonts w:eastAsia="Times New Roman"/>
          <w:szCs w:val="20"/>
        </w:rPr>
        <w:t>•</w:t>
      </w:r>
      <w:r w:rsidRPr="00E26C8E">
        <w:rPr>
          <w:rFonts w:eastAsia="Times New Roman"/>
          <w:szCs w:val="20"/>
        </w:rPr>
        <w:tab/>
        <w:t>Name of project</w:t>
      </w:r>
    </w:p>
    <w:p w:rsidR="00E26C8E" w:rsidRPr="00E26C8E" w:rsidRDefault="00E26C8E" w:rsidP="00E26C8E">
      <w:pPr>
        <w:ind w:left="567" w:hanging="284"/>
        <w:rPr>
          <w:rFonts w:eastAsia="Times New Roman"/>
          <w:szCs w:val="20"/>
        </w:rPr>
      </w:pPr>
      <w:r w:rsidRPr="00E26C8E">
        <w:rPr>
          <w:rFonts w:eastAsia="Times New Roman"/>
          <w:szCs w:val="20"/>
        </w:rPr>
        <w:t>•</w:t>
      </w:r>
      <w:r w:rsidRPr="00E26C8E">
        <w:rPr>
          <w:rFonts w:eastAsia="Times New Roman"/>
          <w:szCs w:val="20"/>
        </w:rPr>
        <w:tab/>
        <w:t>Mineral type</w:t>
      </w:r>
    </w:p>
    <w:p w:rsidR="00E26C8E" w:rsidRPr="00E26C8E" w:rsidRDefault="00E26C8E" w:rsidP="00E26C8E">
      <w:pPr>
        <w:ind w:left="567" w:hanging="284"/>
        <w:rPr>
          <w:rFonts w:eastAsia="Times New Roman"/>
          <w:szCs w:val="20"/>
        </w:rPr>
      </w:pPr>
      <w:r w:rsidRPr="00E26C8E">
        <w:rPr>
          <w:rFonts w:eastAsia="Times New Roman"/>
          <w:szCs w:val="20"/>
        </w:rPr>
        <w:t>•</w:t>
      </w:r>
      <w:r w:rsidRPr="00E26C8E">
        <w:rPr>
          <w:rFonts w:eastAsia="Times New Roman"/>
          <w:szCs w:val="20"/>
        </w:rPr>
        <w:tab/>
        <w:t>Mineral(s) to be authorised</w:t>
      </w:r>
    </w:p>
    <w:p w:rsidR="00E26C8E" w:rsidRPr="00E26C8E" w:rsidRDefault="00E26C8E" w:rsidP="00E26C8E">
      <w:pPr>
        <w:ind w:left="567" w:hanging="284"/>
        <w:rPr>
          <w:rFonts w:eastAsia="Times New Roman"/>
          <w:szCs w:val="20"/>
        </w:rPr>
      </w:pPr>
      <w:r w:rsidRPr="00E26C8E">
        <w:rPr>
          <w:rFonts w:eastAsia="Times New Roman"/>
          <w:szCs w:val="20"/>
        </w:rPr>
        <w:t>•</w:t>
      </w:r>
      <w:r w:rsidRPr="00E26C8E">
        <w:rPr>
          <w:rFonts w:eastAsia="Times New Roman"/>
          <w:szCs w:val="20"/>
        </w:rPr>
        <w:tab/>
        <w:t>Primary mineral(s) sought</w:t>
      </w:r>
    </w:p>
    <w:p w:rsidR="00E26C8E" w:rsidRPr="00E26C8E" w:rsidRDefault="00E26C8E" w:rsidP="00E26C8E">
      <w:pPr>
        <w:ind w:left="567" w:hanging="284"/>
        <w:rPr>
          <w:rFonts w:eastAsia="Times New Roman"/>
          <w:szCs w:val="20"/>
        </w:rPr>
      </w:pPr>
      <w:r w:rsidRPr="00E26C8E">
        <w:rPr>
          <w:rFonts w:eastAsia="Times New Roman"/>
          <w:szCs w:val="20"/>
        </w:rPr>
        <w:t>•</w:t>
      </w:r>
      <w:r w:rsidRPr="00E26C8E">
        <w:rPr>
          <w:rFonts w:eastAsia="Times New Roman"/>
          <w:szCs w:val="20"/>
        </w:rPr>
        <w:tab/>
        <w:t>Other mineral(s) sought</w:t>
      </w:r>
    </w:p>
    <w:p w:rsidR="00E26C8E" w:rsidRPr="00E26C8E" w:rsidRDefault="00E26C8E" w:rsidP="00E26C8E">
      <w:pPr>
        <w:ind w:left="567" w:hanging="284"/>
        <w:rPr>
          <w:rFonts w:eastAsia="Times New Roman"/>
          <w:szCs w:val="20"/>
        </w:rPr>
      </w:pPr>
      <w:r w:rsidRPr="00E26C8E">
        <w:rPr>
          <w:rFonts w:eastAsia="Times New Roman"/>
          <w:szCs w:val="20"/>
        </w:rPr>
        <w:t>•</w:t>
      </w:r>
      <w:r w:rsidRPr="00E26C8E">
        <w:rPr>
          <w:rFonts w:eastAsia="Times New Roman"/>
          <w:szCs w:val="20"/>
        </w:rPr>
        <w:tab/>
        <w:t>Proposed lease area details including a detailed map/plan (if required)</w:t>
      </w:r>
    </w:p>
    <w:p w:rsidR="00E26C8E" w:rsidRPr="00E26C8E" w:rsidRDefault="00E26C8E" w:rsidP="00E26C8E">
      <w:pPr>
        <w:ind w:left="567" w:hanging="284"/>
        <w:rPr>
          <w:rFonts w:eastAsia="Times New Roman"/>
          <w:szCs w:val="20"/>
        </w:rPr>
      </w:pPr>
      <w:r w:rsidRPr="00E26C8E">
        <w:rPr>
          <w:rFonts w:eastAsia="Times New Roman"/>
          <w:szCs w:val="20"/>
        </w:rPr>
        <w:t>•</w:t>
      </w:r>
      <w:r w:rsidRPr="00E26C8E">
        <w:rPr>
          <w:rFonts w:eastAsia="Times New Roman"/>
          <w:szCs w:val="20"/>
        </w:rPr>
        <w:tab/>
        <w:t>Native title land</w:t>
      </w:r>
    </w:p>
    <w:p w:rsidR="00E26C8E" w:rsidRPr="00E26C8E" w:rsidRDefault="00E26C8E" w:rsidP="00E26C8E">
      <w:pPr>
        <w:ind w:left="567" w:hanging="284"/>
        <w:rPr>
          <w:rFonts w:eastAsia="Times New Roman"/>
          <w:szCs w:val="20"/>
        </w:rPr>
      </w:pPr>
      <w:r w:rsidRPr="00E26C8E">
        <w:rPr>
          <w:rFonts w:eastAsia="Times New Roman"/>
          <w:szCs w:val="20"/>
        </w:rPr>
        <w:t>•</w:t>
      </w:r>
      <w:r w:rsidRPr="00E26C8E">
        <w:rPr>
          <w:rFonts w:eastAsia="Times New Roman"/>
          <w:szCs w:val="20"/>
        </w:rPr>
        <w:tab/>
        <w:t>Details of relevant land ownership, notices, consents and agreements</w:t>
      </w:r>
    </w:p>
    <w:p w:rsidR="00E26C8E" w:rsidRPr="00E26C8E" w:rsidRDefault="00E26C8E" w:rsidP="00E26C8E">
      <w:pPr>
        <w:ind w:left="567" w:hanging="284"/>
        <w:rPr>
          <w:rFonts w:eastAsia="Times New Roman"/>
          <w:szCs w:val="20"/>
        </w:rPr>
      </w:pPr>
      <w:r w:rsidRPr="00E26C8E">
        <w:rPr>
          <w:rFonts w:eastAsia="Times New Roman"/>
          <w:szCs w:val="20"/>
        </w:rPr>
        <w:t>•</w:t>
      </w:r>
      <w:r w:rsidRPr="00E26C8E">
        <w:rPr>
          <w:rFonts w:eastAsia="Times New Roman"/>
          <w:szCs w:val="20"/>
        </w:rPr>
        <w:tab/>
        <w:t>Declaration of accuracy</w:t>
      </w:r>
    </w:p>
    <w:p w:rsidR="00E26C8E" w:rsidRPr="00E26C8E" w:rsidRDefault="00E26C8E" w:rsidP="00E26C8E">
      <w:pPr>
        <w:ind w:left="567" w:hanging="284"/>
        <w:rPr>
          <w:rFonts w:eastAsia="Times New Roman"/>
          <w:szCs w:val="20"/>
        </w:rPr>
      </w:pPr>
      <w:r w:rsidRPr="00E26C8E">
        <w:rPr>
          <w:rFonts w:eastAsia="Times New Roman"/>
          <w:szCs w:val="20"/>
        </w:rPr>
        <w:t>•</w:t>
      </w:r>
      <w:r w:rsidRPr="00E26C8E">
        <w:rPr>
          <w:rFonts w:eastAsia="Times New Roman"/>
          <w:szCs w:val="20"/>
        </w:rPr>
        <w:tab/>
        <w:t>Applicant(s) details including:</w:t>
      </w:r>
    </w:p>
    <w:p w:rsidR="00E26C8E" w:rsidRPr="00E26C8E" w:rsidRDefault="00E26C8E" w:rsidP="00E26C8E">
      <w:pPr>
        <w:ind w:left="851" w:hanging="284"/>
        <w:rPr>
          <w:rFonts w:eastAsia="Times New Roman"/>
          <w:szCs w:val="20"/>
        </w:rPr>
      </w:pPr>
      <w:r w:rsidRPr="00E26C8E">
        <w:rPr>
          <w:rFonts w:eastAsia="Times New Roman"/>
          <w:szCs w:val="20"/>
        </w:rPr>
        <w:t>◦</w:t>
      </w:r>
      <w:r w:rsidRPr="00E26C8E">
        <w:rPr>
          <w:rFonts w:eastAsia="Times New Roman"/>
          <w:szCs w:val="20"/>
        </w:rPr>
        <w:tab/>
        <w:t>Name of Company and/or Individual</w:t>
      </w:r>
    </w:p>
    <w:p w:rsidR="00E26C8E" w:rsidRPr="00E26C8E" w:rsidRDefault="00E26C8E" w:rsidP="00E26C8E">
      <w:pPr>
        <w:ind w:left="851" w:hanging="284"/>
        <w:rPr>
          <w:rFonts w:eastAsia="Times New Roman"/>
          <w:szCs w:val="20"/>
        </w:rPr>
      </w:pPr>
      <w:r w:rsidRPr="00E26C8E">
        <w:rPr>
          <w:rFonts w:eastAsia="Times New Roman"/>
          <w:szCs w:val="20"/>
        </w:rPr>
        <w:t>◦</w:t>
      </w:r>
      <w:r w:rsidRPr="00E26C8E">
        <w:rPr>
          <w:rFonts w:eastAsia="Times New Roman"/>
          <w:szCs w:val="20"/>
        </w:rPr>
        <w:tab/>
        <w:t>ABN (if applicable)</w:t>
      </w:r>
    </w:p>
    <w:p w:rsidR="00E26C8E" w:rsidRPr="00E26C8E" w:rsidRDefault="00E26C8E" w:rsidP="00E26C8E">
      <w:pPr>
        <w:ind w:left="851" w:hanging="284"/>
        <w:rPr>
          <w:rFonts w:eastAsia="Times New Roman"/>
          <w:szCs w:val="20"/>
        </w:rPr>
      </w:pPr>
      <w:r w:rsidRPr="00E26C8E">
        <w:rPr>
          <w:rFonts w:eastAsia="Times New Roman"/>
          <w:szCs w:val="20"/>
        </w:rPr>
        <w:t>◦</w:t>
      </w:r>
      <w:r w:rsidRPr="00E26C8E">
        <w:rPr>
          <w:rFonts w:eastAsia="Times New Roman"/>
          <w:szCs w:val="20"/>
        </w:rPr>
        <w:tab/>
        <w:t>ACN (if applicable)</w:t>
      </w:r>
    </w:p>
    <w:p w:rsidR="00E26C8E" w:rsidRPr="00E26C8E" w:rsidRDefault="00E26C8E" w:rsidP="00E26C8E">
      <w:pPr>
        <w:ind w:left="851" w:hanging="284"/>
        <w:rPr>
          <w:rFonts w:eastAsia="Times New Roman"/>
          <w:szCs w:val="20"/>
        </w:rPr>
      </w:pPr>
      <w:r w:rsidRPr="00E26C8E">
        <w:rPr>
          <w:rFonts w:eastAsia="Times New Roman"/>
          <w:szCs w:val="20"/>
        </w:rPr>
        <w:t>◦</w:t>
      </w:r>
      <w:r w:rsidRPr="00E26C8E">
        <w:rPr>
          <w:rFonts w:eastAsia="Times New Roman"/>
          <w:szCs w:val="20"/>
        </w:rPr>
        <w:tab/>
        <w:t>Registered address</w:t>
      </w:r>
    </w:p>
    <w:p w:rsidR="00E26C8E" w:rsidRPr="00E26C8E" w:rsidRDefault="00E26C8E" w:rsidP="00E26C8E">
      <w:pPr>
        <w:ind w:left="851" w:hanging="284"/>
        <w:rPr>
          <w:rFonts w:eastAsia="Times New Roman"/>
          <w:szCs w:val="20"/>
        </w:rPr>
      </w:pPr>
      <w:r w:rsidRPr="00E26C8E">
        <w:rPr>
          <w:rFonts w:eastAsia="Times New Roman"/>
          <w:szCs w:val="20"/>
        </w:rPr>
        <w:t>◦</w:t>
      </w:r>
      <w:r w:rsidRPr="00E26C8E">
        <w:rPr>
          <w:rFonts w:eastAsia="Times New Roman"/>
          <w:szCs w:val="20"/>
        </w:rPr>
        <w:tab/>
        <w:t>Applicant contact details including:</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Postal Address</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Email</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Website</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Phone number(s)</w:t>
      </w:r>
    </w:p>
    <w:p w:rsidR="00E26C8E" w:rsidRPr="00E26C8E" w:rsidRDefault="00E26C8E" w:rsidP="00E26C8E">
      <w:pPr>
        <w:ind w:left="851" w:hanging="284"/>
        <w:rPr>
          <w:rFonts w:eastAsia="Times New Roman"/>
          <w:szCs w:val="20"/>
        </w:rPr>
      </w:pPr>
      <w:r w:rsidRPr="00E26C8E">
        <w:rPr>
          <w:rFonts w:eastAsia="Times New Roman"/>
          <w:szCs w:val="20"/>
        </w:rPr>
        <w:t>◦</w:t>
      </w:r>
      <w:r w:rsidRPr="00E26C8E">
        <w:rPr>
          <w:rFonts w:eastAsia="Times New Roman"/>
          <w:szCs w:val="20"/>
        </w:rPr>
        <w:tab/>
        <w:t>Contact Person details including:</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Name</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Position Title</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Email</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Phone number(s)</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Consent to receive electronic correspondence (or otherwise)</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Certification of correctness</w:t>
      </w:r>
    </w:p>
    <w:p w:rsidR="00E26C8E" w:rsidRPr="00E26C8E" w:rsidRDefault="00E26C8E" w:rsidP="00E26C8E">
      <w:pPr>
        <w:ind w:left="142"/>
        <w:rPr>
          <w:rFonts w:eastAsia="Times New Roman"/>
          <w:szCs w:val="20"/>
        </w:rPr>
      </w:pPr>
      <w:r w:rsidRPr="00E26C8E">
        <w:rPr>
          <w:rFonts w:eastAsia="Times New Roman"/>
          <w:szCs w:val="20"/>
        </w:rPr>
        <w:t>In accordance with section 36(1)(a) of the</w:t>
      </w:r>
      <w:r w:rsidRPr="00E26C8E">
        <w:rPr>
          <w:rFonts w:eastAsia="Times New Roman"/>
          <w:i/>
          <w:szCs w:val="20"/>
        </w:rPr>
        <w:t xml:space="preserve"> Mining Act 1971</w:t>
      </w:r>
      <w:r w:rsidRPr="00E26C8E">
        <w:rPr>
          <w:rFonts w:eastAsia="Times New Roman"/>
          <w:szCs w:val="20"/>
        </w:rPr>
        <w:t xml:space="preserve"> an application for a miscellaneous purpose licence ancillary to the recovery of uranium using the In Situ Recovery (ISR) method must be made in the form and contain such information as set out in this Terms of References, unless otherwise specified by the Director of Mines or an authorised officer.</w:t>
      </w:r>
    </w:p>
    <w:p w:rsidR="00E26C8E" w:rsidRPr="00E26C8E" w:rsidRDefault="00E26C8E" w:rsidP="00E26C8E">
      <w:pPr>
        <w:spacing w:after="0" w:line="240" w:lineRule="auto"/>
        <w:jc w:val="left"/>
        <w:rPr>
          <w:rFonts w:eastAsia="Times New Roman"/>
          <w:szCs w:val="20"/>
        </w:rPr>
      </w:pPr>
      <w:r w:rsidRPr="00E26C8E">
        <w:rPr>
          <w:rFonts w:eastAsia="Times New Roman"/>
          <w:szCs w:val="20"/>
        </w:rPr>
        <w:br w:type="page"/>
      </w:r>
    </w:p>
    <w:p w:rsidR="00E26C8E" w:rsidRPr="00E26C8E" w:rsidRDefault="00E26C8E" w:rsidP="00E26C8E">
      <w:pPr>
        <w:ind w:left="142"/>
        <w:rPr>
          <w:rFonts w:eastAsia="Times New Roman"/>
          <w:szCs w:val="20"/>
        </w:rPr>
      </w:pPr>
      <w:r w:rsidRPr="00E26C8E">
        <w:rPr>
          <w:rFonts w:eastAsia="Times New Roman"/>
          <w:szCs w:val="20"/>
        </w:rPr>
        <w:t>For the purposes of section 36(1)(a) of the</w:t>
      </w:r>
      <w:r w:rsidRPr="00E26C8E">
        <w:rPr>
          <w:rFonts w:eastAsia="Times New Roman"/>
          <w:i/>
          <w:szCs w:val="20"/>
        </w:rPr>
        <w:t xml:space="preserve"> Mining Act 1971</w:t>
      </w:r>
      <w:r w:rsidRPr="00E26C8E">
        <w:rPr>
          <w:rFonts w:eastAsia="Times New Roman"/>
          <w:szCs w:val="20"/>
        </w:rPr>
        <w:t>, it is determined that an application for a mining lease must contain the information as follows:</w:t>
      </w:r>
    </w:p>
    <w:p w:rsidR="00E26C8E" w:rsidRPr="00E26C8E" w:rsidRDefault="00E26C8E" w:rsidP="00E26C8E">
      <w:pPr>
        <w:ind w:left="567" w:hanging="284"/>
        <w:rPr>
          <w:rFonts w:eastAsia="Times New Roman"/>
          <w:szCs w:val="20"/>
        </w:rPr>
      </w:pPr>
      <w:r w:rsidRPr="00E26C8E">
        <w:rPr>
          <w:rFonts w:eastAsia="Times New Roman"/>
          <w:szCs w:val="20"/>
        </w:rPr>
        <w:t>•</w:t>
      </w:r>
      <w:r w:rsidRPr="00E26C8E">
        <w:rPr>
          <w:rFonts w:eastAsia="Times New Roman"/>
          <w:szCs w:val="20"/>
        </w:rPr>
        <w:tab/>
        <w:t>Applicant name(s) (company and/or individual and/or related body corporate) and each applicants percentage share in the application</w:t>
      </w:r>
    </w:p>
    <w:p w:rsidR="00E26C8E" w:rsidRPr="00E26C8E" w:rsidRDefault="00E26C8E" w:rsidP="00E26C8E">
      <w:pPr>
        <w:ind w:left="567" w:hanging="284"/>
        <w:rPr>
          <w:rFonts w:eastAsia="Times New Roman"/>
          <w:szCs w:val="20"/>
        </w:rPr>
      </w:pPr>
      <w:r w:rsidRPr="00E26C8E">
        <w:rPr>
          <w:rFonts w:eastAsia="Times New Roman"/>
          <w:szCs w:val="20"/>
        </w:rPr>
        <w:t>•</w:t>
      </w:r>
      <w:r w:rsidRPr="00E26C8E">
        <w:rPr>
          <w:rFonts w:eastAsia="Times New Roman"/>
          <w:szCs w:val="20"/>
        </w:rPr>
        <w:tab/>
        <w:t>Name of project</w:t>
      </w:r>
    </w:p>
    <w:p w:rsidR="00E26C8E" w:rsidRPr="00E26C8E" w:rsidRDefault="00E26C8E" w:rsidP="00E26C8E">
      <w:pPr>
        <w:ind w:left="567" w:hanging="284"/>
        <w:rPr>
          <w:rFonts w:eastAsia="Times New Roman"/>
          <w:szCs w:val="20"/>
        </w:rPr>
      </w:pPr>
      <w:r w:rsidRPr="00E26C8E">
        <w:rPr>
          <w:rFonts w:eastAsia="Times New Roman"/>
          <w:szCs w:val="20"/>
        </w:rPr>
        <w:t>•</w:t>
      </w:r>
      <w:r w:rsidRPr="00E26C8E">
        <w:rPr>
          <w:rFonts w:eastAsia="Times New Roman"/>
          <w:szCs w:val="20"/>
        </w:rPr>
        <w:tab/>
        <w:t>Related applications/mining operations</w:t>
      </w:r>
    </w:p>
    <w:p w:rsidR="00E26C8E" w:rsidRPr="00E26C8E" w:rsidRDefault="00E26C8E" w:rsidP="00E26C8E">
      <w:pPr>
        <w:ind w:left="567" w:hanging="284"/>
        <w:rPr>
          <w:rFonts w:eastAsia="Times New Roman"/>
          <w:szCs w:val="20"/>
        </w:rPr>
      </w:pPr>
      <w:r w:rsidRPr="00E26C8E">
        <w:rPr>
          <w:rFonts w:eastAsia="Times New Roman"/>
          <w:szCs w:val="20"/>
        </w:rPr>
        <w:t>•</w:t>
      </w:r>
      <w:r w:rsidRPr="00E26C8E">
        <w:rPr>
          <w:rFonts w:eastAsia="Times New Roman"/>
          <w:szCs w:val="20"/>
        </w:rPr>
        <w:tab/>
        <w:t>Location of proposed licence including a detailed map/plan (if required)</w:t>
      </w:r>
    </w:p>
    <w:p w:rsidR="00E26C8E" w:rsidRPr="00E26C8E" w:rsidRDefault="00E26C8E" w:rsidP="00E26C8E">
      <w:pPr>
        <w:ind w:left="567" w:hanging="284"/>
        <w:rPr>
          <w:rFonts w:eastAsia="Times New Roman"/>
          <w:szCs w:val="20"/>
        </w:rPr>
      </w:pPr>
      <w:r w:rsidRPr="00E26C8E">
        <w:rPr>
          <w:rFonts w:eastAsia="Times New Roman"/>
          <w:szCs w:val="20"/>
        </w:rPr>
        <w:t>•</w:t>
      </w:r>
      <w:r w:rsidRPr="00E26C8E">
        <w:rPr>
          <w:rFonts w:eastAsia="Times New Roman"/>
          <w:szCs w:val="20"/>
        </w:rPr>
        <w:tab/>
        <w:t>Purpose of proposed licence</w:t>
      </w:r>
    </w:p>
    <w:p w:rsidR="00E26C8E" w:rsidRPr="00E26C8E" w:rsidRDefault="00E26C8E" w:rsidP="00E26C8E">
      <w:pPr>
        <w:ind w:left="567" w:hanging="284"/>
        <w:rPr>
          <w:rFonts w:eastAsia="Times New Roman"/>
          <w:szCs w:val="20"/>
        </w:rPr>
      </w:pPr>
      <w:r w:rsidRPr="00E26C8E">
        <w:rPr>
          <w:rFonts w:eastAsia="Times New Roman"/>
          <w:szCs w:val="20"/>
        </w:rPr>
        <w:t>•</w:t>
      </w:r>
      <w:r w:rsidRPr="00E26C8E">
        <w:rPr>
          <w:rFonts w:eastAsia="Times New Roman"/>
          <w:szCs w:val="20"/>
        </w:rPr>
        <w:tab/>
        <w:t>Pegging details relating to proposed licence area</w:t>
      </w:r>
    </w:p>
    <w:p w:rsidR="00E26C8E" w:rsidRPr="00E26C8E" w:rsidRDefault="00E26C8E" w:rsidP="00E26C8E">
      <w:pPr>
        <w:ind w:left="567" w:hanging="284"/>
        <w:rPr>
          <w:rFonts w:eastAsia="Times New Roman"/>
          <w:szCs w:val="20"/>
        </w:rPr>
      </w:pPr>
      <w:r w:rsidRPr="00E26C8E">
        <w:rPr>
          <w:rFonts w:eastAsia="Times New Roman"/>
          <w:szCs w:val="20"/>
        </w:rPr>
        <w:t>•</w:t>
      </w:r>
      <w:r w:rsidRPr="00E26C8E">
        <w:rPr>
          <w:rFonts w:eastAsia="Times New Roman"/>
          <w:szCs w:val="20"/>
        </w:rPr>
        <w:tab/>
        <w:t>Native title land</w:t>
      </w:r>
    </w:p>
    <w:p w:rsidR="00E26C8E" w:rsidRPr="00E26C8E" w:rsidRDefault="00E26C8E" w:rsidP="00E26C8E">
      <w:pPr>
        <w:ind w:left="567" w:hanging="284"/>
        <w:rPr>
          <w:rFonts w:eastAsia="Times New Roman"/>
          <w:szCs w:val="20"/>
        </w:rPr>
      </w:pPr>
      <w:r w:rsidRPr="00E26C8E">
        <w:rPr>
          <w:rFonts w:eastAsia="Times New Roman"/>
          <w:szCs w:val="20"/>
        </w:rPr>
        <w:t>•</w:t>
      </w:r>
      <w:r w:rsidRPr="00E26C8E">
        <w:rPr>
          <w:rFonts w:eastAsia="Times New Roman"/>
          <w:szCs w:val="20"/>
        </w:rPr>
        <w:tab/>
        <w:t>•</w:t>
      </w:r>
      <w:r w:rsidRPr="00E26C8E">
        <w:rPr>
          <w:rFonts w:eastAsia="Times New Roman"/>
          <w:szCs w:val="20"/>
        </w:rPr>
        <w:tab/>
        <w:t>Details of relevant land ownership, notices, consents and agreements</w:t>
      </w:r>
    </w:p>
    <w:p w:rsidR="00E26C8E" w:rsidRPr="00E26C8E" w:rsidRDefault="00E26C8E" w:rsidP="00E26C8E">
      <w:pPr>
        <w:ind w:left="567" w:hanging="284"/>
        <w:rPr>
          <w:rFonts w:eastAsia="Times New Roman"/>
          <w:szCs w:val="20"/>
        </w:rPr>
      </w:pPr>
      <w:r w:rsidRPr="00E26C8E">
        <w:rPr>
          <w:rFonts w:eastAsia="Times New Roman"/>
          <w:szCs w:val="20"/>
        </w:rPr>
        <w:t>•</w:t>
      </w:r>
      <w:r w:rsidRPr="00E26C8E">
        <w:rPr>
          <w:rFonts w:eastAsia="Times New Roman"/>
          <w:szCs w:val="20"/>
        </w:rPr>
        <w:tab/>
        <w:t>Declaration of accuracy</w:t>
      </w:r>
    </w:p>
    <w:p w:rsidR="00E26C8E" w:rsidRPr="00E26C8E" w:rsidRDefault="00E26C8E" w:rsidP="00E26C8E">
      <w:pPr>
        <w:ind w:left="567" w:hanging="284"/>
        <w:rPr>
          <w:rFonts w:eastAsia="Times New Roman"/>
          <w:szCs w:val="20"/>
        </w:rPr>
      </w:pPr>
      <w:r w:rsidRPr="00E26C8E">
        <w:rPr>
          <w:rFonts w:eastAsia="Times New Roman"/>
          <w:szCs w:val="20"/>
        </w:rPr>
        <w:t>•</w:t>
      </w:r>
      <w:r w:rsidRPr="00E26C8E">
        <w:rPr>
          <w:rFonts w:eastAsia="Times New Roman"/>
          <w:szCs w:val="20"/>
        </w:rPr>
        <w:tab/>
        <w:t>Applicant(s) details including:</w:t>
      </w:r>
    </w:p>
    <w:p w:rsidR="00E26C8E" w:rsidRPr="00E26C8E" w:rsidRDefault="00E26C8E" w:rsidP="00E26C8E">
      <w:pPr>
        <w:ind w:left="851" w:hanging="284"/>
        <w:rPr>
          <w:rFonts w:eastAsia="Times New Roman"/>
          <w:szCs w:val="20"/>
        </w:rPr>
      </w:pPr>
      <w:r w:rsidRPr="00E26C8E">
        <w:rPr>
          <w:rFonts w:eastAsia="Times New Roman"/>
          <w:szCs w:val="20"/>
        </w:rPr>
        <w:t>◦</w:t>
      </w:r>
      <w:r w:rsidRPr="00E26C8E">
        <w:rPr>
          <w:rFonts w:eastAsia="Times New Roman"/>
          <w:szCs w:val="20"/>
        </w:rPr>
        <w:tab/>
        <w:t>Name of Company and/or Individual</w:t>
      </w:r>
    </w:p>
    <w:p w:rsidR="00E26C8E" w:rsidRPr="00E26C8E" w:rsidRDefault="00E26C8E" w:rsidP="00E26C8E">
      <w:pPr>
        <w:ind w:left="851" w:hanging="284"/>
        <w:rPr>
          <w:rFonts w:eastAsia="Times New Roman"/>
          <w:szCs w:val="20"/>
        </w:rPr>
      </w:pPr>
      <w:r w:rsidRPr="00E26C8E">
        <w:rPr>
          <w:rFonts w:eastAsia="Times New Roman"/>
          <w:szCs w:val="20"/>
        </w:rPr>
        <w:t>◦</w:t>
      </w:r>
      <w:r w:rsidRPr="00E26C8E">
        <w:rPr>
          <w:rFonts w:eastAsia="Times New Roman"/>
          <w:szCs w:val="20"/>
        </w:rPr>
        <w:tab/>
        <w:t>ABN (if applicable)</w:t>
      </w:r>
    </w:p>
    <w:p w:rsidR="00E26C8E" w:rsidRPr="00E26C8E" w:rsidRDefault="00E26C8E" w:rsidP="00E26C8E">
      <w:pPr>
        <w:ind w:left="851" w:hanging="284"/>
        <w:rPr>
          <w:rFonts w:eastAsia="Times New Roman"/>
          <w:szCs w:val="20"/>
        </w:rPr>
      </w:pPr>
      <w:r w:rsidRPr="00E26C8E">
        <w:rPr>
          <w:rFonts w:eastAsia="Times New Roman"/>
          <w:szCs w:val="20"/>
        </w:rPr>
        <w:t>◦</w:t>
      </w:r>
      <w:r w:rsidRPr="00E26C8E">
        <w:rPr>
          <w:rFonts w:eastAsia="Times New Roman"/>
          <w:szCs w:val="20"/>
        </w:rPr>
        <w:tab/>
        <w:t>ACN (if applicable)</w:t>
      </w:r>
    </w:p>
    <w:p w:rsidR="00E26C8E" w:rsidRPr="00E26C8E" w:rsidRDefault="00E26C8E" w:rsidP="00E26C8E">
      <w:pPr>
        <w:ind w:left="851" w:hanging="284"/>
        <w:rPr>
          <w:rFonts w:eastAsia="Times New Roman"/>
          <w:szCs w:val="20"/>
        </w:rPr>
      </w:pPr>
      <w:r w:rsidRPr="00E26C8E">
        <w:rPr>
          <w:rFonts w:eastAsia="Times New Roman"/>
          <w:szCs w:val="20"/>
        </w:rPr>
        <w:t>◦</w:t>
      </w:r>
      <w:r w:rsidRPr="00E26C8E">
        <w:rPr>
          <w:rFonts w:eastAsia="Times New Roman"/>
          <w:szCs w:val="20"/>
        </w:rPr>
        <w:tab/>
        <w:t>Registered address</w:t>
      </w:r>
    </w:p>
    <w:p w:rsidR="00E26C8E" w:rsidRPr="00E26C8E" w:rsidRDefault="00E26C8E" w:rsidP="00E26C8E">
      <w:pPr>
        <w:ind w:left="851" w:hanging="284"/>
        <w:rPr>
          <w:rFonts w:eastAsia="Times New Roman"/>
          <w:szCs w:val="20"/>
        </w:rPr>
      </w:pPr>
      <w:r w:rsidRPr="00E26C8E">
        <w:rPr>
          <w:rFonts w:eastAsia="Times New Roman"/>
          <w:szCs w:val="20"/>
        </w:rPr>
        <w:t>◦</w:t>
      </w:r>
      <w:r w:rsidRPr="00E26C8E">
        <w:rPr>
          <w:rFonts w:eastAsia="Times New Roman"/>
          <w:szCs w:val="20"/>
        </w:rPr>
        <w:tab/>
        <w:t>Applicant contact details including:</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Postal Address</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Email</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Website</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Phone number(s)</w:t>
      </w:r>
    </w:p>
    <w:p w:rsidR="00E26C8E" w:rsidRPr="00E26C8E" w:rsidRDefault="00E26C8E" w:rsidP="00E26C8E">
      <w:pPr>
        <w:ind w:left="851" w:hanging="284"/>
        <w:rPr>
          <w:rFonts w:eastAsia="Times New Roman"/>
          <w:szCs w:val="20"/>
        </w:rPr>
      </w:pPr>
      <w:r w:rsidRPr="00E26C8E">
        <w:rPr>
          <w:rFonts w:eastAsia="Times New Roman"/>
          <w:szCs w:val="20"/>
        </w:rPr>
        <w:t>◦</w:t>
      </w:r>
      <w:r w:rsidRPr="00E26C8E">
        <w:rPr>
          <w:rFonts w:eastAsia="Times New Roman"/>
          <w:szCs w:val="20"/>
        </w:rPr>
        <w:tab/>
        <w:t>Contact Person details including:</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Name</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Position Title</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Email</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Phone number(s)</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Consent to receive electronic correspondence (or otherwise)</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Certification of correctness</w:t>
      </w:r>
    </w:p>
    <w:p w:rsidR="00E26C8E" w:rsidRPr="00E26C8E" w:rsidRDefault="00E26C8E" w:rsidP="00E26C8E">
      <w:pPr>
        <w:ind w:left="142"/>
        <w:rPr>
          <w:rFonts w:eastAsia="Times New Roman"/>
          <w:szCs w:val="20"/>
        </w:rPr>
      </w:pPr>
      <w:r w:rsidRPr="00E26C8E">
        <w:rPr>
          <w:rFonts w:eastAsia="Times New Roman"/>
          <w:szCs w:val="20"/>
        </w:rPr>
        <w:t>An application for an ML and/or MPL must in accordance with section 36(1)(a) and 49(1)(a) of the</w:t>
      </w:r>
      <w:r w:rsidRPr="00E26C8E">
        <w:rPr>
          <w:rFonts w:eastAsia="Times New Roman"/>
          <w:i/>
          <w:szCs w:val="20"/>
        </w:rPr>
        <w:t xml:space="preserve"> Mining Act 1971</w:t>
      </w:r>
      <w:r w:rsidRPr="00E26C8E">
        <w:rPr>
          <w:rFonts w:eastAsia="Times New Roman"/>
          <w:szCs w:val="20"/>
        </w:rPr>
        <w:t xml:space="preserve"> be in the following form, unless otherwise specified by the Director of Mines or an authorised officer:</w:t>
      </w:r>
    </w:p>
    <w:p w:rsidR="00E26C8E" w:rsidRPr="00E26C8E" w:rsidRDefault="00E26C8E" w:rsidP="00E26C8E">
      <w:pPr>
        <w:ind w:left="567" w:hanging="284"/>
        <w:rPr>
          <w:rFonts w:eastAsia="Times New Roman"/>
          <w:szCs w:val="20"/>
        </w:rPr>
      </w:pPr>
      <w:r w:rsidRPr="00E26C8E">
        <w:rPr>
          <w:rFonts w:eastAsia="Times New Roman"/>
          <w:szCs w:val="20"/>
        </w:rPr>
        <w:t>•</w:t>
      </w:r>
      <w:r w:rsidRPr="00E26C8E">
        <w:rPr>
          <w:rFonts w:eastAsia="Times New Roman"/>
          <w:szCs w:val="20"/>
        </w:rPr>
        <w:tab/>
        <w:t>an electronic version of the Proposal must be submitted in accordance with regulation 88 of the</w:t>
      </w:r>
      <w:r w:rsidRPr="00E26C8E">
        <w:rPr>
          <w:rFonts w:eastAsia="Times New Roman"/>
          <w:i/>
          <w:szCs w:val="20"/>
        </w:rPr>
        <w:t xml:space="preserve"> Mining Regulations 2020</w:t>
      </w:r>
      <w:r w:rsidRPr="00E26C8E">
        <w:rPr>
          <w:rFonts w:eastAsia="Times New Roman"/>
          <w:szCs w:val="20"/>
        </w:rPr>
        <w:t>; hardcopies must be submitted upon request; the information in all must be identical;</w:t>
      </w:r>
    </w:p>
    <w:p w:rsidR="00E26C8E" w:rsidRPr="00E26C8E" w:rsidRDefault="00E26C8E" w:rsidP="00E26C8E">
      <w:pPr>
        <w:ind w:left="567" w:hanging="284"/>
        <w:rPr>
          <w:rFonts w:eastAsia="Times New Roman"/>
          <w:szCs w:val="20"/>
        </w:rPr>
      </w:pPr>
      <w:r w:rsidRPr="00E26C8E">
        <w:rPr>
          <w:rFonts w:eastAsia="Times New Roman"/>
          <w:szCs w:val="20"/>
        </w:rPr>
        <w:t>•</w:t>
      </w:r>
      <w:r w:rsidRPr="00E26C8E">
        <w:rPr>
          <w:rFonts w:eastAsia="Times New Roman"/>
          <w:szCs w:val="20"/>
        </w:rPr>
        <w:tab/>
        <w:t>each page, plan or other separate sheet of the Proposal must include the mineral claim, retention lease or exploration licence number(s), date of the application submission and sequential page numbering;</w:t>
      </w:r>
    </w:p>
    <w:p w:rsidR="00E26C8E" w:rsidRPr="00E26C8E" w:rsidRDefault="00E26C8E" w:rsidP="00E26C8E">
      <w:pPr>
        <w:ind w:left="567" w:hanging="284"/>
        <w:rPr>
          <w:rFonts w:eastAsia="Times New Roman"/>
          <w:szCs w:val="20"/>
        </w:rPr>
      </w:pPr>
      <w:r w:rsidRPr="00E26C8E">
        <w:rPr>
          <w:rFonts w:eastAsia="Times New Roman"/>
          <w:szCs w:val="20"/>
        </w:rPr>
        <w:t>•</w:t>
      </w:r>
      <w:r w:rsidRPr="00E26C8E">
        <w:rPr>
          <w:rFonts w:eastAsia="Times New Roman"/>
          <w:szCs w:val="20"/>
        </w:rPr>
        <w:tab/>
        <w:t>the electronic version of the Proposal must be submitted in one single Acrobat PDF file or if requested by the Director of Mines or an authorised officer, Microsoft WORD compatible files must be submitted; and</w:t>
      </w:r>
    </w:p>
    <w:p w:rsidR="00E26C8E" w:rsidRPr="00E26C8E" w:rsidRDefault="00E26C8E" w:rsidP="00E26C8E">
      <w:pPr>
        <w:ind w:left="567" w:hanging="284"/>
        <w:rPr>
          <w:rFonts w:eastAsia="Times New Roman"/>
          <w:szCs w:val="20"/>
        </w:rPr>
      </w:pPr>
      <w:r w:rsidRPr="00E26C8E">
        <w:rPr>
          <w:rFonts w:eastAsia="Times New Roman"/>
          <w:szCs w:val="20"/>
        </w:rPr>
        <w:t>•</w:t>
      </w:r>
      <w:r w:rsidRPr="00E26C8E">
        <w:rPr>
          <w:rFonts w:eastAsia="Times New Roman"/>
          <w:szCs w:val="20"/>
        </w:rPr>
        <w:tab/>
        <w:t>all environmental water data relevant to the Proposal is to be provided in electronic tabulated or spreadsheet format.</w:t>
      </w:r>
    </w:p>
    <w:p w:rsidR="00E26C8E" w:rsidRPr="00E26C8E" w:rsidRDefault="00E26C8E" w:rsidP="00E26C8E">
      <w:pPr>
        <w:rPr>
          <w:rFonts w:eastAsia="Times New Roman"/>
          <w:b/>
          <w:szCs w:val="20"/>
        </w:rPr>
      </w:pPr>
      <w:r w:rsidRPr="00E26C8E">
        <w:rPr>
          <w:rFonts w:eastAsia="Times New Roman"/>
          <w:b/>
          <w:szCs w:val="20"/>
        </w:rPr>
        <w:t>PROPOSAL</w:t>
      </w:r>
    </w:p>
    <w:p w:rsidR="00E26C8E" w:rsidRPr="00E26C8E" w:rsidRDefault="00E26C8E" w:rsidP="00E26C8E">
      <w:pPr>
        <w:ind w:left="142"/>
        <w:rPr>
          <w:rFonts w:eastAsia="Times New Roman"/>
          <w:szCs w:val="20"/>
        </w:rPr>
      </w:pPr>
      <w:r w:rsidRPr="00E26C8E">
        <w:rPr>
          <w:rFonts w:eastAsia="Times New Roman"/>
          <w:szCs w:val="20"/>
        </w:rPr>
        <w:t>An application for an ML and/or MPL must be accompanied by a proposal that complies with sections 36 and 49 of the</w:t>
      </w:r>
      <w:r w:rsidRPr="00E26C8E">
        <w:rPr>
          <w:rFonts w:eastAsia="Times New Roman"/>
          <w:i/>
          <w:szCs w:val="20"/>
        </w:rPr>
        <w:t xml:space="preserve"> Mining Act 1971</w:t>
      </w:r>
      <w:r w:rsidRPr="00E26C8E">
        <w:rPr>
          <w:rFonts w:eastAsia="Times New Roman"/>
          <w:szCs w:val="20"/>
        </w:rPr>
        <w:t xml:space="preserve"> and regulations 46 and 47 of the</w:t>
      </w:r>
      <w:r w:rsidRPr="00E26C8E">
        <w:rPr>
          <w:rFonts w:eastAsia="Times New Roman"/>
          <w:i/>
          <w:szCs w:val="20"/>
        </w:rPr>
        <w:t xml:space="preserve"> Mining Regulations 2020</w:t>
      </w:r>
      <w:r w:rsidRPr="00E26C8E">
        <w:rPr>
          <w:rFonts w:eastAsia="Times New Roman"/>
          <w:szCs w:val="20"/>
        </w:rPr>
        <w:t>, and must comply with the following determinations of this Terms of Reference as set out below:</w:t>
      </w:r>
    </w:p>
    <w:p w:rsidR="00E26C8E" w:rsidRPr="00E26C8E" w:rsidRDefault="00E26C8E" w:rsidP="00E26C8E">
      <w:pPr>
        <w:ind w:left="426" w:hanging="284"/>
        <w:rPr>
          <w:rFonts w:eastAsia="Times New Roman"/>
          <w:b/>
          <w:szCs w:val="20"/>
        </w:rPr>
      </w:pPr>
      <w:r w:rsidRPr="00E26C8E">
        <w:rPr>
          <w:rFonts w:eastAsia="Times New Roman"/>
          <w:b/>
          <w:szCs w:val="20"/>
        </w:rPr>
        <w:t>1.</w:t>
      </w:r>
      <w:r w:rsidRPr="00E26C8E">
        <w:rPr>
          <w:rFonts w:eastAsia="Times New Roman"/>
          <w:b/>
          <w:szCs w:val="20"/>
        </w:rPr>
        <w:tab/>
        <w:t>DESCRIPTION OF THE EXISTING ENVIRONMENT</w:t>
      </w:r>
    </w:p>
    <w:p w:rsidR="00E26C8E" w:rsidRPr="00E26C8E" w:rsidRDefault="00E26C8E" w:rsidP="00E26C8E">
      <w:pPr>
        <w:ind w:left="426"/>
        <w:rPr>
          <w:rFonts w:eastAsia="Times New Roman"/>
          <w:szCs w:val="20"/>
        </w:rPr>
      </w:pPr>
      <w:r w:rsidRPr="00E26C8E">
        <w:rPr>
          <w:rFonts w:eastAsia="Times New Roman"/>
          <w:szCs w:val="20"/>
        </w:rPr>
        <w:t>In setting out an assessment of the environmental impacts of the proposed authorised operations in accordance with sections 36(1)(c)(ii)(A) and 49(1)(c)(ii)(A) of the</w:t>
      </w:r>
      <w:r w:rsidRPr="00E26C8E">
        <w:rPr>
          <w:rFonts w:eastAsia="Times New Roman"/>
          <w:i/>
          <w:szCs w:val="20"/>
        </w:rPr>
        <w:t xml:space="preserve"> Mining Act 1971</w:t>
      </w:r>
      <w:r w:rsidRPr="00E26C8E">
        <w:rPr>
          <w:rFonts w:eastAsia="Times New Roman"/>
          <w:szCs w:val="20"/>
        </w:rPr>
        <w:t xml:space="preserve"> and regulation 46(2) of the</w:t>
      </w:r>
      <w:r w:rsidRPr="00E26C8E">
        <w:rPr>
          <w:rFonts w:eastAsia="Times New Roman"/>
          <w:i/>
          <w:szCs w:val="20"/>
        </w:rPr>
        <w:t xml:space="preserve"> Mining Regulations 2020</w:t>
      </w:r>
      <w:r w:rsidRPr="00E26C8E">
        <w:rPr>
          <w:rFonts w:eastAsia="Times New Roman"/>
          <w:szCs w:val="20"/>
        </w:rPr>
        <w:t>, the Minister determines in accordance with regulation 46(7)(e) of the</w:t>
      </w:r>
      <w:r w:rsidRPr="00E26C8E">
        <w:rPr>
          <w:rFonts w:eastAsia="Times New Roman"/>
          <w:i/>
          <w:szCs w:val="20"/>
        </w:rPr>
        <w:t xml:space="preserve"> Mining Regulations 2020</w:t>
      </w:r>
      <w:r w:rsidRPr="00E26C8E">
        <w:rPr>
          <w:rFonts w:eastAsia="Times New Roman"/>
          <w:szCs w:val="20"/>
        </w:rPr>
        <w:t xml:space="preserve"> that a proposal must include a description and assessment of the environment as set out in this Terms of Reference. Each of the elements of the existing environment (as defined in section 6(4) of the</w:t>
      </w:r>
      <w:r w:rsidRPr="00E26C8E">
        <w:rPr>
          <w:rFonts w:eastAsia="Times New Roman"/>
          <w:i/>
          <w:szCs w:val="20"/>
        </w:rPr>
        <w:t xml:space="preserve"> Mining Act 1971</w:t>
      </w:r>
      <w:r w:rsidRPr="00E26C8E">
        <w:rPr>
          <w:rFonts w:eastAsia="Times New Roman"/>
          <w:szCs w:val="20"/>
        </w:rPr>
        <w:t>) listed in clause 1.1- 1.20 must be described only to the extent that they may need to be considered in assessing the potential impacts of the proposed operations. If the element is not likely to be impacted by the operation, a statement to that effect must be included.</w:t>
      </w:r>
    </w:p>
    <w:p w:rsidR="00E26C8E" w:rsidRPr="00E26C8E" w:rsidRDefault="00E26C8E" w:rsidP="00E26C8E">
      <w:pPr>
        <w:ind w:left="851" w:hanging="425"/>
        <w:rPr>
          <w:rFonts w:eastAsia="Times New Roman"/>
          <w:b/>
          <w:szCs w:val="20"/>
        </w:rPr>
      </w:pPr>
      <w:r w:rsidRPr="00E26C8E">
        <w:rPr>
          <w:rFonts w:eastAsia="Times New Roman"/>
          <w:b/>
          <w:szCs w:val="20"/>
        </w:rPr>
        <w:t>1.1</w:t>
      </w:r>
      <w:r w:rsidRPr="00E26C8E">
        <w:rPr>
          <w:rFonts w:eastAsia="Times New Roman"/>
          <w:b/>
          <w:szCs w:val="20"/>
        </w:rPr>
        <w:tab/>
        <w:t>Topography and landscape</w:t>
      </w:r>
    </w:p>
    <w:p w:rsidR="00E26C8E" w:rsidRPr="00E26C8E" w:rsidRDefault="00E26C8E" w:rsidP="00E26C8E">
      <w:pPr>
        <w:ind w:left="851"/>
        <w:rPr>
          <w:rFonts w:eastAsia="Times New Roman"/>
          <w:szCs w:val="20"/>
        </w:rPr>
      </w:pPr>
      <w:r w:rsidRPr="00E26C8E">
        <w:rPr>
          <w:rFonts w:eastAsia="Times New Roman"/>
          <w:szCs w:val="20"/>
        </w:rPr>
        <w:t>Provide a description and map (as per 5.1.1.1) of the topography and landscape, detailing the:</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application area; and</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general surroundings.</w:t>
      </w:r>
    </w:p>
    <w:p w:rsidR="00E26C8E" w:rsidRPr="00E26C8E" w:rsidRDefault="00E26C8E" w:rsidP="00E26C8E">
      <w:pPr>
        <w:ind w:left="851" w:hanging="425"/>
        <w:rPr>
          <w:rFonts w:eastAsia="Times New Roman"/>
          <w:b/>
          <w:szCs w:val="20"/>
        </w:rPr>
      </w:pPr>
      <w:r w:rsidRPr="00E26C8E">
        <w:rPr>
          <w:rFonts w:eastAsia="Times New Roman"/>
          <w:b/>
          <w:szCs w:val="20"/>
        </w:rPr>
        <w:t>1.2</w:t>
      </w:r>
      <w:r w:rsidRPr="00E26C8E">
        <w:rPr>
          <w:rFonts w:eastAsia="Times New Roman"/>
          <w:b/>
          <w:szCs w:val="20"/>
        </w:rPr>
        <w:tab/>
        <w:t>Climate</w:t>
      </w:r>
    </w:p>
    <w:p w:rsidR="00E26C8E" w:rsidRPr="00E26C8E" w:rsidRDefault="00E26C8E" w:rsidP="00E26C8E">
      <w:pPr>
        <w:ind w:left="851"/>
        <w:rPr>
          <w:rFonts w:eastAsia="Times New Roman"/>
          <w:szCs w:val="20"/>
        </w:rPr>
      </w:pPr>
      <w:r w:rsidRPr="00E26C8E">
        <w:rPr>
          <w:rFonts w:eastAsia="Times New Roman"/>
          <w:szCs w:val="20"/>
        </w:rPr>
        <w:t>Provide:</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a summary of rainfall and temperature patterns, evaporation rates, and wind directions and speed;</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an analysis of the variability of annual rainfall based on rainfall records representative of the local area;</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details of the maximum average recurrence interval or annual exceedance probability rainfall event used for design of the project, and the justification for the value selected; and</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an estimate of the Probable Maximum Flood.</w:t>
      </w:r>
    </w:p>
    <w:p w:rsidR="00E26C8E" w:rsidRPr="00E26C8E" w:rsidRDefault="00E26C8E" w:rsidP="00E26C8E">
      <w:pPr>
        <w:ind w:left="851" w:hanging="425"/>
        <w:rPr>
          <w:rFonts w:eastAsia="Times New Roman"/>
          <w:b/>
          <w:szCs w:val="20"/>
        </w:rPr>
      </w:pPr>
      <w:r w:rsidRPr="00E26C8E">
        <w:rPr>
          <w:rFonts w:eastAsia="Times New Roman"/>
          <w:b/>
          <w:szCs w:val="20"/>
        </w:rPr>
        <w:t>1.3</w:t>
      </w:r>
      <w:r w:rsidRPr="00E26C8E">
        <w:rPr>
          <w:rFonts w:eastAsia="Times New Roman"/>
          <w:b/>
          <w:szCs w:val="20"/>
        </w:rPr>
        <w:tab/>
        <w:t>Topsoil and subsoil</w:t>
      </w:r>
    </w:p>
    <w:p w:rsidR="00E26C8E" w:rsidRPr="00E26C8E" w:rsidRDefault="00E26C8E" w:rsidP="00E26C8E">
      <w:pPr>
        <w:ind w:left="851"/>
        <w:rPr>
          <w:rFonts w:eastAsia="Times New Roman"/>
          <w:szCs w:val="20"/>
        </w:rPr>
      </w:pPr>
      <w:r w:rsidRPr="00E26C8E">
        <w:rPr>
          <w:rFonts w:eastAsia="Times New Roman"/>
          <w:szCs w:val="20"/>
        </w:rPr>
        <w:t>Provide:</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a description of the soil profile (type and depth), and the characteristics and productivity of all soils on the application area (show this information on a map as per 5.1.1.2 if there is a variation in soils over the application area); and</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identify any soil characteristics, including (but not limited to) erodibility, acid sulfate, sodic or non-wettable soils, that may require control measures to reduce environmental impacts during operations or rehabilitation.</w:t>
      </w:r>
    </w:p>
    <w:p w:rsidR="00E26C8E" w:rsidRPr="00E26C8E" w:rsidRDefault="00E26C8E" w:rsidP="00E26C8E">
      <w:pPr>
        <w:ind w:left="851" w:hanging="425"/>
        <w:rPr>
          <w:rFonts w:eastAsia="Times New Roman"/>
          <w:b/>
          <w:szCs w:val="20"/>
        </w:rPr>
      </w:pPr>
      <w:r w:rsidRPr="00E26C8E">
        <w:rPr>
          <w:rFonts w:eastAsia="Times New Roman"/>
          <w:b/>
          <w:szCs w:val="20"/>
        </w:rPr>
        <w:t>1.4</w:t>
      </w:r>
      <w:r w:rsidRPr="00E26C8E">
        <w:rPr>
          <w:rFonts w:eastAsia="Times New Roman"/>
          <w:b/>
          <w:szCs w:val="20"/>
        </w:rPr>
        <w:tab/>
        <w:t>Geological Environment</w:t>
      </w:r>
    </w:p>
    <w:p w:rsidR="00E26C8E" w:rsidRPr="00E26C8E" w:rsidRDefault="00E26C8E" w:rsidP="00E26C8E">
      <w:pPr>
        <w:ind w:left="851"/>
        <w:rPr>
          <w:rFonts w:eastAsia="Times New Roman"/>
          <w:szCs w:val="20"/>
        </w:rPr>
      </w:pPr>
      <w:r w:rsidRPr="00E26C8E">
        <w:rPr>
          <w:rFonts w:eastAsia="Times New Roman"/>
          <w:szCs w:val="20"/>
        </w:rPr>
        <w:t>Provide a description of the following as a minimum:</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regional geology;</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local geology within the application area and geological map(s) as per 5.1.1.2, including but not limited to:</w:t>
      </w:r>
    </w:p>
    <w:p w:rsidR="00E26C8E" w:rsidRPr="00E26C8E" w:rsidRDefault="00E26C8E" w:rsidP="00E26C8E">
      <w:pPr>
        <w:ind w:left="1418" w:hanging="284"/>
        <w:rPr>
          <w:rFonts w:eastAsia="Times New Roman"/>
          <w:szCs w:val="20"/>
        </w:rPr>
      </w:pPr>
      <w:r w:rsidRPr="00E26C8E">
        <w:rPr>
          <w:rFonts w:eastAsia="Times New Roman"/>
          <w:szCs w:val="20"/>
        </w:rPr>
        <w:t>◦</w:t>
      </w:r>
      <w:r w:rsidRPr="00E26C8E">
        <w:rPr>
          <w:rFonts w:eastAsia="Times New Roman"/>
          <w:szCs w:val="20"/>
        </w:rPr>
        <w:tab/>
        <w:t>location, dimensions and orientation (dip and strike), and extent of the mineral resource and ore reserve;</w:t>
      </w:r>
    </w:p>
    <w:p w:rsidR="00E26C8E" w:rsidRPr="00E26C8E" w:rsidRDefault="00E26C8E" w:rsidP="00E26C8E">
      <w:pPr>
        <w:ind w:left="1418" w:hanging="284"/>
        <w:rPr>
          <w:rFonts w:eastAsia="Times New Roman"/>
          <w:szCs w:val="20"/>
        </w:rPr>
      </w:pPr>
      <w:r w:rsidRPr="00E26C8E">
        <w:rPr>
          <w:rFonts w:eastAsia="Times New Roman"/>
          <w:szCs w:val="20"/>
        </w:rPr>
        <w:t>◦</w:t>
      </w:r>
      <w:r w:rsidRPr="00E26C8E">
        <w:rPr>
          <w:rFonts w:eastAsia="Times New Roman"/>
          <w:szCs w:val="20"/>
        </w:rPr>
        <w:tab/>
        <w:t>location and composition of all rock types and rock units that are proposed to be disturbed;</w:t>
      </w:r>
    </w:p>
    <w:p w:rsidR="00E26C8E" w:rsidRPr="00E26C8E" w:rsidRDefault="00E26C8E" w:rsidP="00E26C8E">
      <w:pPr>
        <w:ind w:left="1418" w:hanging="284"/>
        <w:rPr>
          <w:rFonts w:eastAsia="Times New Roman"/>
          <w:szCs w:val="20"/>
        </w:rPr>
      </w:pPr>
      <w:r w:rsidRPr="00E26C8E">
        <w:rPr>
          <w:rFonts w:eastAsia="Times New Roman"/>
          <w:szCs w:val="20"/>
        </w:rPr>
        <w:t>◦</w:t>
      </w:r>
      <w:r w:rsidRPr="00E26C8E">
        <w:rPr>
          <w:rFonts w:eastAsia="Times New Roman"/>
          <w:szCs w:val="20"/>
        </w:rPr>
        <w:tab/>
        <w:t>interpretation of the stratigraphy of the rocks hosting the deposit as well as any overlying and adjacent rock units; and</w:t>
      </w:r>
    </w:p>
    <w:p w:rsidR="00E26C8E" w:rsidRPr="00E26C8E" w:rsidRDefault="00E26C8E" w:rsidP="00E26C8E">
      <w:pPr>
        <w:ind w:left="1418" w:hanging="284"/>
        <w:rPr>
          <w:rFonts w:eastAsia="Times New Roman"/>
          <w:szCs w:val="20"/>
        </w:rPr>
      </w:pPr>
      <w:r w:rsidRPr="00E26C8E">
        <w:rPr>
          <w:rFonts w:eastAsia="Times New Roman"/>
          <w:szCs w:val="20"/>
        </w:rPr>
        <w:t>◦</w:t>
      </w:r>
      <w:r w:rsidRPr="00E26C8E">
        <w:rPr>
          <w:rFonts w:eastAsia="Times New Roman"/>
          <w:szCs w:val="20"/>
        </w:rPr>
        <w:tab/>
        <w:t>an indication of the potential for extension to the orebody;</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representative cross-sections and long section (as per 5.2.1.1) of the geology of the application area; and</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the exploration data on which the geological interpretation was based on.</w:t>
      </w:r>
    </w:p>
    <w:p w:rsidR="00E26C8E" w:rsidRPr="00E26C8E" w:rsidRDefault="00E26C8E" w:rsidP="00E26C8E">
      <w:pPr>
        <w:ind w:left="851" w:hanging="425"/>
        <w:rPr>
          <w:rFonts w:eastAsia="Times New Roman"/>
          <w:b/>
          <w:szCs w:val="20"/>
        </w:rPr>
      </w:pPr>
      <w:r w:rsidRPr="00E26C8E">
        <w:rPr>
          <w:rFonts w:eastAsia="Times New Roman"/>
          <w:b/>
          <w:szCs w:val="20"/>
        </w:rPr>
        <w:t>1.5</w:t>
      </w:r>
      <w:r w:rsidRPr="00E26C8E">
        <w:rPr>
          <w:rFonts w:eastAsia="Times New Roman"/>
          <w:b/>
          <w:szCs w:val="20"/>
        </w:rPr>
        <w:tab/>
        <w:t>Geohazards</w:t>
      </w:r>
    </w:p>
    <w:p w:rsidR="00E26C8E" w:rsidRPr="00E26C8E" w:rsidRDefault="00E26C8E" w:rsidP="00E26C8E">
      <w:pPr>
        <w:ind w:left="851"/>
        <w:rPr>
          <w:rFonts w:eastAsia="Times New Roman"/>
          <w:szCs w:val="20"/>
        </w:rPr>
      </w:pPr>
      <w:r w:rsidRPr="00E26C8E">
        <w:rPr>
          <w:rFonts w:eastAsia="Times New Roman"/>
          <w:szCs w:val="20"/>
        </w:rPr>
        <w:t>In addition to the radioactive minerals to be mined, provide an assessment of the potential for any of the following natural geohazards to be present in the application area:</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structural instability, including slips, interpreted faults (with a discussion on supporting information), or geological unit boundaries; and</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major seismic events (based on historical data).</w:t>
      </w:r>
    </w:p>
    <w:p w:rsidR="00E26C8E" w:rsidRPr="00E26C8E" w:rsidRDefault="00E26C8E" w:rsidP="00E26C8E">
      <w:pPr>
        <w:ind w:left="851" w:hanging="425"/>
        <w:rPr>
          <w:rFonts w:eastAsia="Times New Roman"/>
          <w:b/>
          <w:szCs w:val="20"/>
        </w:rPr>
      </w:pPr>
      <w:r w:rsidRPr="00E26C8E">
        <w:rPr>
          <w:rFonts w:eastAsia="Times New Roman"/>
          <w:b/>
          <w:szCs w:val="20"/>
        </w:rPr>
        <w:t>1.6</w:t>
      </w:r>
      <w:r w:rsidRPr="00E26C8E">
        <w:rPr>
          <w:rFonts w:eastAsia="Times New Roman"/>
          <w:b/>
          <w:szCs w:val="20"/>
        </w:rPr>
        <w:tab/>
        <w:t>Groundwater</w:t>
      </w:r>
    </w:p>
    <w:p w:rsidR="00E26C8E" w:rsidRPr="00E26C8E" w:rsidRDefault="00E26C8E" w:rsidP="00E26C8E">
      <w:pPr>
        <w:ind w:left="851"/>
        <w:rPr>
          <w:rFonts w:eastAsia="Times New Roman"/>
          <w:szCs w:val="20"/>
        </w:rPr>
      </w:pPr>
      <w:r w:rsidRPr="00E26C8E">
        <w:rPr>
          <w:rFonts w:eastAsia="Times New Roman"/>
          <w:szCs w:val="20"/>
        </w:rPr>
        <w:t>Provide:</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 xml:space="preserve">a statement describing if the application area is within an area where the water resources are prescribed under the </w:t>
      </w:r>
      <w:r w:rsidRPr="00E26C8E">
        <w:rPr>
          <w:rFonts w:eastAsia="Times New Roman"/>
          <w:i/>
          <w:szCs w:val="20"/>
        </w:rPr>
        <w:t>Landscape South Australia Act 2019</w:t>
      </w:r>
      <w:r w:rsidRPr="00E26C8E">
        <w:rPr>
          <w:rFonts w:eastAsia="Times New Roman"/>
          <w:szCs w:val="20"/>
        </w:rPr>
        <w:t xml:space="preserve"> and details on the current availability of groundwater resources within the prescribed area;</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a description of the local and regional hydrogeology, detailing both the stratigraphy and hydrostratigraphy;</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a detailed baseline description of the groundwater characteristics and flow dynamics for aquifers within the application area which includes:</w:t>
      </w:r>
    </w:p>
    <w:p w:rsidR="00E26C8E" w:rsidRPr="00E26C8E" w:rsidRDefault="00E26C8E" w:rsidP="00E26C8E">
      <w:pPr>
        <w:ind w:left="1418" w:hanging="284"/>
        <w:rPr>
          <w:rFonts w:eastAsia="Times New Roman"/>
          <w:szCs w:val="20"/>
        </w:rPr>
      </w:pPr>
      <w:r w:rsidRPr="00E26C8E">
        <w:rPr>
          <w:rFonts w:eastAsia="Times New Roman"/>
          <w:szCs w:val="20"/>
        </w:rPr>
        <w:t>◦</w:t>
      </w:r>
      <w:r w:rsidRPr="00E26C8E">
        <w:rPr>
          <w:rFonts w:eastAsia="Times New Roman"/>
          <w:szCs w:val="20"/>
        </w:rPr>
        <w:tab/>
        <w:t>static water levels and groundwater heads/groundwater elevations, including seasonal fluctuations for each aquifer;</w:t>
      </w:r>
    </w:p>
    <w:p w:rsidR="00E26C8E" w:rsidRPr="00E26C8E" w:rsidRDefault="00E26C8E" w:rsidP="00E26C8E">
      <w:pPr>
        <w:ind w:left="1418" w:hanging="284"/>
        <w:rPr>
          <w:rFonts w:eastAsia="Times New Roman"/>
          <w:szCs w:val="20"/>
        </w:rPr>
      </w:pPr>
      <w:r w:rsidRPr="00E26C8E">
        <w:rPr>
          <w:rFonts w:eastAsia="Times New Roman"/>
          <w:szCs w:val="20"/>
        </w:rPr>
        <w:t>◦</w:t>
      </w:r>
      <w:r w:rsidRPr="00E26C8E">
        <w:rPr>
          <w:rFonts w:eastAsia="Times New Roman"/>
          <w:szCs w:val="20"/>
        </w:rPr>
        <w:tab/>
        <w:t>baseline groundwater hydrochemistry and mineralogy, including any seasonal fluctuations and spatial variability for each aquifer;</w:t>
      </w:r>
    </w:p>
    <w:p w:rsidR="00E26C8E" w:rsidRPr="00E26C8E" w:rsidRDefault="00E26C8E" w:rsidP="00E26C8E">
      <w:pPr>
        <w:ind w:left="1418" w:hanging="284"/>
        <w:rPr>
          <w:rFonts w:eastAsia="Times New Roman"/>
          <w:szCs w:val="20"/>
        </w:rPr>
      </w:pPr>
      <w:r w:rsidRPr="00E26C8E">
        <w:rPr>
          <w:rFonts w:eastAsia="Times New Roman"/>
          <w:szCs w:val="20"/>
        </w:rPr>
        <w:t>◦</w:t>
      </w:r>
      <w:r w:rsidRPr="00E26C8E">
        <w:rPr>
          <w:rFonts w:eastAsia="Times New Roman"/>
          <w:szCs w:val="20"/>
        </w:rPr>
        <w:tab/>
        <w:t>aquifer properties including hydraulic conductivity, transmissivity, specific yield, storage coefficient, total porosity, effective porosity and aquifer thickness;</w:t>
      </w:r>
    </w:p>
    <w:p w:rsidR="00E26C8E" w:rsidRPr="00E26C8E" w:rsidRDefault="00E26C8E" w:rsidP="00E26C8E">
      <w:pPr>
        <w:ind w:left="1418" w:hanging="284"/>
        <w:rPr>
          <w:rFonts w:eastAsia="Times New Roman"/>
          <w:szCs w:val="20"/>
        </w:rPr>
      </w:pPr>
      <w:r w:rsidRPr="00E26C8E">
        <w:rPr>
          <w:rFonts w:eastAsia="Times New Roman"/>
          <w:szCs w:val="20"/>
        </w:rPr>
        <w:t>◦</w:t>
      </w:r>
      <w:r w:rsidRPr="00E26C8E">
        <w:rPr>
          <w:rFonts w:eastAsia="Times New Roman"/>
          <w:szCs w:val="20"/>
        </w:rPr>
        <w:tab/>
        <w:t>recharge and discharge mechanisms,</w:t>
      </w:r>
    </w:p>
    <w:p w:rsidR="00E26C8E" w:rsidRPr="00E26C8E" w:rsidRDefault="00E26C8E" w:rsidP="00E26C8E">
      <w:pPr>
        <w:ind w:left="1418" w:hanging="284"/>
        <w:rPr>
          <w:rFonts w:eastAsia="Times New Roman"/>
          <w:szCs w:val="20"/>
        </w:rPr>
      </w:pPr>
      <w:r w:rsidRPr="00E26C8E">
        <w:rPr>
          <w:rFonts w:eastAsia="Times New Roman"/>
          <w:szCs w:val="20"/>
        </w:rPr>
        <w:t>◦</w:t>
      </w:r>
      <w:r w:rsidRPr="00E26C8E">
        <w:rPr>
          <w:rFonts w:eastAsia="Times New Roman"/>
          <w:szCs w:val="20"/>
        </w:rPr>
        <w:tab/>
        <w:t>hydrogeological characteristics of confining strata, including hydraulic conductivity and thickness;</w:t>
      </w:r>
    </w:p>
    <w:p w:rsidR="00E26C8E" w:rsidRPr="00E26C8E" w:rsidRDefault="00E26C8E" w:rsidP="00E26C8E">
      <w:pPr>
        <w:ind w:left="1418" w:hanging="284"/>
        <w:rPr>
          <w:rFonts w:eastAsia="Times New Roman"/>
          <w:szCs w:val="20"/>
        </w:rPr>
      </w:pPr>
      <w:r w:rsidRPr="00E26C8E">
        <w:rPr>
          <w:rFonts w:eastAsia="Times New Roman"/>
          <w:szCs w:val="20"/>
        </w:rPr>
        <w:t>◦</w:t>
      </w:r>
      <w:r w:rsidRPr="00E26C8E">
        <w:rPr>
          <w:rFonts w:eastAsia="Times New Roman"/>
          <w:szCs w:val="20"/>
        </w:rPr>
        <w:tab/>
        <w:t>connectivity between the proposed mining and disposal aquifers and lateral, overlying or underlying aquifers and surface water;</w:t>
      </w:r>
    </w:p>
    <w:p w:rsidR="00E26C8E" w:rsidRPr="00E26C8E" w:rsidRDefault="00E26C8E" w:rsidP="00E26C8E">
      <w:pPr>
        <w:ind w:left="1418" w:hanging="284"/>
        <w:rPr>
          <w:rFonts w:eastAsia="Times New Roman"/>
          <w:szCs w:val="20"/>
        </w:rPr>
      </w:pPr>
      <w:r w:rsidRPr="00E26C8E">
        <w:rPr>
          <w:rFonts w:eastAsia="Times New Roman"/>
          <w:szCs w:val="20"/>
        </w:rPr>
        <w:t>◦</w:t>
      </w:r>
      <w:r w:rsidRPr="00E26C8E">
        <w:rPr>
          <w:rFonts w:eastAsia="Times New Roman"/>
          <w:szCs w:val="20"/>
        </w:rPr>
        <w:tab/>
        <w:t>conceptualisation of the hydrogeology: a summary of all above and a description of the hydrogeological setting considered important for impact assessment; and</w:t>
      </w:r>
    </w:p>
    <w:p w:rsidR="00E26C8E" w:rsidRPr="00E26C8E" w:rsidRDefault="00E26C8E" w:rsidP="00E26C8E">
      <w:pPr>
        <w:ind w:left="1418" w:hanging="284"/>
        <w:rPr>
          <w:rFonts w:eastAsia="Times New Roman"/>
          <w:szCs w:val="20"/>
        </w:rPr>
      </w:pPr>
      <w:r w:rsidRPr="00E26C8E">
        <w:rPr>
          <w:rFonts w:eastAsia="Times New Roman"/>
          <w:szCs w:val="20"/>
        </w:rPr>
        <w:t>◦</w:t>
      </w:r>
      <w:r w:rsidRPr="00E26C8E">
        <w:rPr>
          <w:rFonts w:eastAsia="Times New Roman"/>
          <w:szCs w:val="20"/>
        </w:rPr>
        <w:tab/>
        <w:t>a preliminary numerical model of groundwater flow (and contaminant transport model, if applicable), based on the conceptual hydrogeology.</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local and regional potentiometric surface/groundwater elevation map(s) (as per 5.1.1.3) for each aquifer within the application area;</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cross-section(s) (as per 5.2.1.2) of the hydrostratigraphy;</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the environmental value of each aquifer determined according to the most recent version of the Environment Protection (Water Quality) Policy 2015 and the Australian and New Zealand guidelines for fresh and marine water quality (National Water Quality Management Strategy, Australian Government 2018);</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a description of the existence, location, condition and value of all aquatic, terrestrial and subterranean Groundwater Dependent Ecosystems (GDEs) within the application area and within and immediately surrounding the extent of predicted hydrogeological impact of the proposed mine operations; and</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an assessment of any current or historical use of local groundwater by the landowner(s) and other users which includes a baseline survey of bores, including depth to groundwater, groundwater quality, bore construction details, status and purpose and collar/ground elevations.</w:t>
      </w:r>
    </w:p>
    <w:p w:rsidR="00E26C8E" w:rsidRPr="00E26C8E" w:rsidRDefault="00E26C8E" w:rsidP="00E26C8E">
      <w:pPr>
        <w:ind w:left="851" w:hanging="425"/>
        <w:rPr>
          <w:rFonts w:eastAsia="Times New Roman"/>
          <w:b/>
          <w:szCs w:val="20"/>
        </w:rPr>
      </w:pPr>
      <w:r w:rsidRPr="00E26C8E">
        <w:rPr>
          <w:rFonts w:eastAsia="Times New Roman"/>
          <w:b/>
          <w:szCs w:val="20"/>
        </w:rPr>
        <w:t>1.7</w:t>
      </w:r>
      <w:r w:rsidRPr="00E26C8E">
        <w:rPr>
          <w:rFonts w:eastAsia="Times New Roman"/>
          <w:b/>
          <w:szCs w:val="20"/>
        </w:rPr>
        <w:tab/>
        <w:t>Surface water</w:t>
      </w:r>
    </w:p>
    <w:p w:rsidR="00E26C8E" w:rsidRPr="00E26C8E" w:rsidRDefault="00E26C8E" w:rsidP="00E26C8E">
      <w:pPr>
        <w:ind w:left="851"/>
        <w:rPr>
          <w:rFonts w:eastAsia="Times New Roman"/>
          <w:szCs w:val="20"/>
        </w:rPr>
      </w:pPr>
      <w:r w:rsidRPr="00E26C8E">
        <w:rPr>
          <w:rFonts w:eastAsia="Times New Roman"/>
          <w:szCs w:val="20"/>
        </w:rPr>
        <w:t>Provide a topographic map (as per 5.1.1.1) and description of the current drainage patterns for the application area and water catchment including:</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location of watercourses, drains, dams and wetlands;</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surface water catchment boundaries;</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direction of drainage and discharge from the application area;</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 xml:space="preserve">a statement describing if the application area is within an area where the surface water resources are prescribed under the </w:t>
      </w:r>
      <w:r w:rsidRPr="00E26C8E">
        <w:rPr>
          <w:rFonts w:eastAsia="Times New Roman"/>
          <w:i/>
          <w:szCs w:val="20"/>
        </w:rPr>
        <w:t>Landscapes Act SA 2019</w:t>
      </w:r>
      <w:r w:rsidRPr="00E26C8E">
        <w:rPr>
          <w:rFonts w:eastAsia="Times New Roman"/>
          <w:szCs w:val="20"/>
        </w:rPr>
        <w:t>, and provide details on the current availability of surface water resources within the prescribed area;</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 xml:space="preserve">a statement if the application area is within a water protection area including areas under the </w:t>
      </w:r>
      <w:r w:rsidRPr="00E26C8E">
        <w:rPr>
          <w:rFonts w:eastAsia="Times New Roman"/>
          <w:i/>
          <w:szCs w:val="20"/>
        </w:rPr>
        <w:t>River Murray Act 2003</w:t>
      </w:r>
      <w:r w:rsidRPr="00E26C8E">
        <w:rPr>
          <w:rFonts w:eastAsia="Times New Roman"/>
          <w:szCs w:val="20"/>
        </w:rPr>
        <w:t>;</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a statement as to whether the application falls within the Murray Darling Basin; and</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groundwater—surface water interactions, including a description of, or quantitative estimate of fluxes between surface and groundwater resources.</w:t>
      </w:r>
    </w:p>
    <w:p w:rsidR="00E26C8E" w:rsidRPr="00E26C8E" w:rsidRDefault="00E26C8E" w:rsidP="00E26C8E">
      <w:pPr>
        <w:ind w:left="851"/>
        <w:rPr>
          <w:rFonts w:eastAsia="Times New Roman"/>
          <w:szCs w:val="20"/>
        </w:rPr>
      </w:pPr>
      <w:r w:rsidRPr="00E26C8E">
        <w:rPr>
          <w:rFonts w:eastAsia="Times New Roman"/>
          <w:szCs w:val="20"/>
        </w:rPr>
        <w:t>Provide water quality data for identified watercourses, where there is potential for discharge into that watercourse from the proposed operation (whether intentional or not). Should identified watercourses be ephemeral, and it is not possible to collect water samples, provide a characterisation of sediments sampled from the watercourse bed upstream and downstream of the application area.</w:t>
      </w:r>
    </w:p>
    <w:p w:rsidR="00E26C8E" w:rsidRPr="00E26C8E" w:rsidRDefault="00E26C8E" w:rsidP="00E26C8E">
      <w:pPr>
        <w:ind w:left="851"/>
        <w:rPr>
          <w:rFonts w:eastAsia="Times New Roman"/>
          <w:szCs w:val="20"/>
        </w:rPr>
      </w:pPr>
      <w:r w:rsidRPr="00E26C8E">
        <w:rPr>
          <w:rFonts w:eastAsia="Times New Roman"/>
          <w:szCs w:val="20"/>
        </w:rPr>
        <w:t>If there is potential for changing a flow regime (timing, duration and flow volume) or discharge into these watercourses from the proposed operations, an assessment of the use of this water by the landowner, downstream users and water dependent ecosystems must be included.</w:t>
      </w:r>
    </w:p>
    <w:p w:rsidR="00E26C8E" w:rsidRPr="00E26C8E" w:rsidRDefault="00E26C8E" w:rsidP="00E26C8E">
      <w:pPr>
        <w:ind w:left="851" w:hanging="425"/>
        <w:rPr>
          <w:rFonts w:eastAsia="Times New Roman"/>
          <w:b/>
          <w:szCs w:val="20"/>
        </w:rPr>
      </w:pPr>
      <w:r w:rsidRPr="00E26C8E">
        <w:rPr>
          <w:rFonts w:eastAsia="Times New Roman"/>
          <w:b/>
          <w:szCs w:val="20"/>
        </w:rPr>
        <w:t>1.8</w:t>
      </w:r>
      <w:r w:rsidRPr="00E26C8E">
        <w:rPr>
          <w:rFonts w:eastAsia="Times New Roman"/>
          <w:b/>
          <w:szCs w:val="20"/>
        </w:rPr>
        <w:tab/>
        <w:t>Vegetation, weeds and plant pathogens</w:t>
      </w:r>
    </w:p>
    <w:p w:rsidR="00E26C8E" w:rsidRPr="00E26C8E" w:rsidRDefault="00E26C8E" w:rsidP="00E26C8E">
      <w:pPr>
        <w:ind w:left="851"/>
        <w:rPr>
          <w:rFonts w:eastAsia="Times New Roman"/>
          <w:szCs w:val="20"/>
        </w:rPr>
      </w:pPr>
      <w:r w:rsidRPr="00E26C8E">
        <w:rPr>
          <w:rFonts w:eastAsia="Times New Roman"/>
          <w:szCs w:val="20"/>
        </w:rPr>
        <w:t>Provide:</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a description of the existing flora (native and introduced) in the application area and surroundings, and display on a map (as per 5.1.1.1);</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the State conservation status and habitat value of native vegetation present in the application area;</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 xml:space="preserve">a description of the presence of </w:t>
      </w:r>
      <w:r w:rsidRPr="00E26C8E">
        <w:rPr>
          <w:rFonts w:eastAsia="Times New Roman"/>
          <w:i/>
          <w:szCs w:val="20"/>
        </w:rPr>
        <w:t>Commonwealth Environment Protection and Biodiversity Conservation Act 1999</w:t>
      </w:r>
      <w:r w:rsidRPr="00E26C8E">
        <w:rPr>
          <w:rFonts w:eastAsia="Times New Roman"/>
          <w:szCs w:val="20"/>
        </w:rPr>
        <w:t>, listed species and ecological communities;</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a description of the extent the application area and adjoining land is affected or potentially affected by pathogens and declared weeds; and</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if known, the history of land use to identify if the existing vegetation is the result of deliberate cultivation or natural regrowth arising from previous clearance.</w:t>
      </w:r>
    </w:p>
    <w:p w:rsidR="00E26C8E" w:rsidRPr="00E26C8E" w:rsidRDefault="00E26C8E" w:rsidP="00E26C8E">
      <w:pPr>
        <w:ind w:left="851" w:hanging="425"/>
        <w:rPr>
          <w:rFonts w:eastAsia="Times New Roman"/>
          <w:b/>
          <w:szCs w:val="20"/>
        </w:rPr>
      </w:pPr>
      <w:r w:rsidRPr="00E26C8E">
        <w:rPr>
          <w:rFonts w:eastAsia="Times New Roman"/>
          <w:b/>
          <w:szCs w:val="20"/>
        </w:rPr>
        <w:t>1.9</w:t>
      </w:r>
      <w:r w:rsidRPr="00E26C8E">
        <w:rPr>
          <w:rFonts w:eastAsia="Times New Roman"/>
          <w:b/>
          <w:szCs w:val="20"/>
        </w:rPr>
        <w:tab/>
        <w:t>Fauna</w:t>
      </w:r>
    </w:p>
    <w:p w:rsidR="00E26C8E" w:rsidRPr="00E26C8E" w:rsidRDefault="00E26C8E" w:rsidP="00E26C8E">
      <w:pPr>
        <w:ind w:left="851"/>
        <w:rPr>
          <w:rFonts w:eastAsia="Times New Roman"/>
          <w:szCs w:val="20"/>
        </w:rPr>
      </w:pPr>
      <w:r w:rsidRPr="00E26C8E">
        <w:rPr>
          <w:rFonts w:eastAsia="Times New Roman"/>
          <w:szCs w:val="20"/>
        </w:rPr>
        <w:t>Describe the native and feral fauna that may be present in the application area noting State or Commonwealth conservation status of all species.</w:t>
      </w:r>
    </w:p>
    <w:p w:rsidR="00E26C8E" w:rsidRPr="00E26C8E" w:rsidRDefault="00E26C8E" w:rsidP="00E26C8E">
      <w:pPr>
        <w:ind w:left="851" w:hanging="425"/>
        <w:rPr>
          <w:rFonts w:eastAsia="Times New Roman"/>
          <w:b/>
          <w:szCs w:val="20"/>
        </w:rPr>
      </w:pPr>
      <w:r w:rsidRPr="00E26C8E">
        <w:rPr>
          <w:rFonts w:eastAsia="Times New Roman"/>
          <w:b/>
          <w:szCs w:val="20"/>
        </w:rPr>
        <w:t>1.10</w:t>
      </w:r>
      <w:r w:rsidRPr="00E26C8E">
        <w:rPr>
          <w:rFonts w:eastAsia="Times New Roman"/>
          <w:b/>
          <w:szCs w:val="20"/>
        </w:rPr>
        <w:tab/>
        <w:t>Local community</w:t>
      </w:r>
    </w:p>
    <w:p w:rsidR="00E26C8E" w:rsidRPr="00E26C8E" w:rsidRDefault="00E26C8E" w:rsidP="00E26C8E">
      <w:pPr>
        <w:ind w:left="851"/>
        <w:rPr>
          <w:rFonts w:eastAsia="Times New Roman"/>
          <w:szCs w:val="20"/>
        </w:rPr>
      </w:pPr>
      <w:r w:rsidRPr="00E26C8E">
        <w:rPr>
          <w:rFonts w:eastAsia="Times New Roman"/>
          <w:szCs w:val="20"/>
        </w:rPr>
        <w:t>Provide:</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a description of the local population, the economy, services and employment; and</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details of nearest town or urban areas, with a summary of the demographics of the local population.</w:t>
      </w:r>
    </w:p>
    <w:p w:rsidR="00E26C8E" w:rsidRPr="00E26C8E" w:rsidRDefault="00E26C8E" w:rsidP="00E26C8E">
      <w:pPr>
        <w:ind w:left="851" w:hanging="425"/>
        <w:rPr>
          <w:rFonts w:eastAsia="Times New Roman"/>
          <w:b/>
          <w:szCs w:val="20"/>
        </w:rPr>
      </w:pPr>
      <w:r w:rsidRPr="00E26C8E">
        <w:rPr>
          <w:rFonts w:eastAsia="Times New Roman"/>
          <w:b/>
          <w:szCs w:val="20"/>
        </w:rPr>
        <w:t>1.11</w:t>
      </w:r>
      <w:r w:rsidRPr="00E26C8E">
        <w:rPr>
          <w:rFonts w:eastAsia="Times New Roman"/>
          <w:b/>
          <w:szCs w:val="20"/>
        </w:rPr>
        <w:tab/>
        <w:t>Landowners and land use</w:t>
      </w:r>
    </w:p>
    <w:p w:rsidR="00E26C8E" w:rsidRPr="00E26C8E" w:rsidRDefault="00E26C8E" w:rsidP="00E26C8E">
      <w:pPr>
        <w:ind w:left="851"/>
        <w:rPr>
          <w:rFonts w:eastAsia="Times New Roman"/>
          <w:szCs w:val="20"/>
        </w:rPr>
      </w:pPr>
      <w:r w:rsidRPr="00E26C8E">
        <w:rPr>
          <w:rFonts w:eastAsia="Times New Roman"/>
          <w:szCs w:val="20"/>
        </w:rPr>
        <w:t>Provide a description of:</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land ownership for all titles within and adjacent to the application area;</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land use (historical and current) for the application area and the surrounding areas;</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the zoning as defined by the Planning and Design Code or relevant council development plans;</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policies relevant to the application area, including region or council wide, zone specific and sub areas within a zone;</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known plans for potential future land use changes by other parties; and</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other interests or restrictions on the application area, including:</w:t>
      </w:r>
    </w:p>
    <w:p w:rsidR="00E26C8E" w:rsidRPr="00E26C8E" w:rsidRDefault="00E26C8E" w:rsidP="00E26C8E">
      <w:pPr>
        <w:ind w:left="1418" w:hanging="284"/>
        <w:rPr>
          <w:rFonts w:eastAsia="Times New Roman"/>
          <w:szCs w:val="20"/>
        </w:rPr>
      </w:pPr>
      <w:r w:rsidRPr="00E26C8E">
        <w:rPr>
          <w:rFonts w:eastAsia="Times New Roman"/>
          <w:szCs w:val="20"/>
        </w:rPr>
        <w:t>◦</w:t>
      </w:r>
      <w:r w:rsidRPr="00E26C8E">
        <w:rPr>
          <w:rFonts w:eastAsia="Times New Roman"/>
          <w:szCs w:val="20"/>
        </w:rPr>
        <w:tab/>
        <w:t>public utility easements;</w:t>
      </w:r>
    </w:p>
    <w:p w:rsidR="00E26C8E" w:rsidRPr="00E26C8E" w:rsidRDefault="00E26C8E" w:rsidP="00E26C8E">
      <w:pPr>
        <w:ind w:left="1418" w:hanging="284"/>
        <w:rPr>
          <w:rFonts w:eastAsia="Times New Roman"/>
          <w:szCs w:val="20"/>
        </w:rPr>
      </w:pPr>
      <w:r w:rsidRPr="00E26C8E">
        <w:rPr>
          <w:rFonts w:eastAsia="Times New Roman"/>
          <w:szCs w:val="20"/>
        </w:rPr>
        <w:t>◦</w:t>
      </w:r>
      <w:r w:rsidRPr="00E26C8E">
        <w:rPr>
          <w:rFonts w:eastAsia="Times New Roman"/>
          <w:szCs w:val="20"/>
        </w:rPr>
        <w:tab/>
        <w:t>if the application is within land used for defence purposes, including (but not limited to) the Woomera Prohibited Area or the Cultana Army Training Area;</w:t>
      </w:r>
    </w:p>
    <w:p w:rsidR="00E26C8E" w:rsidRPr="00E26C8E" w:rsidRDefault="00E26C8E" w:rsidP="00E26C8E">
      <w:pPr>
        <w:ind w:left="1418" w:hanging="284"/>
        <w:rPr>
          <w:rFonts w:eastAsia="Times New Roman"/>
          <w:szCs w:val="20"/>
        </w:rPr>
      </w:pPr>
      <w:r w:rsidRPr="00E26C8E">
        <w:rPr>
          <w:rFonts w:eastAsia="Times New Roman"/>
          <w:szCs w:val="20"/>
        </w:rPr>
        <w:t>◦</w:t>
      </w:r>
      <w:r w:rsidRPr="00E26C8E">
        <w:rPr>
          <w:rFonts w:eastAsia="Times New Roman"/>
          <w:szCs w:val="20"/>
        </w:rPr>
        <w:tab/>
        <w:t>any overlapping or adjacent tenements under the</w:t>
      </w:r>
      <w:r w:rsidRPr="00E26C8E">
        <w:rPr>
          <w:rFonts w:eastAsia="Times New Roman"/>
          <w:i/>
          <w:szCs w:val="20"/>
        </w:rPr>
        <w:t xml:space="preserve"> Mining Act 1971</w:t>
      </w:r>
      <w:r w:rsidRPr="00E26C8E">
        <w:rPr>
          <w:rFonts w:eastAsia="Times New Roman"/>
          <w:szCs w:val="20"/>
        </w:rPr>
        <w:t xml:space="preserve"> or </w:t>
      </w:r>
      <w:r w:rsidRPr="00E26C8E">
        <w:rPr>
          <w:rFonts w:eastAsia="Times New Roman"/>
          <w:i/>
          <w:szCs w:val="20"/>
        </w:rPr>
        <w:t>Petroleum and Geothermal Energy Act 2000</w:t>
      </w:r>
      <w:r w:rsidRPr="00E26C8E">
        <w:rPr>
          <w:rFonts w:eastAsia="Times New Roman"/>
          <w:szCs w:val="20"/>
        </w:rPr>
        <w:t>.</w:t>
      </w:r>
    </w:p>
    <w:p w:rsidR="00E26C8E" w:rsidRPr="00E26C8E" w:rsidRDefault="00E26C8E" w:rsidP="00E26C8E">
      <w:pPr>
        <w:ind w:left="851" w:hanging="425"/>
        <w:rPr>
          <w:rFonts w:eastAsia="Times New Roman"/>
          <w:b/>
          <w:szCs w:val="20"/>
        </w:rPr>
      </w:pPr>
      <w:r w:rsidRPr="00E26C8E">
        <w:rPr>
          <w:rFonts w:eastAsia="Times New Roman"/>
          <w:b/>
          <w:szCs w:val="20"/>
        </w:rPr>
        <w:t>1.12</w:t>
      </w:r>
      <w:r w:rsidRPr="00E26C8E">
        <w:rPr>
          <w:rFonts w:eastAsia="Times New Roman"/>
          <w:b/>
          <w:szCs w:val="20"/>
        </w:rPr>
        <w:tab/>
        <w:t>Proximity to infrastructure and housing</w:t>
      </w:r>
    </w:p>
    <w:p w:rsidR="00E26C8E" w:rsidRPr="00E26C8E" w:rsidRDefault="00E26C8E" w:rsidP="00E26C8E">
      <w:pPr>
        <w:ind w:left="851"/>
        <w:rPr>
          <w:rFonts w:eastAsia="Times New Roman"/>
          <w:szCs w:val="20"/>
        </w:rPr>
      </w:pPr>
      <w:r w:rsidRPr="00E26C8E">
        <w:rPr>
          <w:rFonts w:eastAsia="Times New Roman"/>
          <w:szCs w:val="20"/>
        </w:rPr>
        <w:t>Provide information and a map (as per 5.1.1.4) identifying:</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residences within and near the application area;</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other human infrastructure including (but not limited to) schools, hospitals, commercial or industrial sites, roads, sheds, bores, dams, ruins, pumps, cemeteries, scenic lookouts, roads, railway lines, fences, transmission lines, gas and water pipelines, and telephone lines (both underground and above ground); and</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public roads to be utilised or affected as part of proposed operations, including an estimate of the existing traffic movements</w:t>
      </w:r>
    </w:p>
    <w:p w:rsidR="00E26C8E" w:rsidRPr="00E26C8E" w:rsidRDefault="00E26C8E" w:rsidP="00E26C8E">
      <w:pPr>
        <w:ind w:left="851" w:hanging="425"/>
        <w:rPr>
          <w:rFonts w:eastAsia="Times New Roman"/>
          <w:b/>
          <w:szCs w:val="20"/>
        </w:rPr>
      </w:pPr>
      <w:r w:rsidRPr="00E26C8E">
        <w:rPr>
          <w:rFonts w:eastAsia="Times New Roman"/>
          <w:b/>
          <w:szCs w:val="20"/>
        </w:rPr>
        <w:t>1.13</w:t>
      </w:r>
      <w:r w:rsidRPr="00E26C8E">
        <w:rPr>
          <w:rFonts w:eastAsia="Times New Roman"/>
          <w:b/>
          <w:szCs w:val="20"/>
        </w:rPr>
        <w:tab/>
        <w:t>Exempt land</w:t>
      </w:r>
    </w:p>
    <w:p w:rsidR="00E26C8E" w:rsidRPr="00E26C8E" w:rsidRDefault="00E26C8E" w:rsidP="00E26C8E">
      <w:pPr>
        <w:ind w:left="851"/>
        <w:rPr>
          <w:rFonts w:eastAsia="Times New Roman"/>
          <w:szCs w:val="20"/>
        </w:rPr>
      </w:pPr>
      <w:r w:rsidRPr="00E26C8E">
        <w:rPr>
          <w:rFonts w:eastAsia="Times New Roman"/>
          <w:szCs w:val="20"/>
        </w:rPr>
        <w:t>Provide a description and map (as per 5.1.1.4) of any applicable exempt land under Section 9 of the</w:t>
      </w:r>
      <w:r w:rsidRPr="00E26C8E">
        <w:rPr>
          <w:rFonts w:eastAsia="Times New Roman"/>
          <w:i/>
          <w:szCs w:val="20"/>
        </w:rPr>
        <w:t xml:space="preserve"> Mining Act 1971</w:t>
      </w:r>
      <w:r w:rsidRPr="00E26C8E">
        <w:rPr>
          <w:rFonts w:eastAsia="Times New Roman"/>
          <w:szCs w:val="20"/>
        </w:rPr>
        <w:t>.</w:t>
      </w:r>
    </w:p>
    <w:p w:rsidR="00E26C8E" w:rsidRPr="00E26C8E" w:rsidRDefault="00E26C8E" w:rsidP="00E26C8E">
      <w:pPr>
        <w:ind w:left="851" w:hanging="425"/>
        <w:rPr>
          <w:rFonts w:eastAsia="Times New Roman"/>
          <w:b/>
          <w:szCs w:val="20"/>
        </w:rPr>
      </w:pPr>
      <w:r w:rsidRPr="00E26C8E">
        <w:rPr>
          <w:rFonts w:eastAsia="Times New Roman"/>
          <w:b/>
          <w:szCs w:val="20"/>
        </w:rPr>
        <w:t>1.14</w:t>
      </w:r>
      <w:r w:rsidRPr="00E26C8E">
        <w:rPr>
          <w:rFonts w:eastAsia="Times New Roman"/>
          <w:b/>
          <w:szCs w:val="20"/>
        </w:rPr>
        <w:tab/>
        <w:t>Amenity</w:t>
      </w:r>
    </w:p>
    <w:p w:rsidR="00E26C8E" w:rsidRPr="00E26C8E" w:rsidRDefault="00E26C8E" w:rsidP="00E26C8E">
      <w:pPr>
        <w:ind w:left="851"/>
        <w:rPr>
          <w:rFonts w:eastAsia="Times New Roman"/>
          <w:szCs w:val="20"/>
        </w:rPr>
      </w:pPr>
      <w:r w:rsidRPr="00E26C8E">
        <w:rPr>
          <w:rFonts w:eastAsia="Times New Roman"/>
          <w:szCs w:val="20"/>
        </w:rPr>
        <w:t>Provide a summary description of scenic or aesthetic values for the application area and immediate surrounds, incuding features of community, tourist or visitor interest.</w:t>
      </w:r>
    </w:p>
    <w:p w:rsidR="00E26C8E" w:rsidRPr="00E26C8E" w:rsidRDefault="00E26C8E" w:rsidP="00E26C8E">
      <w:pPr>
        <w:ind w:left="851" w:hanging="425"/>
        <w:rPr>
          <w:rFonts w:eastAsia="Times New Roman"/>
          <w:b/>
          <w:szCs w:val="20"/>
        </w:rPr>
      </w:pPr>
      <w:r w:rsidRPr="00E26C8E">
        <w:rPr>
          <w:rFonts w:eastAsia="Times New Roman"/>
          <w:b/>
          <w:szCs w:val="20"/>
        </w:rPr>
        <w:t>1.15</w:t>
      </w:r>
      <w:r w:rsidRPr="00E26C8E">
        <w:rPr>
          <w:rFonts w:eastAsia="Times New Roman"/>
          <w:b/>
          <w:szCs w:val="20"/>
        </w:rPr>
        <w:tab/>
        <w:t>Air quality</w:t>
      </w:r>
    </w:p>
    <w:p w:rsidR="00E26C8E" w:rsidRPr="00E26C8E" w:rsidRDefault="00E26C8E" w:rsidP="00E26C8E">
      <w:pPr>
        <w:ind w:left="851"/>
        <w:rPr>
          <w:rFonts w:eastAsia="Times New Roman"/>
          <w:szCs w:val="20"/>
        </w:rPr>
      </w:pPr>
      <w:r w:rsidRPr="00E26C8E">
        <w:rPr>
          <w:rFonts w:eastAsia="Times New Roman"/>
          <w:szCs w:val="20"/>
        </w:rPr>
        <w:t>Provide a description of the existing levels of dust and contributors to air quality including odour (both natural and anthropogenic).</w:t>
      </w:r>
    </w:p>
    <w:p w:rsidR="00E26C8E" w:rsidRPr="00E26C8E" w:rsidRDefault="00E26C8E" w:rsidP="00E26C8E">
      <w:pPr>
        <w:ind w:left="851" w:hanging="425"/>
        <w:rPr>
          <w:rFonts w:eastAsia="Times New Roman"/>
          <w:b/>
          <w:szCs w:val="20"/>
        </w:rPr>
      </w:pPr>
      <w:r w:rsidRPr="00E26C8E">
        <w:rPr>
          <w:rFonts w:eastAsia="Times New Roman"/>
          <w:b/>
          <w:szCs w:val="20"/>
        </w:rPr>
        <w:t>1.16</w:t>
      </w:r>
      <w:r w:rsidRPr="00E26C8E">
        <w:rPr>
          <w:rFonts w:eastAsia="Times New Roman"/>
          <w:b/>
          <w:szCs w:val="20"/>
        </w:rPr>
        <w:tab/>
        <w:t>Noise</w:t>
      </w:r>
    </w:p>
    <w:p w:rsidR="00E26C8E" w:rsidRPr="00E26C8E" w:rsidRDefault="00E26C8E" w:rsidP="00E26C8E">
      <w:pPr>
        <w:ind w:left="851"/>
        <w:rPr>
          <w:rFonts w:eastAsia="Times New Roman"/>
          <w:szCs w:val="20"/>
        </w:rPr>
      </w:pPr>
      <w:r w:rsidRPr="00E26C8E">
        <w:rPr>
          <w:rFonts w:eastAsia="Times New Roman"/>
          <w:szCs w:val="20"/>
        </w:rPr>
        <w:t>Provide a description of existing noise levels of noise and contributors to noise (both natural and anthropogenic).</w:t>
      </w:r>
    </w:p>
    <w:p w:rsidR="00E26C8E" w:rsidRPr="00E26C8E" w:rsidRDefault="00E26C8E" w:rsidP="00E26C8E">
      <w:pPr>
        <w:ind w:left="851" w:hanging="425"/>
        <w:rPr>
          <w:rFonts w:eastAsia="Times New Roman"/>
          <w:b/>
          <w:szCs w:val="20"/>
        </w:rPr>
      </w:pPr>
      <w:r w:rsidRPr="00E26C8E">
        <w:rPr>
          <w:rFonts w:eastAsia="Times New Roman"/>
          <w:b/>
          <w:szCs w:val="20"/>
        </w:rPr>
        <w:t>1.17</w:t>
      </w:r>
      <w:r w:rsidRPr="00E26C8E">
        <w:rPr>
          <w:rFonts w:eastAsia="Times New Roman"/>
          <w:b/>
          <w:szCs w:val="20"/>
        </w:rPr>
        <w:tab/>
        <w:t>Heritage (Aboriginal, European, Geological)</w:t>
      </w:r>
    </w:p>
    <w:p w:rsidR="00E26C8E" w:rsidRPr="00E26C8E" w:rsidRDefault="00E26C8E" w:rsidP="00E26C8E">
      <w:pPr>
        <w:ind w:left="851"/>
        <w:rPr>
          <w:rFonts w:eastAsia="Times New Roman"/>
          <w:szCs w:val="20"/>
        </w:rPr>
      </w:pPr>
      <w:r w:rsidRPr="00E26C8E">
        <w:rPr>
          <w:rFonts w:eastAsia="Times New Roman"/>
          <w:szCs w:val="20"/>
        </w:rPr>
        <w:t>Detail and show on a map (as per 5.1.1.1):</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any registered heritage sites in or adjacent to the application areas that are protected under legislation (in so far as may be permitted under the relevant legislation); and</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include a statement concerning whether or not an Aboriginal cultural heritage survey has been conducted by the proponent and if so, the results of the survey.</w:t>
      </w:r>
    </w:p>
    <w:p w:rsidR="00E26C8E" w:rsidRPr="00E26C8E" w:rsidRDefault="00E26C8E" w:rsidP="00E26C8E">
      <w:pPr>
        <w:ind w:left="851" w:hanging="425"/>
        <w:rPr>
          <w:rFonts w:eastAsia="Times New Roman"/>
          <w:b/>
          <w:szCs w:val="20"/>
        </w:rPr>
      </w:pPr>
      <w:r w:rsidRPr="00E26C8E">
        <w:rPr>
          <w:rFonts w:eastAsia="Times New Roman"/>
          <w:b/>
          <w:szCs w:val="20"/>
        </w:rPr>
        <w:t>1.18</w:t>
      </w:r>
      <w:r w:rsidRPr="00E26C8E">
        <w:rPr>
          <w:rFonts w:eastAsia="Times New Roman"/>
          <w:b/>
          <w:szCs w:val="20"/>
        </w:rPr>
        <w:tab/>
        <w:t>Proximity to conservation areas</w:t>
      </w:r>
    </w:p>
    <w:p w:rsidR="00E26C8E" w:rsidRPr="00E26C8E" w:rsidRDefault="00E26C8E" w:rsidP="00E26C8E">
      <w:pPr>
        <w:ind w:left="851"/>
        <w:rPr>
          <w:rFonts w:eastAsia="Times New Roman"/>
          <w:szCs w:val="20"/>
        </w:rPr>
      </w:pPr>
      <w:r w:rsidRPr="00E26C8E">
        <w:rPr>
          <w:rFonts w:eastAsia="Times New Roman"/>
          <w:szCs w:val="20"/>
        </w:rPr>
        <w:t>Provide:</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information and a map (as per 5.1.1.1) showing proximity to national parks and reserves, private conservation areas, Commonwealth recognised conservation areas, heritage agreement areas and geological heritage sites; and</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a statement as to whether the application area falls within the Adelaide Dolphin Sanctuary, Adelaide International Bird Sanctuary or a Marine Park.</w:t>
      </w:r>
    </w:p>
    <w:p w:rsidR="00E26C8E" w:rsidRPr="00E26C8E" w:rsidRDefault="00E26C8E" w:rsidP="00E26C8E">
      <w:pPr>
        <w:ind w:left="851" w:hanging="425"/>
        <w:rPr>
          <w:rFonts w:eastAsia="Times New Roman"/>
          <w:b/>
          <w:szCs w:val="20"/>
        </w:rPr>
      </w:pPr>
      <w:r w:rsidRPr="00E26C8E">
        <w:rPr>
          <w:rFonts w:eastAsia="Times New Roman"/>
          <w:b/>
          <w:szCs w:val="20"/>
        </w:rPr>
        <w:t>1.19</w:t>
      </w:r>
      <w:r w:rsidRPr="00E26C8E">
        <w:rPr>
          <w:rFonts w:eastAsia="Times New Roman"/>
          <w:b/>
          <w:szCs w:val="20"/>
        </w:rPr>
        <w:tab/>
        <w:t>Pre-existing site contamination and previous disturbance</w:t>
      </w:r>
    </w:p>
    <w:p w:rsidR="00E26C8E" w:rsidRPr="00E26C8E" w:rsidRDefault="00E26C8E" w:rsidP="00E26C8E">
      <w:pPr>
        <w:ind w:left="851"/>
        <w:rPr>
          <w:rFonts w:eastAsia="Times New Roman"/>
          <w:szCs w:val="20"/>
        </w:rPr>
      </w:pPr>
      <w:r w:rsidRPr="00E26C8E">
        <w:rPr>
          <w:rFonts w:eastAsia="Times New Roman"/>
          <w:szCs w:val="20"/>
        </w:rPr>
        <w:t>Provide information and show on a map (as per 5.1.1.1) any known existing contamination of the site and/or any disturbance by previous mining operations or other activities.</w:t>
      </w:r>
    </w:p>
    <w:p w:rsidR="00E26C8E" w:rsidRPr="00E26C8E" w:rsidRDefault="00E26C8E" w:rsidP="00E26C8E">
      <w:pPr>
        <w:ind w:left="851" w:hanging="425"/>
        <w:rPr>
          <w:rFonts w:eastAsia="Times New Roman"/>
          <w:b/>
          <w:szCs w:val="20"/>
        </w:rPr>
      </w:pPr>
      <w:r w:rsidRPr="00E26C8E">
        <w:rPr>
          <w:rFonts w:eastAsia="Times New Roman"/>
          <w:b/>
          <w:szCs w:val="20"/>
        </w:rPr>
        <w:t>1.20</w:t>
      </w:r>
      <w:r w:rsidRPr="00E26C8E">
        <w:rPr>
          <w:rFonts w:eastAsia="Times New Roman"/>
          <w:b/>
          <w:szCs w:val="20"/>
        </w:rPr>
        <w:tab/>
        <w:t>Natural radioactivity</w:t>
      </w:r>
    </w:p>
    <w:p w:rsidR="00E26C8E" w:rsidRPr="00E26C8E" w:rsidRDefault="00E26C8E" w:rsidP="00E26C8E">
      <w:pPr>
        <w:ind w:left="851"/>
        <w:rPr>
          <w:rFonts w:eastAsia="Times New Roman"/>
          <w:spacing w:val="-2"/>
          <w:szCs w:val="20"/>
        </w:rPr>
      </w:pPr>
      <w:r w:rsidRPr="00E26C8E">
        <w:rPr>
          <w:rFonts w:eastAsia="Times New Roman"/>
          <w:spacing w:val="-2"/>
          <w:szCs w:val="20"/>
        </w:rPr>
        <w:t>Provide a pre-mining baseline survey of existing levels of radionuclides in the application area and show on a map (as per 5.1.1.5). The survey is to include (where applicable):</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gamma radiation levels at spacing commensurate with the degree of natural variation;</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concentration of radionuclides within soils, surface waters, ephemeral creek beds;</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radon gas or radon decay product concentrations;</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concentrations of radionuclides in air; and</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such information necessary to undertake a radiological risk assessment of the proposed operations on flora and fauna.</w:t>
      </w:r>
    </w:p>
    <w:p w:rsidR="00E26C8E" w:rsidRPr="00E26C8E" w:rsidRDefault="00E26C8E" w:rsidP="00E26C8E">
      <w:pPr>
        <w:ind w:left="426" w:hanging="284"/>
        <w:rPr>
          <w:rFonts w:eastAsia="Times New Roman"/>
          <w:b/>
          <w:szCs w:val="20"/>
        </w:rPr>
      </w:pPr>
      <w:r w:rsidRPr="00E26C8E">
        <w:rPr>
          <w:rFonts w:eastAsia="Times New Roman"/>
          <w:b/>
          <w:szCs w:val="20"/>
        </w:rPr>
        <w:t>2.</w:t>
      </w:r>
      <w:r w:rsidRPr="00E26C8E">
        <w:rPr>
          <w:rFonts w:eastAsia="Times New Roman"/>
          <w:b/>
          <w:szCs w:val="20"/>
        </w:rPr>
        <w:tab/>
        <w:t>DESCRIPTION OF THE PROPOSED OPERATIONS</w:t>
      </w:r>
    </w:p>
    <w:p w:rsidR="00E26C8E" w:rsidRPr="00E26C8E" w:rsidRDefault="00E26C8E" w:rsidP="00E26C8E">
      <w:pPr>
        <w:ind w:left="426"/>
        <w:rPr>
          <w:rFonts w:eastAsia="Times New Roman"/>
          <w:szCs w:val="20"/>
        </w:rPr>
      </w:pPr>
      <w:r w:rsidRPr="00E26C8E">
        <w:rPr>
          <w:rFonts w:eastAsia="Times New Roman"/>
          <w:szCs w:val="20"/>
        </w:rPr>
        <w:t>In specifying the nature and extent of the authorised operations that are proposed in accordance with sections 36(1)(c)(i) and 49(1)(c)(i) of the</w:t>
      </w:r>
      <w:r w:rsidRPr="00E26C8E">
        <w:rPr>
          <w:rFonts w:eastAsia="Times New Roman"/>
          <w:i/>
          <w:szCs w:val="20"/>
        </w:rPr>
        <w:t xml:space="preserve"> Mining Act 1971</w:t>
      </w:r>
      <w:r w:rsidRPr="00E26C8E">
        <w:rPr>
          <w:rFonts w:eastAsia="Times New Roman"/>
          <w:szCs w:val="20"/>
        </w:rPr>
        <w:t>, the Minister determines in accordance with regulation 46(7)(e) of the</w:t>
      </w:r>
      <w:r w:rsidRPr="00E26C8E">
        <w:rPr>
          <w:rFonts w:eastAsia="Times New Roman"/>
          <w:i/>
          <w:szCs w:val="20"/>
        </w:rPr>
        <w:t xml:space="preserve"> Mining Regulations 2020</w:t>
      </w:r>
      <w:r w:rsidRPr="00E26C8E">
        <w:rPr>
          <w:rFonts w:eastAsia="Times New Roman"/>
          <w:szCs w:val="20"/>
        </w:rPr>
        <w:t xml:space="preserve"> that a proposal must include a description of the proposed operations as set out in this Terms of Reference. Each of the elements listed in clauses 2.1–2.13 must be described.</w:t>
      </w:r>
    </w:p>
    <w:p w:rsidR="00E26C8E" w:rsidRPr="00E26C8E" w:rsidRDefault="00E26C8E" w:rsidP="00E26C8E">
      <w:pPr>
        <w:ind w:left="851" w:hanging="425"/>
        <w:rPr>
          <w:rFonts w:eastAsia="Times New Roman"/>
          <w:b/>
          <w:szCs w:val="20"/>
        </w:rPr>
      </w:pPr>
      <w:r w:rsidRPr="00E26C8E">
        <w:rPr>
          <w:rFonts w:eastAsia="Times New Roman"/>
          <w:b/>
          <w:szCs w:val="20"/>
        </w:rPr>
        <w:t>2.1</w:t>
      </w:r>
      <w:r w:rsidRPr="00E26C8E">
        <w:rPr>
          <w:rFonts w:eastAsia="Times New Roman"/>
          <w:b/>
          <w:szCs w:val="20"/>
        </w:rPr>
        <w:tab/>
        <w:t>General description and maps/plans of operations</w:t>
      </w:r>
    </w:p>
    <w:p w:rsidR="00E26C8E" w:rsidRPr="00E26C8E" w:rsidRDefault="00E26C8E" w:rsidP="00E26C8E">
      <w:pPr>
        <w:ind w:left="851"/>
        <w:rPr>
          <w:rFonts w:eastAsia="Times New Roman"/>
          <w:szCs w:val="20"/>
        </w:rPr>
      </w:pPr>
      <w:r w:rsidRPr="00E26C8E">
        <w:rPr>
          <w:rFonts w:eastAsia="Times New Roman"/>
          <w:szCs w:val="20"/>
        </w:rPr>
        <w:t>Provide a summary description of all elements of the proposed operation, including mining, processing, uranium product storage and waste management (include maps/plans and cross sections as per 5.1.2.1 and 5.2.2.1).</w:t>
      </w:r>
    </w:p>
    <w:p w:rsidR="00E26C8E" w:rsidRPr="00E26C8E" w:rsidRDefault="00E26C8E" w:rsidP="00E26C8E">
      <w:pPr>
        <w:ind w:left="1418" w:hanging="567"/>
        <w:rPr>
          <w:rFonts w:eastAsia="Times New Roman"/>
          <w:b/>
          <w:szCs w:val="20"/>
        </w:rPr>
      </w:pPr>
      <w:r w:rsidRPr="00E26C8E">
        <w:rPr>
          <w:rFonts w:eastAsia="Times New Roman"/>
          <w:b/>
          <w:szCs w:val="20"/>
        </w:rPr>
        <w:t>2.1.1</w:t>
      </w:r>
      <w:r w:rsidRPr="00E26C8E">
        <w:rPr>
          <w:rFonts w:eastAsia="Times New Roman"/>
          <w:b/>
          <w:szCs w:val="20"/>
        </w:rPr>
        <w:tab/>
        <w:t>Options</w:t>
      </w:r>
    </w:p>
    <w:p w:rsidR="00E26C8E" w:rsidRPr="00E26C8E" w:rsidRDefault="00E26C8E" w:rsidP="00E26C8E">
      <w:pPr>
        <w:ind w:left="1418"/>
        <w:rPr>
          <w:rFonts w:eastAsia="Times New Roman"/>
          <w:szCs w:val="20"/>
        </w:rPr>
      </w:pPr>
      <w:r w:rsidRPr="00E26C8E">
        <w:rPr>
          <w:rFonts w:eastAsia="Times New Roman"/>
          <w:szCs w:val="20"/>
        </w:rPr>
        <w:t>Provide a summary description of relevant options considered for mining, processing, uranium product storage and mine waste management strategies, and provide justification for the chosen strategies, including a description of any elimination or substitution strategies that have been adopted to control a hazard in order to protect the environment.</w:t>
      </w:r>
    </w:p>
    <w:p w:rsidR="00E26C8E" w:rsidRPr="00E26C8E" w:rsidRDefault="00E26C8E" w:rsidP="00E26C8E">
      <w:pPr>
        <w:ind w:left="851" w:hanging="425"/>
        <w:rPr>
          <w:rFonts w:eastAsia="Times New Roman"/>
          <w:b/>
          <w:szCs w:val="20"/>
        </w:rPr>
      </w:pPr>
      <w:r w:rsidRPr="00E26C8E">
        <w:rPr>
          <w:rFonts w:eastAsia="Times New Roman"/>
          <w:b/>
          <w:szCs w:val="20"/>
        </w:rPr>
        <w:t>2.2</w:t>
      </w:r>
      <w:r w:rsidRPr="00E26C8E">
        <w:rPr>
          <w:rFonts w:eastAsia="Times New Roman"/>
          <w:b/>
          <w:szCs w:val="20"/>
        </w:rPr>
        <w:tab/>
        <w:t>Reserves, Products and Market</w:t>
      </w:r>
    </w:p>
    <w:p w:rsidR="00E26C8E" w:rsidRPr="00E26C8E" w:rsidRDefault="00E26C8E" w:rsidP="00E26C8E">
      <w:pPr>
        <w:ind w:left="1418" w:hanging="567"/>
        <w:rPr>
          <w:rFonts w:eastAsia="Times New Roman"/>
          <w:b/>
          <w:szCs w:val="20"/>
        </w:rPr>
      </w:pPr>
      <w:r w:rsidRPr="00E26C8E">
        <w:rPr>
          <w:rFonts w:eastAsia="Times New Roman"/>
          <w:b/>
          <w:szCs w:val="20"/>
        </w:rPr>
        <w:t>2.2.1</w:t>
      </w:r>
      <w:r w:rsidRPr="00E26C8E">
        <w:rPr>
          <w:rFonts w:eastAsia="Times New Roman"/>
          <w:b/>
          <w:szCs w:val="20"/>
        </w:rPr>
        <w:tab/>
        <w:t>Ore reserves or mineral resources (or both)</w:t>
      </w:r>
    </w:p>
    <w:p w:rsidR="00E26C8E" w:rsidRPr="00E26C8E" w:rsidRDefault="00E26C8E" w:rsidP="00E26C8E">
      <w:pPr>
        <w:ind w:left="1418"/>
        <w:rPr>
          <w:rFonts w:eastAsia="Times New Roman"/>
          <w:szCs w:val="20"/>
        </w:rPr>
      </w:pPr>
      <w:r w:rsidRPr="00E26C8E">
        <w:rPr>
          <w:rFonts w:eastAsia="Times New Roman"/>
          <w:szCs w:val="20"/>
        </w:rPr>
        <w:t>Provide:</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a statement of the current Australasian Joint Ore Reserves Committee (JORC) compliant ore reserve or mineral resource estimates (or both) in the application area;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a statement of what reserve and/or resource forms the basis for the application; or (if a JORC compliant reserve or resource (or both) has not been reported)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an estimate of the resource to be mined and the basis of this estimate.</w:t>
      </w:r>
    </w:p>
    <w:p w:rsidR="00E26C8E" w:rsidRPr="00E26C8E" w:rsidRDefault="00E26C8E" w:rsidP="00E26C8E">
      <w:pPr>
        <w:ind w:left="1418"/>
        <w:rPr>
          <w:rFonts w:eastAsia="Times New Roman"/>
          <w:szCs w:val="20"/>
        </w:rPr>
      </w:pPr>
      <w:r w:rsidRPr="00E26C8E">
        <w:rPr>
          <w:rFonts w:eastAsia="Times New Roman"/>
          <w:szCs w:val="20"/>
        </w:rPr>
        <w:t>Provide steps that have been taken to ensure proposed operations will not sterilise/prevent future extraction of mineral resources.</w:t>
      </w:r>
    </w:p>
    <w:p w:rsidR="00E26C8E" w:rsidRPr="00E26C8E" w:rsidRDefault="00E26C8E" w:rsidP="00E26C8E">
      <w:pPr>
        <w:ind w:left="1418" w:hanging="567"/>
        <w:rPr>
          <w:rFonts w:eastAsia="Times New Roman"/>
          <w:b/>
          <w:szCs w:val="20"/>
        </w:rPr>
      </w:pPr>
      <w:r w:rsidRPr="00E26C8E">
        <w:rPr>
          <w:rFonts w:eastAsia="Times New Roman"/>
          <w:b/>
          <w:szCs w:val="20"/>
        </w:rPr>
        <w:t>2.2.2</w:t>
      </w:r>
      <w:r w:rsidRPr="00E26C8E">
        <w:rPr>
          <w:rFonts w:eastAsia="Times New Roman"/>
          <w:b/>
          <w:szCs w:val="20"/>
        </w:rPr>
        <w:tab/>
        <w:t>Production rate and products</w:t>
      </w:r>
    </w:p>
    <w:p w:rsidR="00E26C8E" w:rsidRPr="00E26C8E" w:rsidRDefault="00E26C8E" w:rsidP="00E26C8E">
      <w:pPr>
        <w:ind w:left="1418"/>
        <w:rPr>
          <w:rFonts w:eastAsia="Times New Roman"/>
          <w:szCs w:val="20"/>
        </w:rPr>
      </w:pPr>
      <w:r w:rsidRPr="00E26C8E">
        <w:rPr>
          <w:rFonts w:eastAsia="Times New Roman"/>
          <w:szCs w:val="20"/>
        </w:rPr>
        <w:t>Provide:</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type(s) of product to be exported from the application area;</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a statement of the expected product market or end use;</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a quantitative estimate of production of mine gate product(s) for the life of mine, and a schedule of the annual production of mine gate product(s);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a statement if any extractive minerals (as defined by Section 6 of the</w:t>
      </w:r>
      <w:r w:rsidRPr="00E26C8E">
        <w:rPr>
          <w:rFonts w:eastAsia="Times New Roman"/>
          <w:i/>
          <w:szCs w:val="20"/>
        </w:rPr>
        <w:t xml:space="preserve"> Mining Act 1971</w:t>
      </w:r>
      <w:r w:rsidRPr="00E26C8E">
        <w:rPr>
          <w:rFonts w:eastAsia="Times New Roman"/>
          <w:szCs w:val="20"/>
        </w:rPr>
        <w:t>) will leave the lease.</w:t>
      </w:r>
    </w:p>
    <w:p w:rsidR="00E26C8E" w:rsidRPr="00E26C8E" w:rsidRDefault="00E26C8E" w:rsidP="00E26C8E">
      <w:pPr>
        <w:ind w:left="851" w:hanging="425"/>
        <w:rPr>
          <w:rFonts w:eastAsia="Times New Roman"/>
          <w:b/>
          <w:szCs w:val="20"/>
        </w:rPr>
      </w:pPr>
      <w:r w:rsidRPr="00E26C8E">
        <w:rPr>
          <w:rFonts w:eastAsia="Times New Roman"/>
          <w:b/>
          <w:szCs w:val="20"/>
        </w:rPr>
        <w:t>2.3</w:t>
      </w:r>
      <w:r w:rsidRPr="00E26C8E">
        <w:rPr>
          <w:rFonts w:eastAsia="Times New Roman"/>
          <w:b/>
          <w:szCs w:val="20"/>
        </w:rPr>
        <w:tab/>
        <w:t>Exploration Activities</w:t>
      </w:r>
    </w:p>
    <w:p w:rsidR="00E26C8E" w:rsidRPr="00E26C8E" w:rsidRDefault="00E26C8E" w:rsidP="00E26C8E">
      <w:pPr>
        <w:ind w:left="851"/>
        <w:rPr>
          <w:rFonts w:eastAsia="Times New Roman"/>
          <w:szCs w:val="20"/>
        </w:rPr>
      </w:pPr>
      <w:r w:rsidRPr="00E26C8E">
        <w:rPr>
          <w:rFonts w:eastAsia="Times New Roman"/>
          <w:szCs w:val="20"/>
        </w:rPr>
        <w:t>Provide information that details all exploration activities to be undertaken within the application area as a part of the proposed operation, including:</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purpose of the activities (i.e. resource drill-out or resource extension);</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types of drilling;</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geophysical techniques likely to be used;</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earthworks required to conduct exploration activities;</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equipment required to conduct exploration activities; and</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rehabilitation methods for exploration works (including that not yet rehabilitated from previous tenure).</w:t>
      </w:r>
    </w:p>
    <w:p w:rsidR="00E26C8E" w:rsidRPr="00E26C8E" w:rsidRDefault="00E26C8E" w:rsidP="00E26C8E">
      <w:pPr>
        <w:ind w:left="851" w:hanging="425"/>
        <w:rPr>
          <w:rFonts w:eastAsia="Times New Roman"/>
          <w:b/>
          <w:szCs w:val="20"/>
        </w:rPr>
      </w:pPr>
      <w:r w:rsidRPr="00E26C8E">
        <w:rPr>
          <w:rFonts w:eastAsia="Times New Roman"/>
          <w:b/>
          <w:szCs w:val="20"/>
        </w:rPr>
        <w:t>2.4</w:t>
      </w:r>
      <w:r w:rsidRPr="00E26C8E">
        <w:rPr>
          <w:rFonts w:eastAsia="Times New Roman"/>
          <w:b/>
          <w:szCs w:val="20"/>
        </w:rPr>
        <w:tab/>
        <w:t>Mining Activities</w:t>
      </w:r>
    </w:p>
    <w:p w:rsidR="00E26C8E" w:rsidRPr="00E26C8E" w:rsidRDefault="00E26C8E" w:rsidP="00E26C8E">
      <w:pPr>
        <w:ind w:left="1418" w:hanging="567"/>
        <w:rPr>
          <w:rFonts w:eastAsia="Times New Roman"/>
          <w:b/>
          <w:szCs w:val="20"/>
        </w:rPr>
      </w:pPr>
      <w:r w:rsidRPr="00E26C8E">
        <w:rPr>
          <w:rFonts w:eastAsia="Times New Roman"/>
          <w:b/>
          <w:szCs w:val="20"/>
        </w:rPr>
        <w:t>2.4.1</w:t>
      </w:r>
      <w:r w:rsidRPr="00E26C8E">
        <w:rPr>
          <w:rFonts w:eastAsia="Times New Roman"/>
          <w:b/>
          <w:szCs w:val="20"/>
        </w:rPr>
        <w:tab/>
        <w:t>Description of ISR mining process</w:t>
      </w:r>
    </w:p>
    <w:p w:rsidR="00E26C8E" w:rsidRPr="00E26C8E" w:rsidRDefault="00E26C8E" w:rsidP="00E26C8E">
      <w:pPr>
        <w:ind w:left="1418"/>
        <w:rPr>
          <w:rFonts w:eastAsia="Times New Roman"/>
          <w:szCs w:val="20"/>
        </w:rPr>
      </w:pPr>
      <w:r w:rsidRPr="00E26C8E">
        <w:rPr>
          <w:rFonts w:eastAsia="Times New Roman"/>
          <w:szCs w:val="20"/>
        </w:rPr>
        <w:t>Provide information on the ISR operation, including (but not limited to):</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acid or alkali leach process;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extraction process technology to be used (e.g. ion exchange, solvent extraction, and associated processes);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satellite plants proposed to be utilised, including the method for delivering uranium bearing resins or other products for further processing at the main processing plant;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any required initial groundwater flush or groundwater treatment.</w:t>
      </w:r>
    </w:p>
    <w:p w:rsidR="00E26C8E" w:rsidRPr="00E26C8E" w:rsidRDefault="00E26C8E" w:rsidP="00E26C8E">
      <w:pPr>
        <w:ind w:left="1418" w:hanging="567"/>
        <w:rPr>
          <w:rFonts w:eastAsia="Times New Roman"/>
          <w:b/>
          <w:szCs w:val="20"/>
        </w:rPr>
      </w:pPr>
      <w:r w:rsidRPr="00E26C8E">
        <w:rPr>
          <w:rFonts w:eastAsia="Times New Roman"/>
          <w:b/>
          <w:szCs w:val="20"/>
        </w:rPr>
        <w:t>2.4.2</w:t>
      </w:r>
      <w:r w:rsidRPr="00E26C8E">
        <w:rPr>
          <w:rFonts w:eastAsia="Times New Roman"/>
          <w:b/>
          <w:szCs w:val="20"/>
        </w:rPr>
        <w:tab/>
        <w:t>Sequence of mining and progressive rehabilitation</w:t>
      </w:r>
    </w:p>
    <w:p w:rsidR="00E26C8E" w:rsidRPr="00E26C8E" w:rsidRDefault="00E26C8E" w:rsidP="00E26C8E">
      <w:pPr>
        <w:ind w:left="1418"/>
        <w:rPr>
          <w:rFonts w:eastAsia="Times New Roman"/>
          <w:szCs w:val="20"/>
        </w:rPr>
      </w:pPr>
      <w:r w:rsidRPr="00E26C8E">
        <w:rPr>
          <w:rFonts w:eastAsia="Times New Roman"/>
          <w:szCs w:val="20"/>
        </w:rPr>
        <w:t>Provide the following information on the sequence of operations in both text and map form (as per 5.1.2.2):</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indication of planned and potential production well fields and disposal wells;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general description of the planned sequence and timing of well field mining stages (e.g. groundwater pre-treatment, acidification, uranium recovery);</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the circumstances that will determine the commencement of progressive and final rehabilitation;</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estimated production schedules and production rates;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estimated life of mine (including scope for extension).</w:t>
      </w:r>
    </w:p>
    <w:p w:rsidR="00E26C8E" w:rsidRPr="00E26C8E" w:rsidRDefault="00E26C8E" w:rsidP="00E26C8E">
      <w:pPr>
        <w:ind w:left="1418" w:hanging="567"/>
        <w:rPr>
          <w:rFonts w:eastAsia="Times New Roman"/>
          <w:b/>
          <w:szCs w:val="20"/>
        </w:rPr>
      </w:pPr>
      <w:r w:rsidRPr="00E26C8E">
        <w:rPr>
          <w:rFonts w:eastAsia="Times New Roman"/>
          <w:b/>
          <w:szCs w:val="20"/>
        </w:rPr>
        <w:t>2.4.3</w:t>
      </w:r>
      <w:r w:rsidRPr="00E26C8E">
        <w:rPr>
          <w:rFonts w:eastAsia="Times New Roman"/>
          <w:b/>
          <w:szCs w:val="20"/>
        </w:rPr>
        <w:tab/>
        <w:t>Modes and hours of operation</w:t>
      </w:r>
    </w:p>
    <w:p w:rsidR="00E26C8E" w:rsidRPr="00E26C8E" w:rsidRDefault="00E26C8E" w:rsidP="00E26C8E">
      <w:pPr>
        <w:ind w:left="1418"/>
        <w:rPr>
          <w:rFonts w:eastAsia="Times New Roman"/>
          <w:szCs w:val="20"/>
        </w:rPr>
      </w:pPr>
      <w:r w:rsidRPr="00E26C8E">
        <w:rPr>
          <w:rFonts w:eastAsia="Times New Roman"/>
          <w:szCs w:val="20"/>
        </w:rPr>
        <w:t>State if the proposed operation will be worked on a continuous (24 hour, 7 days a week), regular periodical or campaign basis.</w:t>
      </w:r>
    </w:p>
    <w:p w:rsidR="00E26C8E" w:rsidRPr="00E26C8E" w:rsidRDefault="00E26C8E" w:rsidP="00E26C8E">
      <w:pPr>
        <w:ind w:left="1418"/>
        <w:rPr>
          <w:rFonts w:eastAsia="Times New Roman"/>
          <w:szCs w:val="20"/>
        </w:rPr>
      </w:pPr>
      <w:r w:rsidRPr="00E26C8E">
        <w:rPr>
          <w:rFonts w:eastAsia="Times New Roman"/>
          <w:szCs w:val="20"/>
        </w:rPr>
        <w:t>If the proposed operation is to be worked on a regular periodical basis, specify:</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proposed period(s) (daily, weekly and public holidays) to be worked;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proposed start and finish hours the site is to be worked per period.</w:t>
      </w:r>
    </w:p>
    <w:p w:rsidR="00E26C8E" w:rsidRPr="00E26C8E" w:rsidRDefault="00E26C8E" w:rsidP="00E26C8E">
      <w:pPr>
        <w:ind w:left="851" w:hanging="425"/>
        <w:rPr>
          <w:rFonts w:eastAsia="Times New Roman"/>
          <w:b/>
          <w:szCs w:val="20"/>
        </w:rPr>
      </w:pPr>
      <w:r w:rsidRPr="00E26C8E">
        <w:rPr>
          <w:rFonts w:eastAsia="Times New Roman"/>
          <w:b/>
          <w:szCs w:val="20"/>
        </w:rPr>
        <w:t>2.5</w:t>
      </w:r>
      <w:r w:rsidRPr="00E26C8E">
        <w:rPr>
          <w:rFonts w:eastAsia="Times New Roman"/>
          <w:b/>
          <w:szCs w:val="20"/>
        </w:rPr>
        <w:tab/>
        <w:t>Wellfield Operations</w:t>
      </w:r>
    </w:p>
    <w:p w:rsidR="00E26C8E" w:rsidRPr="00E26C8E" w:rsidRDefault="00E26C8E" w:rsidP="00E26C8E">
      <w:pPr>
        <w:ind w:left="1418" w:hanging="567"/>
        <w:rPr>
          <w:rFonts w:eastAsia="Times New Roman"/>
          <w:b/>
          <w:szCs w:val="20"/>
        </w:rPr>
      </w:pPr>
      <w:r w:rsidRPr="00E26C8E">
        <w:rPr>
          <w:rFonts w:eastAsia="Times New Roman"/>
          <w:b/>
          <w:szCs w:val="20"/>
        </w:rPr>
        <w:t>2.5.1</w:t>
      </w:r>
      <w:r w:rsidRPr="00E26C8E">
        <w:rPr>
          <w:rFonts w:eastAsia="Times New Roman"/>
          <w:b/>
          <w:szCs w:val="20"/>
        </w:rPr>
        <w:tab/>
        <w:t>Well construction</w:t>
      </w:r>
    </w:p>
    <w:p w:rsidR="00E26C8E" w:rsidRPr="00E26C8E" w:rsidRDefault="00E26C8E" w:rsidP="00E26C8E">
      <w:pPr>
        <w:ind w:left="1418"/>
        <w:rPr>
          <w:rFonts w:eastAsia="Times New Roman"/>
          <w:szCs w:val="20"/>
        </w:rPr>
      </w:pPr>
      <w:r w:rsidRPr="00E26C8E">
        <w:rPr>
          <w:rFonts w:eastAsia="Times New Roman"/>
          <w:szCs w:val="20"/>
        </w:rPr>
        <w:t>Provide standard design and construction details for:</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injection wells;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production wells;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liquid disposal wells;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water supply wells;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compliance wells;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leading indicator wells.</w:t>
      </w:r>
    </w:p>
    <w:p w:rsidR="00E26C8E" w:rsidRPr="00E26C8E" w:rsidRDefault="00E26C8E" w:rsidP="00E26C8E">
      <w:pPr>
        <w:ind w:left="1418"/>
        <w:rPr>
          <w:rFonts w:eastAsia="Times New Roman"/>
          <w:szCs w:val="20"/>
        </w:rPr>
      </w:pPr>
      <w:r w:rsidRPr="00E26C8E">
        <w:rPr>
          <w:rFonts w:eastAsia="Times New Roman"/>
          <w:szCs w:val="20"/>
        </w:rPr>
        <w:t>Describe how wells have been designed to remain chemically resistant to the mining and liquid disposal fluids.</w:t>
      </w:r>
    </w:p>
    <w:p w:rsidR="00E26C8E" w:rsidRPr="00E26C8E" w:rsidRDefault="00E26C8E" w:rsidP="00E26C8E">
      <w:pPr>
        <w:ind w:left="1418" w:hanging="567"/>
        <w:rPr>
          <w:rFonts w:eastAsia="Times New Roman"/>
          <w:b/>
          <w:szCs w:val="20"/>
        </w:rPr>
      </w:pPr>
      <w:r w:rsidRPr="00E26C8E">
        <w:rPr>
          <w:rFonts w:eastAsia="Times New Roman"/>
          <w:b/>
          <w:szCs w:val="20"/>
        </w:rPr>
        <w:t>2.5.2</w:t>
      </w:r>
      <w:r w:rsidRPr="00E26C8E">
        <w:rPr>
          <w:rFonts w:eastAsia="Times New Roman"/>
          <w:b/>
          <w:szCs w:val="20"/>
        </w:rPr>
        <w:tab/>
        <w:t>Wellfield configuration</w:t>
      </w:r>
    </w:p>
    <w:p w:rsidR="00E26C8E" w:rsidRPr="00E26C8E" w:rsidRDefault="00E26C8E" w:rsidP="00E26C8E">
      <w:pPr>
        <w:ind w:left="1418"/>
        <w:rPr>
          <w:rFonts w:eastAsia="Times New Roman"/>
          <w:szCs w:val="20"/>
        </w:rPr>
      </w:pPr>
      <w:r w:rsidRPr="00E26C8E">
        <w:rPr>
          <w:rFonts w:eastAsia="Times New Roman"/>
          <w:szCs w:val="20"/>
        </w:rPr>
        <w:t>Describe and show on a map and cross sections (as per 5.1.2.1 and 5.2.2.1) the basic configuration of well patterns and well field layout, including the design principles of well fields that minimises the disturbance and impact on sensitive receptors (e.g. native vegetation, cultural heritage sites, water courses etc.) and prevents excursions of mining solutions.</w:t>
      </w:r>
    </w:p>
    <w:p w:rsidR="00E26C8E" w:rsidRPr="00E26C8E" w:rsidRDefault="00E26C8E" w:rsidP="00E26C8E">
      <w:pPr>
        <w:ind w:left="1418" w:hanging="567"/>
        <w:rPr>
          <w:rFonts w:eastAsia="Times New Roman"/>
          <w:b/>
          <w:szCs w:val="20"/>
        </w:rPr>
      </w:pPr>
      <w:r w:rsidRPr="00E26C8E">
        <w:rPr>
          <w:rFonts w:eastAsia="Times New Roman"/>
          <w:b/>
          <w:szCs w:val="20"/>
        </w:rPr>
        <w:t>2.5.3</w:t>
      </w:r>
      <w:r w:rsidRPr="00E26C8E">
        <w:rPr>
          <w:rFonts w:eastAsia="Times New Roman"/>
          <w:b/>
          <w:szCs w:val="20"/>
        </w:rPr>
        <w:tab/>
        <w:t>Well housed/filter skids</w:t>
      </w:r>
    </w:p>
    <w:p w:rsidR="00E26C8E" w:rsidRPr="00E26C8E" w:rsidRDefault="00E26C8E" w:rsidP="00E26C8E">
      <w:pPr>
        <w:ind w:left="1418"/>
        <w:rPr>
          <w:rFonts w:eastAsia="Times New Roman"/>
          <w:szCs w:val="20"/>
        </w:rPr>
      </w:pPr>
      <w:r w:rsidRPr="00E26C8E">
        <w:rPr>
          <w:rFonts w:eastAsia="Times New Roman"/>
          <w:szCs w:val="20"/>
        </w:rPr>
        <w:t>Provide a schematic diagram and a description of the design and construction techniques proposed for well houses/filter skids, including pumps and pressure monitoring.</w:t>
      </w:r>
    </w:p>
    <w:p w:rsidR="00E26C8E" w:rsidRPr="00E26C8E" w:rsidRDefault="00E26C8E" w:rsidP="00E26C8E">
      <w:pPr>
        <w:ind w:left="1418" w:hanging="567"/>
        <w:rPr>
          <w:rFonts w:eastAsia="Times New Roman"/>
          <w:b/>
          <w:szCs w:val="20"/>
        </w:rPr>
      </w:pPr>
      <w:r w:rsidRPr="00E26C8E">
        <w:rPr>
          <w:rFonts w:eastAsia="Times New Roman"/>
          <w:b/>
          <w:szCs w:val="20"/>
        </w:rPr>
        <w:t>2.5.4</w:t>
      </w:r>
      <w:r w:rsidRPr="00E26C8E">
        <w:rPr>
          <w:rFonts w:eastAsia="Times New Roman"/>
          <w:b/>
          <w:szCs w:val="20"/>
        </w:rPr>
        <w:tab/>
        <w:t>Pipelines</w:t>
      </w:r>
    </w:p>
    <w:p w:rsidR="00E26C8E" w:rsidRPr="00E26C8E" w:rsidRDefault="00E26C8E" w:rsidP="00E26C8E">
      <w:pPr>
        <w:ind w:left="1418"/>
        <w:rPr>
          <w:rFonts w:eastAsia="Times New Roman"/>
          <w:szCs w:val="20"/>
        </w:rPr>
      </w:pPr>
      <w:r w:rsidRPr="00E26C8E">
        <w:rPr>
          <w:rFonts w:eastAsia="Times New Roman"/>
          <w:szCs w:val="20"/>
        </w:rPr>
        <w:t>Describe the standard design and construction techniques (including quality assurance processes) proposed for:</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trunk lines;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gathering lines;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waste disposal lines.</w:t>
      </w:r>
    </w:p>
    <w:p w:rsidR="00E26C8E" w:rsidRPr="00E26C8E" w:rsidRDefault="00E26C8E" w:rsidP="00E26C8E">
      <w:pPr>
        <w:ind w:left="1418" w:hanging="567"/>
        <w:rPr>
          <w:rFonts w:eastAsia="Times New Roman"/>
          <w:b/>
          <w:szCs w:val="20"/>
        </w:rPr>
      </w:pPr>
      <w:r w:rsidRPr="00E26C8E">
        <w:rPr>
          <w:rFonts w:eastAsia="Times New Roman"/>
          <w:b/>
          <w:szCs w:val="20"/>
        </w:rPr>
        <w:t>2.5.5</w:t>
      </w:r>
      <w:r w:rsidRPr="00E26C8E">
        <w:rPr>
          <w:rFonts w:eastAsia="Times New Roman"/>
          <w:b/>
          <w:szCs w:val="20"/>
        </w:rPr>
        <w:tab/>
        <w:t>Leak prevention and detection</w:t>
      </w:r>
    </w:p>
    <w:p w:rsidR="00E26C8E" w:rsidRPr="00E26C8E" w:rsidRDefault="00E26C8E" w:rsidP="00E26C8E">
      <w:pPr>
        <w:ind w:left="1418"/>
        <w:rPr>
          <w:rFonts w:eastAsia="Times New Roman"/>
          <w:szCs w:val="20"/>
        </w:rPr>
      </w:pPr>
      <w:r w:rsidRPr="00E26C8E">
        <w:rPr>
          <w:rFonts w:eastAsia="Times New Roman"/>
          <w:szCs w:val="20"/>
        </w:rPr>
        <w:t>Describe the leak prevention and detection system(s) which will enable the operator to promptly and accurately detect and control loss of liquids for all:</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wells;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well houses/filter skids;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pipelines;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associated connecting infrastructure.</w:t>
      </w:r>
    </w:p>
    <w:p w:rsidR="00E26C8E" w:rsidRPr="00E26C8E" w:rsidRDefault="00E26C8E" w:rsidP="00E26C8E">
      <w:pPr>
        <w:ind w:left="1418" w:hanging="567"/>
        <w:rPr>
          <w:rFonts w:eastAsia="Times New Roman"/>
          <w:b/>
          <w:szCs w:val="20"/>
        </w:rPr>
      </w:pPr>
      <w:r w:rsidRPr="00E26C8E">
        <w:rPr>
          <w:rFonts w:eastAsia="Times New Roman"/>
          <w:b/>
          <w:szCs w:val="20"/>
        </w:rPr>
        <w:t>2.5.6</w:t>
      </w:r>
      <w:r w:rsidRPr="00E26C8E">
        <w:rPr>
          <w:rFonts w:eastAsia="Times New Roman"/>
          <w:b/>
          <w:szCs w:val="20"/>
        </w:rPr>
        <w:tab/>
        <w:t>Spill containment</w:t>
      </w:r>
    </w:p>
    <w:p w:rsidR="00E26C8E" w:rsidRPr="00E26C8E" w:rsidRDefault="00E26C8E" w:rsidP="00E26C8E">
      <w:pPr>
        <w:ind w:left="1418"/>
        <w:rPr>
          <w:rFonts w:eastAsia="Times New Roman"/>
          <w:szCs w:val="20"/>
        </w:rPr>
      </w:pPr>
      <w:r w:rsidRPr="00E26C8E">
        <w:rPr>
          <w:rFonts w:eastAsia="Times New Roman"/>
          <w:szCs w:val="20"/>
        </w:rPr>
        <w:t>Describe the spill containment or control system(s) as applicable, including bunding and leak prevention designs, for:</w:t>
      </w:r>
    </w:p>
    <w:p w:rsidR="00E26C8E" w:rsidRPr="00E26C8E" w:rsidRDefault="00E26C8E" w:rsidP="00E26C8E">
      <w:pPr>
        <w:spacing w:after="60"/>
        <w:ind w:left="1702" w:hanging="284"/>
        <w:rPr>
          <w:rFonts w:eastAsia="Times New Roman"/>
          <w:szCs w:val="20"/>
        </w:rPr>
      </w:pPr>
      <w:r w:rsidRPr="00E26C8E">
        <w:rPr>
          <w:rFonts w:eastAsia="Times New Roman"/>
          <w:szCs w:val="20"/>
        </w:rPr>
        <w:t>•</w:t>
      </w:r>
      <w:r w:rsidRPr="00E26C8E">
        <w:rPr>
          <w:rFonts w:eastAsia="Times New Roman"/>
          <w:szCs w:val="20"/>
        </w:rPr>
        <w:tab/>
        <w:t>wells;</w:t>
      </w:r>
    </w:p>
    <w:p w:rsidR="00E26C8E" w:rsidRPr="00E26C8E" w:rsidRDefault="00E26C8E" w:rsidP="00E26C8E">
      <w:pPr>
        <w:spacing w:after="60"/>
        <w:ind w:left="1702" w:hanging="284"/>
        <w:rPr>
          <w:rFonts w:eastAsia="Times New Roman"/>
          <w:szCs w:val="20"/>
        </w:rPr>
      </w:pPr>
      <w:r w:rsidRPr="00E26C8E">
        <w:rPr>
          <w:rFonts w:eastAsia="Times New Roman"/>
          <w:szCs w:val="20"/>
        </w:rPr>
        <w:t>•</w:t>
      </w:r>
      <w:r w:rsidRPr="00E26C8E">
        <w:rPr>
          <w:rFonts w:eastAsia="Times New Roman"/>
          <w:szCs w:val="20"/>
        </w:rPr>
        <w:tab/>
        <w:t>well houses/filter skids;</w:t>
      </w:r>
    </w:p>
    <w:p w:rsidR="00E26C8E" w:rsidRPr="00E26C8E" w:rsidRDefault="00E26C8E" w:rsidP="00E26C8E">
      <w:pPr>
        <w:spacing w:after="60"/>
        <w:ind w:left="1702" w:hanging="284"/>
        <w:rPr>
          <w:rFonts w:eastAsia="Times New Roman"/>
          <w:szCs w:val="20"/>
        </w:rPr>
      </w:pPr>
      <w:r w:rsidRPr="00E26C8E">
        <w:rPr>
          <w:rFonts w:eastAsia="Times New Roman"/>
          <w:szCs w:val="20"/>
        </w:rPr>
        <w:t>•</w:t>
      </w:r>
      <w:r w:rsidRPr="00E26C8E">
        <w:rPr>
          <w:rFonts w:eastAsia="Times New Roman"/>
          <w:szCs w:val="20"/>
        </w:rPr>
        <w:tab/>
        <w:t>well fields;</w:t>
      </w:r>
    </w:p>
    <w:p w:rsidR="00E26C8E" w:rsidRPr="00E26C8E" w:rsidRDefault="00E26C8E" w:rsidP="00E26C8E">
      <w:pPr>
        <w:spacing w:after="60"/>
        <w:ind w:left="1702" w:hanging="284"/>
        <w:rPr>
          <w:rFonts w:eastAsia="Times New Roman"/>
          <w:szCs w:val="20"/>
        </w:rPr>
      </w:pPr>
      <w:r w:rsidRPr="00E26C8E">
        <w:rPr>
          <w:rFonts w:eastAsia="Times New Roman"/>
          <w:szCs w:val="20"/>
        </w:rPr>
        <w:t>•</w:t>
      </w:r>
      <w:r w:rsidRPr="00E26C8E">
        <w:rPr>
          <w:rFonts w:eastAsia="Times New Roman"/>
          <w:szCs w:val="20"/>
        </w:rPr>
        <w:tab/>
        <w:t>pipelines; and</w:t>
      </w:r>
    </w:p>
    <w:p w:rsidR="00E26C8E" w:rsidRPr="00E26C8E" w:rsidRDefault="00E26C8E" w:rsidP="00E26C8E">
      <w:pPr>
        <w:spacing w:after="60"/>
        <w:ind w:left="1702" w:hanging="284"/>
        <w:rPr>
          <w:rFonts w:eastAsia="Times New Roman"/>
          <w:szCs w:val="20"/>
        </w:rPr>
      </w:pPr>
      <w:r w:rsidRPr="00E26C8E">
        <w:rPr>
          <w:rFonts w:eastAsia="Times New Roman"/>
          <w:szCs w:val="20"/>
        </w:rPr>
        <w:t>•</w:t>
      </w:r>
      <w:r w:rsidRPr="00E26C8E">
        <w:rPr>
          <w:rFonts w:eastAsia="Times New Roman"/>
          <w:szCs w:val="20"/>
        </w:rPr>
        <w:tab/>
        <w:t>associated connecting infrastructure.</w:t>
      </w:r>
    </w:p>
    <w:p w:rsidR="00E26C8E" w:rsidRPr="00E26C8E" w:rsidRDefault="00E26C8E" w:rsidP="00E26C8E">
      <w:pPr>
        <w:ind w:left="1418" w:hanging="567"/>
        <w:rPr>
          <w:rFonts w:eastAsia="Times New Roman"/>
          <w:b/>
          <w:szCs w:val="20"/>
        </w:rPr>
      </w:pPr>
      <w:r w:rsidRPr="00E26C8E">
        <w:rPr>
          <w:rFonts w:eastAsia="Times New Roman"/>
          <w:b/>
          <w:szCs w:val="20"/>
        </w:rPr>
        <w:t>2.5.7</w:t>
      </w:r>
      <w:r w:rsidRPr="00E26C8E">
        <w:rPr>
          <w:rFonts w:eastAsia="Times New Roman"/>
          <w:b/>
          <w:szCs w:val="20"/>
        </w:rPr>
        <w:tab/>
        <w:t>Wellfield operation rehabilitation strategies and timing</w:t>
      </w:r>
    </w:p>
    <w:p w:rsidR="00E26C8E" w:rsidRPr="00E26C8E" w:rsidRDefault="00E26C8E" w:rsidP="00E26C8E">
      <w:pPr>
        <w:ind w:left="1418"/>
        <w:rPr>
          <w:rFonts w:eastAsia="Times New Roman"/>
          <w:szCs w:val="20"/>
        </w:rPr>
      </w:pPr>
      <w:r w:rsidRPr="00E26C8E">
        <w:rPr>
          <w:rFonts w:eastAsia="Times New Roman"/>
          <w:szCs w:val="20"/>
        </w:rPr>
        <w:t>Detail all activities, strategies and designs relating to mine closure for rehabilitation of well fields and associated infrastructure, including:</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the circumstances that will determine the commencement of progressive and final rehabilitation;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any opportunities for progressive rehabilitation.</w:t>
      </w:r>
    </w:p>
    <w:p w:rsidR="00E26C8E" w:rsidRPr="00E26C8E" w:rsidRDefault="00E26C8E" w:rsidP="00E26C8E">
      <w:pPr>
        <w:ind w:left="1418"/>
        <w:rPr>
          <w:rFonts w:eastAsia="Times New Roman"/>
          <w:szCs w:val="20"/>
        </w:rPr>
      </w:pPr>
      <w:r w:rsidRPr="00E26C8E">
        <w:rPr>
          <w:rFonts w:eastAsia="Times New Roman"/>
          <w:szCs w:val="20"/>
        </w:rPr>
        <w:t>Where natural attenuation is to be relied on for the remediation of aquifers to achieve post mining groundwater quality outcomes, include:</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a description of the nature and expected rates and distances of the attenuation processes;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predictions of the rate and extent of attenuation supported by laboratory testing and modelling;</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a demonstration that the attenuation model can be validated in under 10 years from the cessation of mining;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a contingency plan if attenuation is not demonstrated to be occurring within expected timeframes.</w:t>
      </w:r>
    </w:p>
    <w:p w:rsidR="00E26C8E" w:rsidRPr="00E26C8E" w:rsidRDefault="00E26C8E" w:rsidP="00E26C8E">
      <w:pPr>
        <w:ind w:left="1418"/>
        <w:rPr>
          <w:rFonts w:eastAsia="Times New Roman"/>
          <w:szCs w:val="20"/>
        </w:rPr>
      </w:pPr>
      <w:r w:rsidRPr="00E26C8E">
        <w:rPr>
          <w:rFonts w:eastAsia="Times New Roman"/>
          <w:szCs w:val="20"/>
        </w:rPr>
        <w:t>Where active groundwater remediation is to be used as a rehabilitation strategy, detail must be provided on the proposed remediation technique to demonstrate how closure outcomes will ultimately be achieved.</w:t>
      </w:r>
    </w:p>
    <w:p w:rsidR="00E26C8E" w:rsidRPr="00E26C8E" w:rsidRDefault="00E26C8E" w:rsidP="00E26C8E">
      <w:pPr>
        <w:ind w:left="851" w:hanging="425"/>
        <w:rPr>
          <w:rFonts w:eastAsia="Times New Roman"/>
          <w:b/>
          <w:szCs w:val="20"/>
        </w:rPr>
      </w:pPr>
      <w:r w:rsidRPr="00E26C8E">
        <w:rPr>
          <w:rFonts w:eastAsia="Times New Roman"/>
          <w:b/>
          <w:szCs w:val="20"/>
        </w:rPr>
        <w:t>2.6</w:t>
      </w:r>
      <w:r w:rsidRPr="00E26C8E">
        <w:rPr>
          <w:rFonts w:eastAsia="Times New Roman"/>
          <w:b/>
          <w:szCs w:val="20"/>
        </w:rPr>
        <w:tab/>
        <w:t>Processing Plant</w:t>
      </w:r>
    </w:p>
    <w:p w:rsidR="00E26C8E" w:rsidRPr="00E26C8E" w:rsidRDefault="00E26C8E" w:rsidP="00E26C8E">
      <w:pPr>
        <w:ind w:left="1418" w:hanging="567"/>
        <w:rPr>
          <w:rFonts w:eastAsia="Times New Roman"/>
          <w:b/>
          <w:szCs w:val="20"/>
        </w:rPr>
      </w:pPr>
      <w:r w:rsidRPr="00E26C8E">
        <w:rPr>
          <w:rFonts w:eastAsia="Times New Roman"/>
          <w:b/>
          <w:szCs w:val="20"/>
        </w:rPr>
        <w:t>2.6.1</w:t>
      </w:r>
      <w:r w:rsidRPr="00E26C8E">
        <w:rPr>
          <w:rFonts w:eastAsia="Times New Roman"/>
          <w:b/>
          <w:szCs w:val="20"/>
        </w:rPr>
        <w:tab/>
        <w:t>Processing plant specifications</w:t>
      </w:r>
    </w:p>
    <w:p w:rsidR="00E26C8E" w:rsidRPr="00E26C8E" w:rsidRDefault="00E26C8E" w:rsidP="00E26C8E">
      <w:pPr>
        <w:ind w:left="1418"/>
        <w:rPr>
          <w:rFonts w:eastAsia="Times New Roman"/>
          <w:szCs w:val="20"/>
        </w:rPr>
      </w:pPr>
      <w:r w:rsidRPr="00E26C8E">
        <w:rPr>
          <w:rFonts w:eastAsia="Times New Roman"/>
          <w:szCs w:val="20"/>
        </w:rPr>
        <w:t>Provide a description of the processing plant (for the primary processing plant and where relevant any satellite processing plant(s)), including:</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capacity of the plant and equipment;</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process diagram showing all chemical inputs, process steps and all waste and product generation;</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area, size, physical components, type of construction (including lining and drainage systems as appropriate) and location of processing plant and associated structures (e.g. liquor ponds, evaporation ponds, wheel wash facilities, silos, fuel tanks, water tanks, chemical storage/use, reverse osmosis plants) to be used for uranium extraction and processing on site;</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the quantity and nature of the chemicals to be used, their reactions with processing water, and their ultimate fate;</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mining solution composition;</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waste solution composition;</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noise sources;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dust sources and composition;</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radon sources and volumes;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ignition sources;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other potential air emissions (including odour) and their composition;</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leak detection system(s) which will enable the operator to promptly and accurately detect and control loss of fluid containment;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maps (as per 5.1.2.1).</w:t>
      </w:r>
    </w:p>
    <w:p w:rsidR="00E26C8E" w:rsidRPr="00E26C8E" w:rsidRDefault="00E26C8E" w:rsidP="00E26C8E">
      <w:pPr>
        <w:ind w:left="1418" w:hanging="567"/>
        <w:rPr>
          <w:rFonts w:eastAsia="Times New Roman"/>
          <w:b/>
          <w:szCs w:val="20"/>
        </w:rPr>
      </w:pPr>
      <w:r w:rsidRPr="00E26C8E">
        <w:rPr>
          <w:rFonts w:eastAsia="Times New Roman"/>
          <w:b/>
          <w:szCs w:val="20"/>
        </w:rPr>
        <w:t>2.6.2</w:t>
      </w:r>
      <w:r w:rsidRPr="00E26C8E">
        <w:rPr>
          <w:rFonts w:eastAsia="Times New Roman"/>
          <w:b/>
          <w:szCs w:val="20"/>
        </w:rPr>
        <w:tab/>
        <w:t>Processing water balance</w:t>
      </w:r>
    </w:p>
    <w:p w:rsidR="00E26C8E" w:rsidRPr="00E26C8E" w:rsidRDefault="00E26C8E" w:rsidP="00E26C8E">
      <w:pPr>
        <w:ind w:left="1418"/>
        <w:rPr>
          <w:rFonts w:eastAsia="Times New Roman"/>
          <w:szCs w:val="20"/>
        </w:rPr>
      </w:pPr>
      <w:r w:rsidRPr="00E26C8E">
        <w:rPr>
          <w:rFonts w:eastAsia="Times New Roman"/>
          <w:szCs w:val="20"/>
        </w:rPr>
        <w:t>Provide a water balance, including:</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approximate water volumes required;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process flow sheet showing all streams including stormwater management where connected to the processing circuit;</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a summary of the inputs and outputs (with consideration of any purge requirements);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determination of net surplus or deficit.</w:t>
      </w:r>
    </w:p>
    <w:p w:rsidR="00E26C8E" w:rsidRPr="00E26C8E" w:rsidRDefault="00E26C8E" w:rsidP="00E26C8E">
      <w:pPr>
        <w:ind w:left="1418"/>
        <w:rPr>
          <w:rFonts w:eastAsia="Times New Roman"/>
          <w:szCs w:val="20"/>
        </w:rPr>
      </w:pPr>
      <w:r w:rsidRPr="00E26C8E">
        <w:rPr>
          <w:rFonts w:eastAsia="Times New Roman"/>
          <w:szCs w:val="20"/>
        </w:rPr>
        <w:t>Provide a description of all water ponds, including:</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size, capacity, layout and location of ponds;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design and construction methods;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chemical composition of the solution to be stored in each pond;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minimum freeboard to be maintained.</w:t>
      </w:r>
    </w:p>
    <w:p w:rsidR="00E26C8E" w:rsidRPr="00E26C8E" w:rsidRDefault="00E26C8E" w:rsidP="00E26C8E">
      <w:pPr>
        <w:ind w:left="1418" w:hanging="567"/>
        <w:rPr>
          <w:rFonts w:eastAsia="Times New Roman"/>
          <w:b/>
          <w:szCs w:val="20"/>
        </w:rPr>
      </w:pPr>
      <w:r w:rsidRPr="00E26C8E">
        <w:rPr>
          <w:rFonts w:eastAsia="Times New Roman"/>
          <w:b/>
          <w:szCs w:val="20"/>
        </w:rPr>
        <w:t>2.6.3</w:t>
      </w:r>
      <w:r w:rsidRPr="00E26C8E">
        <w:rPr>
          <w:rFonts w:eastAsia="Times New Roman"/>
          <w:b/>
          <w:szCs w:val="20"/>
        </w:rPr>
        <w:tab/>
        <w:t>Product storage and security</w:t>
      </w:r>
    </w:p>
    <w:p w:rsidR="00E26C8E" w:rsidRPr="00E26C8E" w:rsidRDefault="00E26C8E" w:rsidP="00E26C8E">
      <w:pPr>
        <w:ind w:left="1418"/>
        <w:rPr>
          <w:rFonts w:eastAsia="Times New Roman"/>
          <w:szCs w:val="20"/>
        </w:rPr>
      </w:pPr>
      <w:r w:rsidRPr="00E26C8E">
        <w:rPr>
          <w:rFonts w:eastAsia="Times New Roman"/>
          <w:szCs w:val="20"/>
        </w:rPr>
        <w:t>Provide confirmation that the storage and security for the final uranium product satisfies the requirements of the Australian Safeguards and Non-Proliferation Office.</w:t>
      </w:r>
    </w:p>
    <w:p w:rsidR="00E26C8E" w:rsidRPr="00E26C8E" w:rsidRDefault="00E26C8E" w:rsidP="00E26C8E">
      <w:pPr>
        <w:ind w:left="1418" w:hanging="567"/>
        <w:rPr>
          <w:rFonts w:eastAsia="Times New Roman"/>
          <w:b/>
          <w:szCs w:val="20"/>
        </w:rPr>
      </w:pPr>
      <w:r w:rsidRPr="00E26C8E">
        <w:rPr>
          <w:rFonts w:eastAsia="Times New Roman"/>
          <w:b/>
          <w:szCs w:val="20"/>
        </w:rPr>
        <w:t>2.6.4</w:t>
      </w:r>
      <w:r w:rsidRPr="00E26C8E">
        <w:rPr>
          <w:rFonts w:eastAsia="Times New Roman"/>
          <w:b/>
          <w:szCs w:val="20"/>
        </w:rPr>
        <w:tab/>
        <w:t>Processing plant rehabilitation strategies and timing</w:t>
      </w:r>
    </w:p>
    <w:p w:rsidR="00E26C8E" w:rsidRPr="00E26C8E" w:rsidRDefault="00E26C8E" w:rsidP="00E26C8E">
      <w:pPr>
        <w:ind w:left="1418"/>
        <w:rPr>
          <w:rFonts w:eastAsia="Times New Roman"/>
          <w:szCs w:val="20"/>
        </w:rPr>
      </w:pPr>
      <w:r w:rsidRPr="00E26C8E">
        <w:rPr>
          <w:rFonts w:eastAsia="Times New Roman"/>
          <w:szCs w:val="20"/>
        </w:rPr>
        <w:t>Detail all activities, strategies and designs relating to mine closure for removal, disposal and rehabilitation of processing plant infrastructure, including timing of these activities.</w:t>
      </w:r>
    </w:p>
    <w:p w:rsidR="00E26C8E" w:rsidRPr="00E26C8E" w:rsidRDefault="00E26C8E" w:rsidP="00E26C8E">
      <w:pPr>
        <w:ind w:left="851" w:hanging="425"/>
        <w:rPr>
          <w:rFonts w:eastAsia="Times New Roman"/>
          <w:b/>
          <w:szCs w:val="20"/>
        </w:rPr>
      </w:pPr>
      <w:r w:rsidRPr="00E26C8E">
        <w:rPr>
          <w:rFonts w:eastAsia="Times New Roman"/>
          <w:b/>
          <w:szCs w:val="20"/>
        </w:rPr>
        <w:t>2.7</w:t>
      </w:r>
      <w:r w:rsidRPr="00E26C8E">
        <w:rPr>
          <w:rFonts w:eastAsia="Times New Roman"/>
          <w:b/>
          <w:szCs w:val="20"/>
        </w:rPr>
        <w:tab/>
        <w:t>Supporting Surface Infrastructure</w:t>
      </w:r>
    </w:p>
    <w:p w:rsidR="00E26C8E" w:rsidRPr="00E26C8E" w:rsidRDefault="00E26C8E" w:rsidP="00E26C8E">
      <w:pPr>
        <w:ind w:left="1418" w:hanging="567"/>
        <w:rPr>
          <w:rFonts w:eastAsia="Times New Roman"/>
          <w:b/>
          <w:szCs w:val="20"/>
        </w:rPr>
      </w:pPr>
      <w:r w:rsidRPr="00E26C8E">
        <w:rPr>
          <w:rFonts w:eastAsia="Times New Roman"/>
          <w:b/>
          <w:szCs w:val="20"/>
        </w:rPr>
        <w:t>2.7.1</w:t>
      </w:r>
      <w:r w:rsidRPr="00E26C8E">
        <w:rPr>
          <w:rFonts w:eastAsia="Times New Roman"/>
          <w:b/>
          <w:szCs w:val="20"/>
        </w:rPr>
        <w:tab/>
        <w:t>Access and roads</w:t>
      </w:r>
    </w:p>
    <w:p w:rsidR="00E26C8E" w:rsidRPr="00E26C8E" w:rsidRDefault="00E26C8E" w:rsidP="00E26C8E">
      <w:pPr>
        <w:ind w:left="1418"/>
        <w:rPr>
          <w:rFonts w:eastAsia="Times New Roman"/>
          <w:szCs w:val="20"/>
        </w:rPr>
      </w:pPr>
      <w:r w:rsidRPr="00E26C8E">
        <w:rPr>
          <w:rFonts w:eastAsia="Times New Roman"/>
          <w:szCs w:val="20"/>
        </w:rPr>
        <w:t>Describe:</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access route to the proposed operations and show on a map (as per 5.1.2.3);</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internal roads within the tenement application area proposed to be used for operations including the delivery of uranium bearing resins and other products, fuels and chemicals;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indicate if any new roads are to be constructed, or if existing roads or intersections (public or private) are to be upgraded;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transport system(s) used to and from the proposed operations and the estimated number of vehicle movements per day;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airport/airstrips to be constructed.</w:t>
      </w:r>
    </w:p>
    <w:p w:rsidR="00E26C8E" w:rsidRPr="00E26C8E" w:rsidRDefault="00E26C8E" w:rsidP="00E26C8E">
      <w:pPr>
        <w:ind w:left="1418" w:hanging="567"/>
        <w:rPr>
          <w:rFonts w:eastAsia="Times New Roman"/>
          <w:b/>
          <w:szCs w:val="20"/>
        </w:rPr>
      </w:pPr>
      <w:r w:rsidRPr="00E26C8E">
        <w:rPr>
          <w:rFonts w:eastAsia="Times New Roman"/>
          <w:b/>
          <w:szCs w:val="20"/>
        </w:rPr>
        <w:t>2.7.2</w:t>
      </w:r>
      <w:r w:rsidRPr="00E26C8E">
        <w:rPr>
          <w:rFonts w:eastAsia="Times New Roman"/>
          <w:b/>
          <w:szCs w:val="20"/>
        </w:rPr>
        <w:tab/>
        <w:t>Accommodation and offices</w:t>
      </w:r>
    </w:p>
    <w:p w:rsidR="00E26C8E" w:rsidRPr="00E26C8E" w:rsidRDefault="00E26C8E" w:rsidP="00E26C8E">
      <w:pPr>
        <w:ind w:left="1418"/>
        <w:rPr>
          <w:rFonts w:eastAsia="Times New Roman"/>
          <w:szCs w:val="20"/>
        </w:rPr>
      </w:pPr>
      <w:r w:rsidRPr="00E26C8E">
        <w:rPr>
          <w:rFonts w:eastAsia="Times New Roman"/>
          <w:szCs w:val="20"/>
        </w:rPr>
        <w:t>Describe:</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number, area, size, type of construction and location of accommodation, office, meals or laboratory building, caravans or camp, and associated structures (e.g. car parks, water tanks, etc.) to be used on site;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if temporary or permanent.</w:t>
      </w:r>
    </w:p>
    <w:p w:rsidR="00E26C8E" w:rsidRPr="00E26C8E" w:rsidRDefault="00E26C8E" w:rsidP="00E26C8E">
      <w:pPr>
        <w:ind w:left="1418" w:hanging="567"/>
        <w:rPr>
          <w:rFonts w:eastAsia="Times New Roman"/>
          <w:b/>
          <w:szCs w:val="20"/>
        </w:rPr>
      </w:pPr>
      <w:r w:rsidRPr="00E26C8E">
        <w:rPr>
          <w:rFonts w:eastAsia="Times New Roman"/>
          <w:b/>
          <w:szCs w:val="20"/>
        </w:rPr>
        <w:t>2.7.3</w:t>
      </w:r>
      <w:r w:rsidRPr="00E26C8E">
        <w:rPr>
          <w:rFonts w:eastAsia="Times New Roman"/>
          <w:b/>
          <w:szCs w:val="20"/>
        </w:rPr>
        <w:tab/>
        <w:t>Public and private services and utilities used by the operation</w:t>
      </w:r>
    </w:p>
    <w:p w:rsidR="00E26C8E" w:rsidRPr="00E26C8E" w:rsidRDefault="00E26C8E" w:rsidP="00E26C8E">
      <w:pPr>
        <w:ind w:left="1418"/>
        <w:rPr>
          <w:rFonts w:eastAsia="Times New Roman"/>
          <w:szCs w:val="20"/>
        </w:rPr>
      </w:pPr>
      <w:r w:rsidRPr="00E26C8E">
        <w:rPr>
          <w:rFonts w:eastAsia="Times New Roman"/>
          <w:szCs w:val="20"/>
        </w:rPr>
        <w:t>Describe:</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sources of services or utilities that are, or are to be supplied to the proposed site, (e.g. power, water, telecommunications);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proposed routes for connection if any new connections to public infrastructure are required;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any existing surface infrastructure that has been and/or the extent it may be affected by the proposed operations.</w:t>
      </w:r>
    </w:p>
    <w:p w:rsidR="00E26C8E" w:rsidRPr="00E26C8E" w:rsidRDefault="00E26C8E" w:rsidP="00E26C8E">
      <w:pPr>
        <w:ind w:left="1418" w:hanging="567"/>
        <w:rPr>
          <w:rFonts w:eastAsia="Times New Roman"/>
          <w:b/>
          <w:szCs w:val="20"/>
        </w:rPr>
      </w:pPr>
      <w:r w:rsidRPr="00E26C8E">
        <w:rPr>
          <w:rFonts w:eastAsia="Times New Roman"/>
          <w:b/>
          <w:szCs w:val="20"/>
        </w:rPr>
        <w:t>2.7.4</w:t>
      </w:r>
      <w:r w:rsidRPr="00E26C8E">
        <w:rPr>
          <w:rFonts w:eastAsia="Times New Roman"/>
          <w:b/>
          <w:szCs w:val="20"/>
        </w:rPr>
        <w:tab/>
        <w:t>Visual screening</w:t>
      </w:r>
    </w:p>
    <w:p w:rsidR="00E26C8E" w:rsidRPr="00E26C8E" w:rsidRDefault="00E26C8E" w:rsidP="00E26C8E">
      <w:pPr>
        <w:ind w:left="1418"/>
        <w:rPr>
          <w:rFonts w:eastAsia="Times New Roman"/>
          <w:szCs w:val="20"/>
        </w:rPr>
      </w:pPr>
      <w:r w:rsidRPr="00E26C8E">
        <w:rPr>
          <w:rFonts w:eastAsia="Times New Roman"/>
          <w:szCs w:val="20"/>
        </w:rPr>
        <w:t>Describe the type of screening, including existing or proposed vegetation (i.e. species and density of plantings) and show on a map (as per 5.1.2.1).</w:t>
      </w:r>
    </w:p>
    <w:p w:rsidR="00E26C8E" w:rsidRPr="00E26C8E" w:rsidRDefault="00E26C8E" w:rsidP="00E26C8E">
      <w:pPr>
        <w:ind w:left="1418" w:hanging="567"/>
        <w:rPr>
          <w:rFonts w:eastAsia="Times New Roman"/>
          <w:b/>
          <w:szCs w:val="20"/>
        </w:rPr>
      </w:pPr>
      <w:r w:rsidRPr="00E26C8E">
        <w:rPr>
          <w:rFonts w:eastAsia="Times New Roman"/>
          <w:b/>
          <w:szCs w:val="20"/>
        </w:rPr>
        <w:t>2.7.5</w:t>
      </w:r>
      <w:r w:rsidRPr="00E26C8E">
        <w:rPr>
          <w:rFonts w:eastAsia="Times New Roman"/>
          <w:b/>
          <w:szCs w:val="20"/>
        </w:rPr>
        <w:tab/>
        <w:t>Fuel and chemical storage</w:t>
      </w:r>
    </w:p>
    <w:p w:rsidR="00E26C8E" w:rsidRPr="00E26C8E" w:rsidRDefault="00E26C8E" w:rsidP="00E26C8E">
      <w:pPr>
        <w:ind w:left="1418"/>
        <w:rPr>
          <w:rFonts w:eastAsia="Times New Roman"/>
          <w:szCs w:val="20"/>
        </w:rPr>
      </w:pPr>
      <w:r w:rsidRPr="00E26C8E">
        <w:rPr>
          <w:rFonts w:eastAsia="Times New Roman"/>
          <w:szCs w:val="20"/>
        </w:rPr>
        <w:t>For all fuels and chemicals to be stored on site show the proposed location of storage on a map (as per 5.1.2.1) and provide detail on:</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types of bulk chemicals and the volumes of each;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proposed storage, bunding and containment for all chemical and fuel storage vessels.</w:t>
      </w:r>
    </w:p>
    <w:p w:rsidR="00E26C8E" w:rsidRPr="00E26C8E" w:rsidRDefault="00E26C8E" w:rsidP="00E26C8E">
      <w:pPr>
        <w:ind w:left="1418" w:hanging="567"/>
        <w:rPr>
          <w:rFonts w:eastAsia="Times New Roman"/>
          <w:b/>
          <w:szCs w:val="20"/>
        </w:rPr>
      </w:pPr>
      <w:r w:rsidRPr="00E26C8E">
        <w:rPr>
          <w:rFonts w:eastAsia="Times New Roman"/>
          <w:b/>
          <w:szCs w:val="20"/>
        </w:rPr>
        <w:t>2.7.6</w:t>
      </w:r>
      <w:r w:rsidRPr="00E26C8E">
        <w:rPr>
          <w:rFonts w:eastAsia="Times New Roman"/>
          <w:b/>
          <w:szCs w:val="20"/>
        </w:rPr>
        <w:tab/>
        <w:t>Site security</w:t>
      </w:r>
    </w:p>
    <w:p w:rsidR="00E26C8E" w:rsidRPr="00E26C8E" w:rsidRDefault="00E26C8E" w:rsidP="00E26C8E">
      <w:pPr>
        <w:ind w:left="1418"/>
        <w:rPr>
          <w:rFonts w:eastAsia="Times New Roman"/>
          <w:szCs w:val="20"/>
        </w:rPr>
      </w:pPr>
      <w:r w:rsidRPr="00E26C8E">
        <w:rPr>
          <w:rFonts w:eastAsia="Times New Roman"/>
          <w:szCs w:val="20"/>
        </w:rPr>
        <w:t>Describe infrastructure and measures that will be adopted to prevent unauthorised access by the public, including (but not limited to) fencing and signage.</w:t>
      </w:r>
    </w:p>
    <w:p w:rsidR="00E26C8E" w:rsidRPr="00E26C8E" w:rsidRDefault="00E26C8E" w:rsidP="00E26C8E">
      <w:pPr>
        <w:ind w:left="1418" w:hanging="567"/>
        <w:rPr>
          <w:rFonts w:eastAsia="Times New Roman"/>
          <w:b/>
          <w:szCs w:val="20"/>
        </w:rPr>
      </w:pPr>
      <w:r w:rsidRPr="00E26C8E">
        <w:rPr>
          <w:rFonts w:eastAsia="Times New Roman"/>
          <w:b/>
          <w:szCs w:val="20"/>
        </w:rPr>
        <w:t>2.7.7</w:t>
      </w:r>
      <w:r w:rsidRPr="00E26C8E">
        <w:rPr>
          <w:rFonts w:eastAsia="Times New Roman"/>
          <w:b/>
          <w:szCs w:val="20"/>
        </w:rPr>
        <w:tab/>
        <w:t>Stormwater, silt control and drainage</w:t>
      </w:r>
    </w:p>
    <w:p w:rsidR="00E26C8E" w:rsidRPr="00E26C8E" w:rsidRDefault="00E26C8E" w:rsidP="00E26C8E">
      <w:pPr>
        <w:ind w:left="1418"/>
        <w:rPr>
          <w:rFonts w:eastAsia="Times New Roman"/>
          <w:szCs w:val="20"/>
        </w:rPr>
      </w:pPr>
      <w:r w:rsidRPr="00E26C8E">
        <w:rPr>
          <w:rFonts w:eastAsia="Times New Roman"/>
          <w:szCs w:val="20"/>
        </w:rPr>
        <w:t>Describe and show on a map (as per 5.1.2.1):</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location and design of sediment management structures;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management and disposal of silt;</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strategies to control runoff on disturbed areas and rehabilitated areas;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storage, diversion and release of clean water;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a whole of site stormwater balance, if not included in the water balance in clause 2.6.2.</w:t>
      </w:r>
    </w:p>
    <w:p w:rsidR="00E26C8E" w:rsidRPr="00E26C8E" w:rsidRDefault="00E26C8E" w:rsidP="00E26C8E">
      <w:pPr>
        <w:ind w:left="1418" w:hanging="567"/>
        <w:rPr>
          <w:rFonts w:eastAsia="Times New Roman"/>
          <w:b/>
          <w:szCs w:val="20"/>
        </w:rPr>
      </w:pPr>
      <w:r w:rsidRPr="00E26C8E">
        <w:rPr>
          <w:rFonts w:eastAsia="Times New Roman"/>
          <w:b/>
          <w:szCs w:val="20"/>
        </w:rPr>
        <w:t>2.7.8</w:t>
      </w:r>
      <w:r w:rsidRPr="00E26C8E">
        <w:rPr>
          <w:rFonts w:eastAsia="Times New Roman"/>
          <w:b/>
          <w:szCs w:val="20"/>
        </w:rPr>
        <w:tab/>
        <w:t>Supporting surface infrastructure rehabilitation strategies and timing</w:t>
      </w:r>
    </w:p>
    <w:p w:rsidR="00E26C8E" w:rsidRPr="00E26C8E" w:rsidRDefault="00E26C8E" w:rsidP="00E26C8E">
      <w:pPr>
        <w:ind w:left="1418"/>
        <w:rPr>
          <w:rFonts w:eastAsia="Times New Roman"/>
          <w:szCs w:val="20"/>
        </w:rPr>
      </w:pPr>
      <w:r w:rsidRPr="00E26C8E">
        <w:rPr>
          <w:rFonts w:eastAsia="Times New Roman"/>
          <w:szCs w:val="20"/>
        </w:rPr>
        <w:t>Detail all activities, strategies and designs relating to mine closure for removal, disposal and rehabilitation of supporting surface infrastructure, including timing of these activities.</w:t>
      </w:r>
    </w:p>
    <w:p w:rsidR="00E26C8E" w:rsidRPr="00E26C8E" w:rsidRDefault="00E26C8E" w:rsidP="00E26C8E">
      <w:pPr>
        <w:ind w:left="851" w:hanging="425"/>
        <w:rPr>
          <w:rFonts w:eastAsia="Times New Roman"/>
          <w:b/>
          <w:szCs w:val="20"/>
        </w:rPr>
      </w:pPr>
      <w:r w:rsidRPr="00E26C8E">
        <w:rPr>
          <w:rFonts w:eastAsia="Times New Roman"/>
          <w:b/>
          <w:szCs w:val="20"/>
        </w:rPr>
        <w:t>2.8</w:t>
      </w:r>
      <w:r w:rsidRPr="00E26C8E">
        <w:rPr>
          <w:rFonts w:eastAsia="Times New Roman"/>
          <w:b/>
          <w:szCs w:val="20"/>
        </w:rPr>
        <w:tab/>
        <w:t>Solid waste facilities—non-radioactive and radioactive waste</w:t>
      </w:r>
    </w:p>
    <w:p w:rsidR="00E26C8E" w:rsidRPr="00E26C8E" w:rsidRDefault="00E26C8E" w:rsidP="00E26C8E">
      <w:pPr>
        <w:ind w:left="1418" w:hanging="567"/>
        <w:rPr>
          <w:rFonts w:eastAsia="Times New Roman"/>
          <w:b/>
          <w:szCs w:val="20"/>
        </w:rPr>
      </w:pPr>
      <w:r w:rsidRPr="00E26C8E">
        <w:rPr>
          <w:rFonts w:eastAsia="Times New Roman"/>
          <w:b/>
          <w:szCs w:val="20"/>
        </w:rPr>
        <w:t>2.8.1</w:t>
      </w:r>
      <w:r w:rsidRPr="00E26C8E">
        <w:rPr>
          <w:rFonts w:eastAsia="Times New Roman"/>
          <w:b/>
          <w:szCs w:val="20"/>
        </w:rPr>
        <w:tab/>
        <w:t>Description of solid waste generated</w:t>
      </w:r>
    </w:p>
    <w:p w:rsidR="00E26C8E" w:rsidRPr="00E26C8E" w:rsidRDefault="00E26C8E" w:rsidP="00E26C8E">
      <w:pPr>
        <w:ind w:left="1418"/>
        <w:rPr>
          <w:rFonts w:eastAsia="Times New Roman"/>
          <w:szCs w:val="20"/>
        </w:rPr>
      </w:pPr>
      <w:r w:rsidRPr="00E26C8E">
        <w:rPr>
          <w:rFonts w:eastAsia="Times New Roman"/>
          <w:szCs w:val="20"/>
        </w:rPr>
        <w:t>Detail the types, composition and quantities of all solid waste generated throughout the mining and processing operation, including:</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residue and precipitates in ponds and tanks (pregnant and barren);</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industrial waste, such as workshop waste, tyres, drums and oil filters;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domestic wastes;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solid waste from clean up of fuel and chemical spills;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radioactive waste;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estimated volumes and chemical composition of drilling waste.</w:t>
      </w:r>
    </w:p>
    <w:p w:rsidR="00E26C8E" w:rsidRPr="00E26C8E" w:rsidRDefault="00E26C8E" w:rsidP="00E26C8E">
      <w:pPr>
        <w:ind w:left="1418"/>
        <w:rPr>
          <w:rFonts w:eastAsia="Times New Roman"/>
          <w:szCs w:val="20"/>
        </w:rPr>
      </w:pPr>
      <w:r w:rsidRPr="00E26C8E">
        <w:rPr>
          <w:rFonts w:eastAsia="Times New Roman"/>
          <w:szCs w:val="20"/>
        </w:rPr>
        <w:t>For each waste type, describe the method of disposal:</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off-site disposal;</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on-site waste disposal;</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recycling (either on site or off site);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contingency disposal arrangements in the event the preferred disposal method becomes unavailable during the life of the operation.</w:t>
      </w:r>
    </w:p>
    <w:p w:rsidR="00E26C8E" w:rsidRPr="00E26C8E" w:rsidRDefault="00E26C8E" w:rsidP="00E26C8E">
      <w:pPr>
        <w:ind w:left="1418" w:hanging="567"/>
        <w:rPr>
          <w:rFonts w:eastAsia="Times New Roman"/>
          <w:b/>
          <w:szCs w:val="20"/>
        </w:rPr>
      </w:pPr>
      <w:r w:rsidRPr="00E26C8E">
        <w:rPr>
          <w:rFonts w:eastAsia="Times New Roman"/>
          <w:b/>
          <w:szCs w:val="20"/>
        </w:rPr>
        <w:t>2.8.2</w:t>
      </w:r>
      <w:r w:rsidRPr="00E26C8E">
        <w:rPr>
          <w:rFonts w:eastAsia="Times New Roman"/>
          <w:b/>
          <w:szCs w:val="20"/>
        </w:rPr>
        <w:tab/>
        <w:t>Design of waste storage, treatment and disposal facilities</w:t>
      </w:r>
    </w:p>
    <w:p w:rsidR="00E26C8E" w:rsidRPr="00E26C8E" w:rsidRDefault="00E26C8E" w:rsidP="00E26C8E">
      <w:pPr>
        <w:ind w:left="1418"/>
        <w:rPr>
          <w:rFonts w:eastAsia="Times New Roman"/>
          <w:szCs w:val="20"/>
        </w:rPr>
      </w:pPr>
      <w:r w:rsidRPr="00E26C8E">
        <w:rPr>
          <w:rFonts w:eastAsia="Times New Roman"/>
          <w:szCs w:val="20"/>
        </w:rPr>
        <w:t>Detail disposal of both non-radioactive and radioactive wastes, including:</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location on a map (as per 5.2.2.1), size, shape and depth of permanent and temporary waste storage facilities;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dimensions and volumes of waste (taking into account any void space);</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method of construction;</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types of materials likely to be disposed of in the facility;</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type and thickness of liners;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leakage collection and detection systems;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type of base;</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proposed capping methods; and</w:t>
      </w:r>
    </w:p>
    <w:p w:rsidR="00E26C8E" w:rsidRPr="00E26C8E" w:rsidRDefault="00E26C8E" w:rsidP="00E26C8E">
      <w:pPr>
        <w:ind w:left="1418"/>
        <w:rPr>
          <w:rFonts w:eastAsia="Times New Roman"/>
          <w:szCs w:val="20"/>
        </w:rPr>
      </w:pPr>
      <w:r w:rsidRPr="00E26C8E">
        <w:rPr>
          <w:rFonts w:eastAsia="Times New Roman"/>
          <w:szCs w:val="20"/>
        </w:rPr>
        <w:t>proposed method of monitoring for leachate.</w:t>
      </w:r>
    </w:p>
    <w:p w:rsidR="00E26C8E" w:rsidRPr="00E26C8E" w:rsidRDefault="00E26C8E" w:rsidP="00E26C8E">
      <w:pPr>
        <w:ind w:left="1418" w:hanging="567"/>
        <w:rPr>
          <w:rFonts w:eastAsia="Times New Roman"/>
          <w:b/>
          <w:szCs w:val="20"/>
        </w:rPr>
      </w:pPr>
      <w:r w:rsidRPr="00E26C8E">
        <w:rPr>
          <w:rFonts w:eastAsia="Times New Roman"/>
          <w:b/>
          <w:szCs w:val="20"/>
        </w:rPr>
        <w:t>2.8.3</w:t>
      </w:r>
      <w:r w:rsidRPr="00E26C8E">
        <w:rPr>
          <w:rFonts w:eastAsia="Times New Roman"/>
          <w:b/>
          <w:szCs w:val="20"/>
        </w:rPr>
        <w:tab/>
        <w:t>Solid waste storage, treatment and disposal infrastructure rehabilitation strategies and timing</w:t>
      </w:r>
    </w:p>
    <w:p w:rsidR="00E26C8E" w:rsidRPr="00E26C8E" w:rsidRDefault="00E26C8E" w:rsidP="00E26C8E">
      <w:pPr>
        <w:ind w:left="1418"/>
        <w:rPr>
          <w:rFonts w:eastAsia="Times New Roman"/>
          <w:szCs w:val="20"/>
        </w:rPr>
      </w:pPr>
      <w:r w:rsidRPr="00E26C8E">
        <w:rPr>
          <w:rFonts w:eastAsia="Times New Roman"/>
          <w:szCs w:val="20"/>
        </w:rPr>
        <w:t>Detail all activities, strategies and designs relating to mine closure for removal, disposal and rehabilitation of solid waste facilities, including timing of these activities.</w:t>
      </w:r>
    </w:p>
    <w:p w:rsidR="00E26C8E" w:rsidRPr="00E26C8E" w:rsidRDefault="00E26C8E" w:rsidP="00E26C8E">
      <w:pPr>
        <w:ind w:left="851" w:hanging="425"/>
        <w:rPr>
          <w:rFonts w:eastAsia="Times New Roman"/>
          <w:b/>
          <w:szCs w:val="20"/>
        </w:rPr>
      </w:pPr>
      <w:r w:rsidRPr="00E26C8E">
        <w:rPr>
          <w:rFonts w:eastAsia="Times New Roman"/>
          <w:b/>
          <w:szCs w:val="20"/>
        </w:rPr>
        <w:t>2.9</w:t>
      </w:r>
      <w:r w:rsidRPr="00E26C8E">
        <w:rPr>
          <w:rFonts w:eastAsia="Times New Roman"/>
          <w:b/>
          <w:szCs w:val="20"/>
        </w:rPr>
        <w:tab/>
        <w:t>Non-radioactive Liquid Waste</w:t>
      </w:r>
    </w:p>
    <w:p w:rsidR="00E26C8E" w:rsidRPr="00E26C8E" w:rsidRDefault="00E26C8E" w:rsidP="00E26C8E">
      <w:pPr>
        <w:ind w:left="1418" w:hanging="567"/>
        <w:rPr>
          <w:rFonts w:eastAsia="Times New Roman"/>
          <w:b/>
          <w:szCs w:val="20"/>
        </w:rPr>
      </w:pPr>
      <w:r w:rsidRPr="00E26C8E">
        <w:rPr>
          <w:rFonts w:eastAsia="Times New Roman"/>
          <w:b/>
          <w:szCs w:val="20"/>
        </w:rPr>
        <w:t>2.9.1</w:t>
      </w:r>
      <w:r w:rsidRPr="00E26C8E">
        <w:rPr>
          <w:rFonts w:eastAsia="Times New Roman"/>
          <w:b/>
          <w:szCs w:val="20"/>
        </w:rPr>
        <w:tab/>
        <w:t>Description of liquid waste generated</w:t>
      </w:r>
    </w:p>
    <w:p w:rsidR="00E26C8E" w:rsidRPr="00E26C8E" w:rsidRDefault="00E26C8E" w:rsidP="00E26C8E">
      <w:pPr>
        <w:ind w:left="1418"/>
        <w:rPr>
          <w:rFonts w:eastAsia="Times New Roman"/>
          <w:szCs w:val="20"/>
        </w:rPr>
      </w:pPr>
      <w:r w:rsidRPr="00E26C8E">
        <w:rPr>
          <w:rFonts w:eastAsia="Times New Roman"/>
          <w:szCs w:val="20"/>
        </w:rPr>
        <w:t>Detail the types, composition and quantities of liquid waste generated through mining activities, including:</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oils and chemicals;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brine from reverse osmosis plants;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wastewater and sewage treatment plants;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hazardous liquid wastes.</w:t>
      </w:r>
    </w:p>
    <w:p w:rsidR="00E26C8E" w:rsidRPr="00E26C8E" w:rsidRDefault="00E26C8E" w:rsidP="00E26C8E">
      <w:pPr>
        <w:ind w:left="1418" w:hanging="567"/>
        <w:rPr>
          <w:rFonts w:eastAsia="Times New Roman"/>
          <w:b/>
          <w:szCs w:val="20"/>
        </w:rPr>
      </w:pPr>
      <w:r w:rsidRPr="00E26C8E">
        <w:rPr>
          <w:rFonts w:eastAsia="Times New Roman"/>
          <w:b/>
          <w:szCs w:val="20"/>
        </w:rPr>
        <w:t>2.9.2</w:t>
      </w:r>
      <w:r w:rsidRPr="00E26C8E">
        <w:rPr>
          <w:rFonts w:eastAsia="Times New Roman"/>
          <w:b/>
          <w:szCs w:val="20"/>
        </w:rPr>
        <w:tab/>
        <w:t>Description of liquid waste treatment, storage and disposal facilities</w:t>
      </w:r>
    </w:p>
    <w:p w:rsidR="00E26C8E" w:rsidRPr="00E26C8E" w:rsidRDefault="00E26C8E" w:rsidP="00E26C8E">
      <w:pPr>
        <w:ind w:left="1418"/>
        <w:rPr>
          <w:rFonts w:eastAsia="Times New Roman"/>
          <w:szCs w:val="20"/>
        </w:rPr>
      </w:pPr>
      <w:r w:rsidRPr="00E26C8E">
        <w:rPr>
          <w:rFonts w:eastAsia="Times New Roman"/>
          <w:szCs w:val="20"/>
        </w:rPr>
        <w:t>Detail the liquid waste treatment, storage and disposal systems, including:</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type, size and location (on a map as per 5.1.2.1) of sewage systems; state if the system is required to be approved by the relevant authority;</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type of other wastewater treatment to be undertaken on site, including location, layout, treatment process and final disposal;</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method of disposal of liquid waste streams (injection into aquifer, evaporation etc.);</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location on a map and cross sections (as per 5.1.2.1 and 5.2.2.1) of disposal wells or evaporation ponds;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if aquifer disposal is proposed, the estimated capacity and disposal rates;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if evaporation disposal is proposed, estimated evaporation rates;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construction details for evaporation ponds and embankment height;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temporary storage facilities for wastes to be sent off site for recycling or disposal.</w:t>
      </w:r>
    </w:p>
    <w:p w:rsidR="00E26C8E" w:rsidRPr="00E26C8E" w:rsidRDefault="00E26C8E" w:rsidP="00E26C8E">
      <w:pPr>
        <w:ind w:left="1418" w:hanging="567"/>
        <w:rPr>
          <w:rFonts w:eastAsia="Times New Roman"/>
          <w:b/>
          <w:szCs w:val="20"/>
        </w:rPr>
      </w:pPr>
      <w:r w:rsidRPr="00E26C8E">
        <w:rPr>
          <w:rFonts w:eastAsia="Times New Roman"/>
          <w:b/>
          <w:szCs w:val="20"/>
        </w:rPr>
        <w:t>2.9.3</w:t>
      </w:r>
      <w:r w:rsidRPr="00E26C8E">
        <w:rPr>
          <w:rFonts w:eastAsia="Times New Roman"/>
          <w:b/>
          <w:szCs w:val="20"/>
        </w:rPr>
        <w:tab/>
      </w:r>
      <w:r w:rsidRPr="00E26C8E">
        <w:rPr>
          <w:rFonts w:eastAsia="Times New Roman"/>
          <w:b/>
          <w:spacing w:val="-2"/>
          <w:szCs w:val="20"/>
        </w:rPr>
        <w:t>Non-radioactive liquid waste treatment, storage and disposal infrastructure rehabilitation strategies and timing</w:t>
      </w:r>
    </w:p>
    <w:p w:rsidR="00E26C8E" w:rsidRPr="00E26C8E" w:rsidRDefault="00E26C8E" w:rsidP="00E26C8E">
      <w:pPr>
        <w:ind w:left="1418"/>
        <w:rPr>
          <w:rFonts w:eastAsia="Times New Roman"/>
          <w:szCs w:val="20"/>
        </w:rPr>
      </w:pPr>
      <w:r w:rsidRPr="00E26C8E">
        <w:rPr>
          <w:rFonts w:eastAsia="Times New Roman"/>
          <w:szCs w:val="20"/>
        </w:rPr>
        <w:t>Detail all activities, strategies and designs relating to mine closure for removal, disposal and rehabilitation of non-radioactive liquid waste storage, treatment and disposal infrastructure, including timing of these activities.</w:t>
      </w:r>
    </w:p>
    <w:p w:rsidR="00E26C8E" w:rsidRPr="00E26C8E" w:rsidRDefault="00E26C8E" w:rsidP="00E26C8E">
      <w:pPr>
        <w:ind w:left="851" w:hanging="425"/>
        <w:rPr>
          <w:rFonts w:eastAsia="Times New Roman"/>
          <w:b/>
          <w:szCs w:val="20"/>
        </w:rPr>
      </w:pPr>
      <w:r w:rsidRPr="00E26C8E">
        <w:rPr>
          <w:rFonts w:eastAsia="Times New Roman"/>
          <w:b/>
          <w:szCs w:val="20"/>
        </w:rPr>
        <w:t>2.10</w:t>
      </w:r>
      <w:r w:rsidRPr="00E26C8E">
        <w:rPr>
          <w:rFonts w:eastAsia="Times New Roman"/>
          <w:b/>
          <w:szCs w:val="20"/>
        </w:rPr>
        <w:tab/>
        <w:t>Radioactive Liquid Waste</w:t>
      </w:r>
    </w:p>
    <w:p w:rsidR="00E26C8E" w:rsidRPr="00E26C8E" w:rsidRDefault="00E26C8E" w:rsidP="00E26C8E">
      <w:pPr>
        <w:ind w:left="1418" w:hanging="567"/>
        <w:rPr>
          <w:rFonts w:eastAsia="Times New Roman"/>
          <w:szCs w:val="20"/>
        </w:rPr>
      </w:pPr>
      <w:r w:rsidRPr="00E26C8E">
        <w:rPr>
          <w:rFonts w:eastAsia="Times New Roman"/>
          <w:b/>
          <w:szCs w:val="20"/>
        </w:rPr>
        <w:t>2.10.1</w:t>
      </w:r>
      <w:r w:rsidRPr="00E26C8E">
        <w:rPr>
          <w:rFonts w:eastAsia="Times New Roman"/>
          <w:b/>
          <w:szCs w:val="20"/>
        </w:rPr>
        <w:tab/>
        <w:t>Description of radioactive liquid waste generated</w:t>
      </w:r>
    </w:p>
    <w:p w:rsidR="00E26C8E" w:rsidRPr="00E26C8E" w:rsidRDefault="00E26C8E" w:rsidP="00E26C8E">
      <w:pPr>
        <w:ind w:left="1418"/>
        <w:rPr>
          <w:rFonts w:eastAsia="Times New Roman"/>
          <w:szCs w:val="20"/>
        </w:rPr>
      </w:pPr>
      <w:r w:rsidRPr="00E26C8E">
        <w:rPr>
          <w:rFonts w:eastAsia="Times New Roman"/>
          <w:szCs w:val="20"/>
        </w:rPr>
        <w:t>Detail the types, composition and quantities of radioactive liquid waste generated through mining activities, in particular, bleed stream and other disposal fluids relating to the mining activity, including liquid waste stored in:</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retention ponds;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evaporation ponds;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injection of waste into designated aquifers; and</w:t>
      </w:r>
    </w:p>
    <w:p w:rsidR="00E26C8E" w:rsidRPr="00E26C8E" w:rsidRDefault="00E26C8E" w:rsidP="00E26C8E">
      <w:pPr>
        <w:ind w:left="1418"/>
        <w:rPr>
          <w:rFonts w:eastAsia="Times New Roman"/>
          <w:szCs w:val="20"/>
        </w:rPr>
      </w:pPr>
      <w:r w:rsidRPr="00E26C8E">
        <w:rPr>
          <w:rFonts w:eastAsia="Times New Roman"/>
          <w:szCs w:val="20"/>
        </w:rPr>
        <w:t>Describe probable environmental releases deriving from the above liquid wastes (e.g. radon).</w:t>
      </w:r>
    </w:p>
    <w:p w:rsidR="00E26C8E" w:rsidRPr="00E26C8E" w:rsidRDefault="00E26C8E" w:rsidP="00E26C8E">
      <w:pPr>
        <w:ind w:left="1418"/>
        <w:rPr>
          <w:rFonts w:eastAsia="Times New Roman"/>
          <w:szCs w:val="20"/>
        </w:rPr>
      </w:pPr>
      <w:r w:rsidRPr="00E26C8E">
        <w:rPr>
          <w:rFonts w:eastAsia="Times New Roman"/>
          <w:szCs w:val="20"/>
        </w:rPr>
        <w:t>The description of the liquid wastes generated must include an anticipated chemical composition of the fluids, and the anticipated volumes of disposal.</w:t>
      </w:r>
    </w:p>
    <w:p w:rsidR="00E26C8E" w:rsidRPr="00E26C8E" w:rsidRDefault="00E26C8E" w:rsidP="00E26C8E">
      <w:pPr>
        <w:ind w:left="1418" w:hanging="567"/>
        <w:rPr>
          <w:rFonts w:eastAsia="Times New Roman"/>
          <w:b/>
          <w:szCs w:val="20"/>
        </w:rPr>
      </w:pPr>
      <w:r w:rsidRPr="00E26C8E">
        <w:rPr>
          <w:rFonts w:eastAsia="Times New Roman"/>
          <w:b/>
          <w:szCs w:val="20"/>
        </w:rPr>
        <w:t>2.10.2</w:t>
      </w:r>
      <w:r w:rsidRPr="00E26C8E">
        <w:rPr>
          <w:rFonts w:eastAsia="Times New Roman"/>
          <w:b/>
          <w:szCs w:val="20"/>
        </w:rPr>
        <w:tab/>
        <w:t>Detailed design of treatment, storage and disposal systems</w:t>
      </w:r>
    </w:p>
    <w:p w:rsidR="00E26C8E" w:rsidRPr="00E26C8E" w:rsidRDefault="00E26C8E" w:rsidP="00E26C8E">
      <w:pPr>
        <w:ind w:left="1418"/>
        <w:rPr>
          <w:rFonts w:eastAsia="Times New Roman"/>
          <w:szCs w:val="20"/>
        </w:rPr>
      </w:pPr>
      <w:r w:rsidRPr="00E26C8E">
        <w:rPr>
          <w:rFonts w:eastAsia="Times New Roman"/>
          <w:szCs w:val="20"/>
        </w:rPr>
        <w:t>Detail the radioactive liquid processing wastes generated, including:</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schematic or process flow diagram showing the progression of liquid waste through the operations;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equipment and facilities for each waste area;</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method of disposal (injection into aquifer, evaporation etc.), including:</w:t>
      </w:r>
    </w:p>
    <w:p w:rsidR="00E26C8E" w:rsidRPr="00E26C8E" w:rsidRDefault="00E26C8E" w:rsidP="00E26C8E">
      <w:pPr>
        <w:ind w:left="1701"/>
        <w:rPr>
          <w:rFonts w:eastAsia="Times New Roman"/>
          <w:szCs w:val="20"/>
        </w:rPr>
      </w:pPr>
      <w:r w:rsidRPr="00E26C8E">
        <w:rPr>
          <w:rFonts w:eastAsia="Times New Roman"/>
          <w:szCs w:val="20"/>
        </w:rPr>
        <w:t>- estimated capacity and disposal rates if aquifer disposal is proposed.</w:t>
      </w:r>
    </w:p>
    <w:p w:rsidR="00E26C8E" w:rsidRPr="00E26C8E" w:rsidRDefault="00E26C8E" w:rsidP="00E26C8E">
      <w:pPr>
        <w:ind w:left="1701"/>
        <w:rPr>
          <w:rFonts w:eastAsia="Times New Roman"/>
          <w:szCs w:val="20"/>
        </w:rPr>
      </w:pPr>
      <w:r w:rsidRPr="00E26C8E">
        <w:rPr>
          <w:rFonts w:eastAsia="Times New Roman"/>
          <w:szCs w:val="20"/>
        </w:rPr>
        <w:t>- estimated evaporation rates if evaporation disposal is proposed.</w:t>
      </w:r>
    </w:p>
    <w:p w:rsidR="00E26C8E" w:rsidRPr="00E26C8E" w:rsidRDefault="00E26C8E" w:rsidP="00E26C8E">
      <w:pPr>
        <w:ind w:left="1701"/>
        <w:rPr>
          <w:rFonts w:eastAsia="Times New Roman"/>
          <w:szCs w:val="20"/>
        </w:rPr>
      </w:pPr>
      <w:r w:rsidRPr="00E26C8E">
        <w:rPr>
          <w:rFonts w:eastAsia="Times New Roman"/>
          <w:szCs w:val="20"/>
        </w:rPr>
        <w:t>- justification for chosen disposal option</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location of disposal wells or evaporation ponds (in terms of the site location shown on maps and cross sections (as per 5.1.2.1 and 5.2.2.1) and the hydrogeological setting if disposal is by re-injection);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construction details for evaporation ponds must include the layout of each area, dimensions, volumes and the method of pond construction.</w:t>
      </w:r>
    </w:p>
    <w:p w:rsidR="00E26C8E" w:rsidRPr="00E26C8E" w:rsidRDefault="00E26C8E" w:rsidP="00E26C8E">
      <w:pPr>
        <w:ind w:left="1418"/>
        <w:rPr>
          <w:rFonts w:eastAsia="Times New Roman"/>
          <w:szCs w:val="20"/>
        </w:rPr>
      </w:pPr>
      <w:r w:rsidRPr="00E26C8E">
        <w:rPr>
          <w:rFonts w:eastAsia="Times New Roman"/>
          <w:szCs w:val="20"/>
        </w:rPr>
        <w:t>Where radioactive liquid waste is to be re-injected to an aquifer, a prediction of the disposal plume extent and ultimate fate is required, as well as a prediction of the resulting groundwater quality (based on aqueous geochemistry). The predictions must be based on the quantified aquifer characteristics, volumes, rates and chemical makeup of liquid waste to be disposed.</w:t>
      </w:r>
    </w:p>
    <w:p w:rsidR="00E26C8E" w:rsidRPr="00E26C8E" w:rsidRDefault="00E26C8E" w:rsidP="00E26C8E">
      <w:pPr>
        <w:spacing w:after="0" w:line="240" w:lineRule="auto"/>
        <w:jc w:val="left"/>
        <w:rPr>
          <w:rFonts w:eastAsia="Times New Roman"/>
          <w:b/>
          <w:szCs w:val="20"/>
        </w:rPr>
      </w:pPr>
      <w:r w:rsidRPr="00E26C8E">
        <w:rPr>
          <w:rFonts w:eastAsia="Times New Roman"/>
          <w:b/>
          <w:szCs w:val="20"/>
        </w:rPr>
        <w:br w:type="page"/>
      </w:r>
    </w:p>
    <w:p w:rsidR="00E26C8E" w:rsidRPr="00E26C8E" w:rsidRDefault="00E26C8E" w:rsidP="00E26C8E">
      <w:pPr>
        <w:ind w:left="1418" w:hanging="567"/>
        <w:rPr>
          <w:rFonts w:eastAsia="Times New Roman"/>
          <w:b/>
          <w:szCs w:val="20"/>
        </w:rPr>
      </w:pPr>
      <w:r w:rsidRPr="00E26C8E">
        <w:rPr>
          <w:rFonts w:eastAsia="Times New Roman"/>
          <w:b/>
          <w:szCs w:val="20"/>
        </w:rPr>
        <w:t>2.10.3</w:t>
      </w:r>
      <w:r w:rsidRPr="00E26C8E">
        <w:rPr>
          <w:rFonts w:eastAsia="Times New Roman"/>
          <w:b/>
          <w:szCs w:val="20"/>
        </w:rPr>
        <w:tab/>
        <w:t>Radioactive liquid waste treatment, storage and disposal infrastructure rehabilitation strategies and timing</w:t>
      </w:r>
    </w:p>
    <w:p w:rsidR="00E26C8E" w:rsidRPr="00E26C8E" w:rsidRDefault="00E26C8E" w:rsidP="00E26C8E">
      <w:pPr>
        <w:ind w:left="1418"/>
        <w:rPr>
          <w:rFonts w:eastAsia="Times New Roman"/>
          <w:szCs w:val="20"/>
        </w:rPr>
      </w:pPr>
      <w:r w:rsidRPr="00E26C8E">
        <w:rPr>
          <w:rFonts w:eastAsia="Times New Roman"/>
          <w:szCs w:val="20"/>
        </w:rPr>
        <w:t>Detail all activities, strategies and designs relating to mine closure for removal, disposal and rehabilitation of radioactive liquid waste storage, treatment and disposal infrastructure, including timing of these activities.</w:t>
      </w:r>
    </w:p>
    <w:p w:rsidR="00E26C8E" w:rsidRPr="00E26C8E" w:rsidRDefault="00E26C8E" w:rsidP="00E26C8E">
      <w:pPr>
        <w:ind w:left="1418"/>
        <w:rPr>
          <w:rFonts w:eastAsia="Times New Roman"/>
          <w:szCs w:val="20"/>
        </w:rPr>
      </w:pPr>
      <w:r w:rsidRPr="00E26C8E">
        <w:rPr>
          <w:rFonts w:eastAsia="Times New Roman"/>
          <w:szCs w:val="20"/>
        </w:rPr>
        <w:t>Where natural attenuation is to be relied on for the remediation of aquifers to achieve post closure groundwater quality outcomes, include:</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a description of the nature and expected rates of the attenuation processes;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predictions of the rate and extent of attenuation supported by laboratory tests and modelling;</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a demonstration that the attenuation model can be validated in under 10 years from the cessation of mining;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a contingency plan if attenuation is not demonstrated to be occurring within expected timeframes.</w:t>
      </w:r>
    </w:p>
    <w:p w:rsidR="00E26C8E" w:rsidRPr="00E26C8E" w:rsidRDefault="00E26C8E" w:rsidP="00E26C8E">
      <w:pPr>
        <w:ind w:left="851" w:hanging="425"/>
        <w:rPr>
          <w:rFonts w:eastAsia="Times New Roman"/>
          <w:b/>
          <w:szCs w:val="20"/>
        </w:rPr>
      </w:pPr>
      <w:r w:rsidRPr="00E26C8E">
        <w:rPr>
          <w:rFonts w:eastAsia="Times New Roman"/>
          <w:b/>
          <w:szCs w:val="20"/>
        </w:rPr>
        <w:t>2.11</w:t>
      </w:r>
      <w:r w:rsidRPr="00E26C8E">
        <w:rPr>
          <w:rFonts w:eastAsia="Times New Roman"/>
          <w:b/>
          <w:szCs w:val="20"/>
        </w:rPr>
        <w:tab/>
        <w:t>Vegetation Clearance</w:t>
      </w:r>
    </w:p>
    <w:p w:rsidR="00E26C8E" w:rsidRPr="00E26C8E" w:rsidRDefault="00E26C8E" w:rsidP="00E26C8E">
      <w:pPr>
        <w:ind w:left="851"/>
        <w:rPr>
          <w:rFonts w:eastAsia="Times New Roman"/>
          <w:szCs w:val="20"/>
        </w:rPr>
      </w:pPr>
      <w:r w:rsidRPr="00E26C8E">
        <w:rPr>
          <w:rFonts w:eastAsia="Times New Roman"/>
          <w:szCs w:val="20"/>
        </w:rPr>
        <w:t>If clearing of native vegetation is proposed, a map (as per 5.1.2.2) and description of the vegetation present in the application area must be provided, showing:</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the extent of any proposed vegetation clearance; and</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the likelihood of the presence of threatened flora.</w:t>
      </w:r>
    </w:p>
    <w:p w:rsidR="00E26C8E" w:rsidRPr="00E26C8E" w:rsidRDefault="00E26C8E" w:rsidP="00E26C8E">
      <w:pPr>
        <w:ind w:left="851"/>
        <w:rPr>
          <w:rFonts w:eastAsia="Times New Roman"/>
          <w:szCs w:val="20"/>
        </w:rPr>
      </w:pPr>
      <w:r w:rsidRPr="00E26C8E">
        <w:rPr>
          <w:rFonts w:eastAsia="Times New Roman"/>
          <w:szCs w:val="20"/>
        </w:rPr>
        <w:t>State the estimated quantum of significant environmental benefit (SEB) to be gained in exchange for the proposed clearance and describe how the SEB will be provided.</w:t>
      </w:r>
    </w:p>
    <w:p w:rsidR="00E26C8E" w:rsidRPr="00E26C8E" w:rsidRDefault="00E26C8E" w:rsidP="00E26C8E">
      <w:pPr>
        <w:ind w:left="851" w:hanging="425"/>
        <w:rPr>
          <w:rFonts w:eastAsia="Times New Roman"/>
          <w:b/>
          <w:szCs w:val="20"/>
        </w:rPr>
      </w:pPr>
      <w:r w:rsidRPr="00E26C8E">
        <w:rPr>
          <w:rFonts w:eastAsia="Times New Roman"/>
          <w:b/>
          <w:szCs w:val="20"/>
        </w:rPr>
        <w:t>2.12</w:t>
      </w:r>
      <w:r w:rsidRPr="00E26C8E">
        <w:rPr>
          <w:rFonts w:eastAsia="Times New Roman"/>
          <w:b/>
          <w:szCs w:val="20"/>
        </w:rPr>
        <w:tab/>
        <w:t>Completion</w:t>
      </w:r>
    </w:p>
    <w:p w:rsidR="00E26C8E" w:rsidRPr="00E26C8E" w:rsidRDefault="00E26C8E" w:rsidP="00E26C8E">
      <w:pPr>
        <w:ind w:left="851"/>
        <w:rPr>
          <w:rFonts w:eastAsia="Times New Roman"/>
          <w:szCs w:val="20"/>
        </w:rPr>
      </w:pPr>
      <w:r w:rsidRPr="00E26C8E">
        <w:rPr>
          <w:rFonts w:eastAsia="Times New Roman"/>
          <w:szCs w:val="20"/>
        </w:rPr>
        <w:t>Provide a description, maps and cross sections (as per 5.1.2.4 and 5.2.2.2) of the site as it will be at completion after all rehabilitation and closure activities have been completed, including:</w:t>
      </w:r>
    </w:p>
    <w:p w:rsidR="00E26C8E" w:rsidRPr="00E26C8E" w:rsidRDefault="00E26C8E" w:rsidP="00E26C8E">
      <w:pPr>
        <w:ind w:left="851"/>
        <w:rPr>
          <w:rFonts w:eastAsia="Times New Roman"/>
          <w:szCs w:val="20"/>
        </w:rPr>
      </w:pPr>
      <w:r w:rsidRPr="00E26C8E">
        <w:rPr>
          <w:rFonts w:eastAsia="Times New Roman"/>
          <w:szCs w:val="20"/>
        </w:rPr>
        <w:t>potential land use options;</w:t>
      </w:r>
    </w:p>
    <w:p w:rsidR="00E26C8E" w:rsidRPr="00E26C8E" w:rsidRDefault="00E26C8E" w:rsidP="00E26C8E">
      <w:pPr>
        <w:ind w:left="851"/>
        <w:rPr>
          <w:rFonts w:eastAsia="Times New Roman"/>
          <w:szCs w:val="20"/>
        </w:rPr>
      </w:pPr>
      <w:r w:rsidRPr="00E26C8E">
        <w:rPr>
          <w:rFonts w:eastAsia="Times New Roman"/>
          <w:szCs w:val="20"/>
        </w:rPr>
        <w:t>potential aquifer use options;</w:t>
      </w:r>
    </w:p>
    <w:p w:rsidR="00E26C8E" w:rsidRPr="00E26C8E" w:rsidRDefault="00E26C8E" w:rsidP="00E26C8E">
      <w:pPr>
        <w:ind w:left="851"/>
        <w:rPr>
          <w:rFonts w:eastAsia="Times New Roman"/>
          <w:szCs w:val="20"/>
        </w:rPr>
      </w:pPr>
      <w:r w:rsidRPr="00E26C8E">
        <w:rPr>
          <w:rFonts w:eastAsia="Times New Roman"/>
          <w:szCs w:val="20"/>
        </w:rPr>
        <w:t>proposed vegetation covers (including native vegetation that will not be disturbed due to proposed operations);</w:t>
      </w:r>
    </w:p>
    <w:p w:rsidR="00E26C8E" w:rsidRPr="00E26C8E" w:rsidRDefault="00E26C8E" w:rsidP="00E26C8E">
      <w:pPr>
        <w:ind w:left="851"/>
        <w:rPr>
          <w:rFonts w:eastAsia="Times New Roman"/>
          <w:szCs w:val="20"/>
        </w:rPr>
      </w:pPr>
      <w:r w:rsidRPr="00E26C8E">
        <w:rPr>
          <w:rFonts w:eastAsia="Times New Roman"/>
          <w:szCs w:val="20"/>
        </w:rPr>
        <w:t>any infrastructure that will remain on site and will become the property and responsibility of the landowner;</w:t>
      </w:r>
    </w:p>
    <w:p w:rsidR="00E26C8E" w:rsidRPr="00E26C8E" w:rsidRDefault="00E26C8E" w:rsidP="00E26C8E">
      <w:pPr>
        <w:ind w:left="851"/>
        <w:rPr>
          <w:rFonts w:eastAsia="Times New Roman"/>
          <w:szCs w:val="20"/>
        </w:rPr>
      </w:pPr>
      <w:r w:rsidRPr="00E26C8E">
        <w:rPr>
          <w:rFonts w:eastAsia="Times New Roman"/>
          <w:szCs w:val="20"/>
        </w:rPr>
        <w:t>location and description of waste disposal areas, including any required ongoing management and, if relevant, land use restrictions,</w:t>
      </w:r>
    </w:p>
    <w:p w:rsidR="00E26C8E" w:rsidRPr="00E26C8E" w:rsidRDefault="00E26C8E" w:rsidP="00E26C8E">
      <w:pPr>
        <w:ind w:left="851"/>
        <w:rPr>
          <w:rFonts w:eastAsia="Times New Roman"/>
          <w:szCs w:val="20"/>
        </w:rPr>
      </w:pPr>
      <w:r w:rsidRPr="00E26C8E">
        <w:rPr>
          <w:rFonts w:eastAsia="Times New Roman"/>
          <w:szCs w:val="20"/>
        </w:rPr>
        <w:t>post completion radiological exposure assessments for the potential land use options (including, if relevant where there are no imposed post closure restrictions on land use), and</w:t>
      </w:r>
    </w:p>
    <w:p w:rsidR="00E26C8E" w:rsidRPr="00E26C8E" w:rsidRDefault="00E26C8E" w:rsidP="00E26C8E">
      <w:pPr>
        <w:ind w:left="851"/>
        <w:rPr>
          <w:rFonts w:eastAsia="Times New Roman"/>
          <w:szCs w:val="20"/>
        </w:rPr>
      </w:pPr>
      <w:r w:rsidRPr="00E26C8E">
        <w:rPr>
          <w:rFonts w:eastAsia="Times New Roman"/>
          <w:szCs w:val="20"/>
        </w:rPr>
        <w:t>representative map and cross-sections (as per 5.1.2.4 and 5.2.2.2) that show:</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emplacement areas, waste disposal areas and disturbed areas;</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final rehabilitated surface;</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predicted extent of residual mining fluids; and</w:t>
      </w:r>
    </w:p>
    <w:p w:rsidR="00E26C8E" w:rsidRPr="00E26C8E" w:rsidRDefault="00E26C8E" w:rsidP="00E26C8E">
      <w:pPr>
        <w:ind w:left="1134" w:hanging="283"/>
        <w:rPr>
          <w:rFonts w:eastAsia="Times New Roman"/>
          <w:szCs w:val="20"/>
        </w:rPr>
      </w:pPr>
      <w:r w:rsidRPr="00E26C8E">
        <w:rPr>
          <w:rFonts w:eastAsia="Times New Roman"/>
          <w:szCs w:val="20"/>
        </w:rPr>
        <w:t>•</w:t>
      </w:r>
      <w:r w:rsidRPr="00E26C8E">
        <w:rPr>
          <w:rFonts w:eastAsia="Times New Roman"/>
          <w:szCs w:val="20"/>
        </w:rPr>
        <w:tab/>
        <w:t>predicted extent or reinjected liquid waste.</w:t>
      </w:r>
    </w:p>
    <w:p w:rsidR="00E26C8E" w:rsidRPr="00E26C8E" w:rsidRDefault="00E26C8E" w:rsidP="00E26C8E">
      <w:pPr>
        <w:ind w:left="851"/>
        <w:rPr>
          <w:rFonts w:eastAsia="Times New Roman"/>
          <w:szCs w:val="20"/>
        </w:rPr>
      </w:pPr>
      <w:r w:rsidRPr="00E26C8E">
        <w:rPr>
          <w:rFonts w:eastAsia="Times New Roman"/>
          <w:szCs w:val="20"/>
        </w:rPr>
        <w:t>Provide a description of the proposed mechanism for transferring responsibility for any potential residual liability (i.e. ongoing maintenance or monitoring) subsequent to surrender of the tenement.</w:t>
      </w:r>
    </w:p>
    <w:p w:rsidR="00E26C8E" w:rsidRPr="00E26C8E" w:rsidRDefault="00E26C8E" w:rsidP="00E26C8E">
      <w:pPr>
        <w:ind w:left="851" w:hanging="425"/>
        <w:rPr>
          <w:rFonts w:eastAsia="Times New Roman"/>
          <w:b/>
          <w:szCs w:val="20"/>
        </w:rPr>
      </w:pPr>
      <w:r w:rsidRPr="00E26C8E">
        <w:rPr>
          <w:rFonts w:eastAsia="Times New Roman"/>
          <w:b/>
          <w:szCs w:val="20"/>
        </w:rPr>
        <w:t>2.13</w:t>
      </w:r>
      <w:r w:rsidRPr="00E26C8E">
        <w:rPr>
          <w:rFonts w:eastAsia="Times New Roman"/>
          <w:b/>
          <w:szCs w:val="20"/>
        </w:rPr>
        <w:tab/>
        <w:t>Resource Inputs</w:t>
      </w:r>
    </w:p>
    <w:p w:rsidR="00E26C8E" w:rsidRPr="00E26C8E" w:rsidRDefault="00E26C8E" w:rsidP="00E26C8E">
      <w:pPr>
        <w:ind w:left="1418" w:hanging="567"/>
        <w:rPr>
          <w:rFonts w:eastAsia="Times New Roman"/>
          <w:b/>
          <w:szCs w:val="20"/>
        </w:rPr>
      </w:pPr>
      <w:r w:rsidRPr="00E26C8E">
        <w:rPr>
          <w:rFonts w:eastAsia="Times New Roman"/>
          <w:b/>
          <w:szCs w:val="20"/>
        </w:rPr>
        <w:t>2.13.1</w:t>
      </w:r>
      <w:r w:rsidRPr="00E26C8E">
        <w:rPr>
          <w:rFonts w:eastAsia="Times New Roman"/>
          <w:b/>
          <w:szCs w:val="20"/>
        </w:rPr>
        <w:tab/>
        <w:t>Description of workforce and local procurement</w:t>
      </w:r>
    </w:p>
    <w:p w:rsidR="00E26C8E" w:rsidRPr="00E26C8E" w:rsidRDefault="00E26C8E" w:rsidP="00E26C8E">
      <w:pPr>
        <w:ind w:left="1418"/>
        <w:rPr>
          <w:rFonts w:eastAsia="Times New Roman"/>
          <w:szCs w:val="20"/>
        </w:rPr>
      </w:pPr>
      <w:r w:rsidRPr="00E26C8E">
        <w:rPr>
          <w:rFonts w:eastAsia="Times New Roman"/>
          <w:szCs w:val="20"/>
        </w:rPr>
        <w:t>Describe:</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how operations on the site will be managed;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number of full-time employee positions that would be directly created by the proposal (not to include existing positions);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the proportion of the workforce that would reside in the local community and the estimated impact on local employment;</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any programs to target and assist Indigenous or local employment at the mine;</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training to be provided to employees and potential employees;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approximate timelines for creation of the positions;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potential for local business participation, and procurement of local goods and services.</w:t>
      </w:r>
    </w:p>
    <w:p w:rsidR="00E26C8E" w:rsidRPr="00E26C8E" w:rsidRDefault="00E26C8E" w:rsidP="00E26C8E">
      <w:pPr>
        <w:ind w:left="1418" w:hanging="567"/>
        <w:rPr>
          <w:rFonts w:eastAsia="Times New Roman"/>
          <w:b/>
          <w:szCs w:val="20"/>
        </w:rPr>
      </w:pPr>
      <w:r w:rsidRPr="00E26C8E">
        <w:rPr>
          <w:rFonts w:eastAsia="Times New Roman"/>
          <w:b/>
          <w:szCs w:val="20"/>
        </w:rPr>
        <w:t>2.13.2</w:t>
      </w:r>
      <w:r w:rsidRPr="00E26C8E">
        <w:rPr>
          <w:rFonts w:eastAsia="Times New Roman"/>
          <w:b/>
          <w:szCs w:val="20"/>
        </w:rPr>
        <w:tab/>
        <w:t>Description of energy sources</w:t>
      </w:r>
    </w:p>
    <w:p w:rsidR="00E26C8E" w:rsidRPr="00E26C8E" w:rsidRDefault="00E26C8E" w:rsidP="00E26C8E">
      <w:pPr>
        <w:ind w:left="1418"/>
        <w:rPr>
          <w:rFonts w:eastAsia="Times New Roman"/>
          <w:szCs w:val="20"/>
        </w:rPr>
      </w:pPr>
      <w:r w:rsidRPr="00E26C8E">
        <w:rPr>
          <w:rFonts w:eastAsia="Times New Roman"/>
          <w:szCs w:val="20"/>
        </w:rPr>
        <w:t>For the proposed energy sources and usage provide:</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estimates of total annual energy usage (from all sources, including personnel transport and ore transport to point of sale);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expected sources of energy;</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potential for efficiency gains;</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amount and percentage of zero emission energy to be utilised;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equivalent annual CO2 generated;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any carbon offsets.</w:t>
      </w:r>
    </w:p>
    <w:p w:rsidR="00E26C8E" w:rsidRPr="00E26C8E" w:rsidRDefault="00E26C8E" w:rsidP="00E26C8E">
      <w:pPr>
        <w:spacing w:after="0" w:line="240" w:lineRule="auto"/>
        <w:jc w:val="left"/>
        <w:rPr>
          <w:rFonts w:eastAsia="Times New Roman"/>
          <w:b/>
          <w:szCs w:val="20"/>
        </w:rPr>
      </w:pPr>
      <w:r w:rsidRPr="00E26C8E">
        <w:rPr>
          <w:rFonts w:eastAsia="Times New Roman"/>
          <w:b/>
          <w:szCs w:val="20"/>
        </w:rPr>
        <w:br w:type="page"/>
      </w:r>
    </w:p>
    <w:p w:rsidR="00E26C8E" w:rsidRPr="00E26C8E" w:rsidRDefault="00E26C8E" w:rsidP="00E26C8E">
      <w:pPr>
        <w:ind w:left="1418" w:hanging="567"/>
        <w:rPr>
          <w:rFonts w:eastAsia="Times New Roman"/>
          <w:b/>
          <w:szCs w:val="20"/>
        </w:rPr>
      </w:pPr>
      <w:r w:rsidRPr="00E26C8E">
        <w:rPr>
          <w:rFonts w:eastAsia="Times New Roman"/>
          <w:b/>
          <w:szCs w:val="20"/>
        </w:rPr>
        <w:t>2.13.3</w:t>
      </w:r>
      <w:r w:rsidRPr="00E26C8E">
        <w:rPr>
          <w:rFonts w:eastAsia="Times New Roman"/>
          <w:b/>
          <w:szCs w:val="20"/>
        </w:rPr>
        <w:tab/>
        <w:t>Description of water sources, including borefields</w:t>
      </w:r>
    </w:p>
    <w:p w:rsidR="00E26C8E" w:rsidRPr="00E26C8E" w:rsidRDefault="00E26C8E" w:rsidP="00E26C8E">
      <w:pPr>
        <w:ind w:left="1418"/>
        <w:rPr>
          <w:rFonts w:eastAsia="Times New Roman"/>
          <w:szCs w:val="20"/>
        </w:rPr>
      </w:pPr>
      <w:r w:rsidRPr="00E26C8E">
        <w:rPr>
          <w:rFonts w:eastAsia="Times New Roman"/>
          <w:szCs w:val="20"/>
        </w:rPr>
        <w:t>Detail the source(s) of water to be used at the mine (other than in the ISR mining process), expected usage and any discharge, including:</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expected annual water usage by source;</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indicate if any water usage by source will be more than 5% of the total annual water withdrawal for that source;</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percentage of water that will be recycled;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water discharge (surface and/or underground) by quality and destination.</w:t>
      </w:r>
    </w:p>
    <w:p w:rsidR="00E26C8E" w:rsidRPr="00E26C8E" w:rsidRDefault="00E26C8E" w:rsidP="00E26C8E">
      <w:pPr>
        <w:ind w:left="426" w:hanging="284"/>
        <w:rPr>
          <w:rFonts w:eastAsia="Times New Roman"/>
          <w:b/>
          <w:szCs w:val="20"/>
        </w:rPr>
      </w:pPr>
      <w:r w:rsidRPr="00E26C8E">
        <w:rPr>
          <w:rFonts w:eastAsia="Times New Roman"/>
          <w:b/>
          <w:szCs w:val="20"/>
        </w:rPr>
        <w:t>3.</w:t>
      </w:r>
      <w:r w:rsidRPr="00E26C8E">
        <w:rPr>
          <w:rFonts w:eastAsia="Times New Roman"/>
          <w:b/>
          <w:szCs w:val="20"/>
        </w:rPr>
        <w:tab/>
        <w:t>CONSULTATION</w:t>
      </w:r>
    </w:p>
    <w:p w:rsidR="00E26C8E" w:rsidRPr="00E26C8E" w:rsidRDefault="00E26C8E" w:rsidP="00E26C8E">
      <w:pPr>
        <w:ind w:left="426"/>
        <w:rPr>
          <w:rFonts w:eastAsia="Times New Roman"/>
          <w:szCs w:val="20"/>
        </w:rPr>
      </w:pPr>
      <w:r w:rsidRPr="00E26C8E">
        <w:rPr>
          <w:rFonts w:eastAsia="Times New Roman"/>
          <w:szCs w:val="20"/>
        </w:rPr>
        <w:t>In setting out the result of the consultation undertaken in connection with the proposed operations in accordance with sections 36(1)(c)(iv) and 49(1)(c)(iv) of the</w:t>
      </w:r>
      <w:r w:rsidRPr="00E26C8E">
        <w:rPr>
          <w:rFonts w:eastAsia="Times New Roman"/>
          <w:i/>
          <w:szCs w:val="20"/>
        </w:rPr>
        <w:t xml:space="preserve"> Mining Act 1971</w:t>
      </w:r>
      <w:r w:rsidRPr="00E26C8E">
        <w:rPr>
          <w:rFonts w:eastAsia="Times New Roman"/>
          <w:szCs w:val="20"/>
        </w:rPr>
        <w:t xml:space="preserve"> and regulation 47 of the</w:t>
      </w:r>
      <w:r w:rsidRPr="00E26C8E">
        <w:rPr>
          <w:rFonts w:eastAsia="Times New Roman"/>
          <w:i/>
          <w:szCs w:val="20"/>
        </w:rPr>
        <w:t xml:space="preserve"> Mining Regulations 2020</w:t>
      </w:r>
      <w:r w:rsidRPr="00E26C8E">
        <w:rPr>
          <w:rFonts w:eastAsia="Times New Roman"/>
          <w:szCs w:val="20"/>
        </w:rPr>
        <w:t>, the Minister determines in accordance with regulation 46(7)(e) of the</w:t>
      </w:r>
      <w:r w:rsidRPr="00E26C8E">
        <w:rPr>
          <w:rFonts w:eastAsia="Times New Roman"/>
          <w:i/>
          <w:szCs w:val="20"/>
        </w:rPr>
        <w:t xml:space="preserve"> Mining Regulations 2020</w:t>
      </w:r>
      <w:r w:rsidRPr="00E26C8E">
        <w:rPr>
          <w:rFonts w:eastAsia="Times New Roman"/>
          <w:szCs w:val="20"/>
        </w:rPr>
        <w:t xml:space="preserve"> that a proposal must include:</w:t>
      </w:r>
    </w:p>
    <w:p w:rsidR="00E26C8E" w:rsidRPr="00E26C8E" w:rsidRDefault="00E26C8E" w:rsidP="00E26C8E">
      <w:pPr>
        <w:ind w:left="567"/>
        <w:rPr>
          <w:rFonts w:eastAsia="Times New Roman"/>
          <w:szCs w:val="20"/>
        </w:rPr>
      </w:pPr>
      <w:r w:rsidRPr="00E26C8E">
        <w:rPr>
          <w:rFonts w:eastAsia="Times New Roman"/>
          <w:szCs w:val="20"/>
        </w:rPr>
        <w:t>A description of:</w:t>
      </w:r>
    </w:p>
    <w:p w:rsidR="00E26C8E" w:rsidRPr="00E26C8E" w:rsidRDefault="00E26C8E" w:rsidP="00E26C8E">
      <w:pPr>
        <w:ind w:left="993" w:hanging="284"/>
        <w:rPr>
          <w:rFonts w:eastAsia="Times New Roman"/>
          <w:szCs w:val="20"/>
        </w:rPr>
      </w:pPr>
      <w:r w:rsidRPr="00E26C8E">
        <w:rPr>
          <w:rFonts w:eastAsia="Times New Roman"/>
          <w:szCs w:val="20"/>
        </w:rPr>
        <w:t>•</w:t>
      </w:r>
      <w:r w:rsidRPr="00E26C8E">
        <w:rPr>
          <w:rFonts w:eastAsia="Times New Roman"/>
          <w:szCs w:val="20"/>
        </w:rPr>
        <w:tab/>
        <w:t>the process undertaken for identifying stakeholders with an interest in, or stakeholders likely to be directly affected by the proposed operations;</w:t>
      </w:r>
    </w:p>
    <w:p w:rsidR="00E26C8E" w:rsidRPr="00E26C8E" w:rsidRDefault="00E26C8E" w:rsidP="00E26C8E">
      <w:pPr>
        <w:ind w:left="993" w:hanging="284"/>
        <w:rPr>
          <w:rFonts w:eastAsia="Times New Roman"/>
          <w:szCs w:val="20"/>
        </w:rPr>
      </w:pPr>
      <w:r w:rsidRPr="00E26C8E">
        <w:rPr>
          <w:rFonts w:eastAsia="Times New Roman"/>
          <w:szCs w:val="20"/>
        </w:rPr>
        <w:t>•</w:t>
      </w:r>
      <w:r w:rsidRPr="00E26C8E">
        <w:rPr>
          <w:rFonts w:eastAsia="Times New Roman"/>
          <w:szCs w:val="20"/>
        </w:rPr>
        <w:tab/>
        <w:t>the process undertaken for the delivery of information to, gathering of feedback from, and responding to those identified stakeholders;</w:t>
      </w:r>
    </w:p>
    <w:p w:rsidR="00E26C8E" w:rsidRPr="00E26C8E" w:rsidRDefault="00E26C8E" w:rsidP="00E26C8E">
      <w:pPr>
        <w:ind w:left="993" w:hanging="284"/>
        <w:rPr>
          <w:rFonts w:eastAsia="Times New Roman"/>
          <w:szCs w:val="20"/>
        </w:rPr>
      </w:pPr>
      <w:r w:rsidRPr="00E26C8E">
        <w:rPr>
          <w:rFonts w:eastAsia="Times New Roman"/>
          <w:szCs w:val="20"/>
        </w:rPr>
        <w:t>•</w:t>
      </w:r>
      <w:r w:rsidRPr="00E26C8E">
        <w:rPr>
          <w:rFonts w:eastAsia="Times New Roman"/>
          <w:szCs w:val="20"/>
        </w:rPr>
        <w:tab/>
        <w:t>if any individual or group of similar affected persons were not able to be consulted, the steps taken to consult with them; and</w:t>
      </w:r>
    </w:p>
    <w:p w:rsidR="00E26C8E" w:rsidRPr="00E26C8E" w:rsidRDefault="00E26C8E" w:rsidP="00E26C8E">
      <w:pPr>
        <w:ind w:left="993" w:hanging="284"/>
        <w:rPr>
          <w:rFonts w:eastAsia="Times New Roman"/>
          <w:szCs w:val="20"/>
        </w:rPr>
      </w:pPr>
      <w:r w:rsidRPr="00E26C8E">
        <w:rPr>
          <w:rFonts w:eastAsia="Times New Roman"/>
          <w:szCs w:val="20"/>
        </w:rPr>
        <w:t>•</w:t>
      </w:r>
      <w:r w:rsidRPr="00E26C8E">
        <w:rPr>
          <w:rFonts w:eastAsia="Times New Roman"/>
          <w:szCs w:val="20"/>
        </w:rPr>
        <w:tab/>
        <w:t>the extent to which the outcomes proposed in clause 4.2.2 have been developed in consultation with the landowner and any other person who may be directly affected by the proposed operations.</w:t>
      </w:r>
    </w:p>
    <w:p w:rsidR="00E26C8E" w:rsidRPr="00E26C8E" w:rsidRDefault="00E26C8E" w:rsidP="00E26C8E">
      <w:pPr>
        <w:ind w:left="567"/>
        <w:rPr>
          <w:rFonts w:eastAsia="Times New Roman"/>
          <w:szCs w:val="20"/>
        </w:rPr>
      </w:pPr>
      <w:r w:rsidRPr="00E26C8E">
        <w:rPr>
          <w:rFonts w:eastAsia="Times New Roman"/>
          <w:szCs w:val="20"/>
        </w:rPr>
        <w:t>The results of the consultation undertaken with those identified stakeholders, including:</w:t>
      </w:r>
    </w:p>
    <w:p w:rsidR="00E26C8E" w:rsidRPr="00E26C8E" w:rsidRDefault="00E26C8E" w:rsidP="00E26C8E">
      <w:pPr>
        <w:ind w:left="993" w:hanging="284"/>
        <w:rPr>
          <w:rFonts w:eastAsia="Times New Roman"/>
          <w:szCs w:val="20"/>
        </w:rPr>
      </w:pPr>
      <w:r w:rsidRPr="00E26C8E">
        <w:rPr>
          <w:rFonts w:eastAsia="Times New Roman"/>
          <w:szCs w:val="20"/>
        </w:rPr>
        <w:t>•</w:t>
      </w:r>
      <w:r w:rsidRPr="00E26C8E">
        <w:rPr>
          <w:rFonts w:eastAsia="Times New Roman"/>
          <w:szCs w:val="20"/>
        </w:rPr>
        <w:tab/>
        <w:t>the persons consulted;</w:t>
      </w:r>
    </w:p>
    <w:p w:rsidR="00E26C8E" w:rsidRPr="00E26C8E" w:rsidRDefault="00E26C8E" w:rsidP="00E26C8E">
      <w:pPr>
        <w:ind w:left="993" w:hanging="284"/>
        <w:rPr>
          <w:rFonts w:eastAsia="Times New Roman"/>
          <w:szCs w:val="20"/>
        </w:rPr>
      </w:pPr>
      <w:r w:rsidRPr="00E26C8E">
        <w:rPr>
          <w:rFonts w:eastAsia="Times New Roman"/>
          <w:szCs w:val="20"/>
        </w:rPr>
        <w:t>•</w:t>
      </w:r>
      <w:r w:rsidRPr="00E26C8E">
        <w:rPr>
          <w:rFonts w:eastAsia="Times New Roman"/>
          <w:szCs w:val="20"/>
        </w:rPr>
        <w:tab/>
        <w:t>any concerns/issues raised; and</w:t>
      </w:r>
    </w:p>
    <w:p w:rsidR="00E26C8E" w:rsidRPr="00E26C8E" w:rsidRDefault="00E26C8E" w:rsidP="00E26C8E">
      <w:pPr>
        <w:ind w:left="993" w:hanging="284"/>
        <w:rPr>
          <w:rFonts w:eastAsia="Times New Roman"/>
          <w:szCs w:val="20"/>
        </w:rPr>
      </w:pPr>
      <w:r w:rsidRPr="00E26C8E">
        <w:rPr>
          <w:rFonts w:eastAsia="Times New Roman"/>
          <w:szCs w:val="20"/>
        </w:rPr>
        <w:t>•</w:t>
      </w:r>
      <w:r w:rsidRPr="00E26C8E">
        <w:rPr>
          <w:rFonts w:eastAsia="Times New Roman"/>
          <w:szCs w:val="20"/>
        </w:rPr>
        <w:tab/>
        <w:t>the response and steps (if any) taken or proposed to address those concerns.</w:t>
      </w:r>
    </w:p>
    <w:p w:rsidR="00E26C8E" w:rsidRPr="00E26C8E" w:rsidRDefault="00E26C8E" w:rsidP="00E26C8E">
      <w:pPr>
        <w:ind w:left="426" w:hanging="284"/>
        <w:rPr>
          <w:rFonts w:eastAsia="Times New Roman"/>
          <w:b/>
          <w:szCs w:val="20"/>
        </w:rPr>
      </w:pPr>
      <w:r w:rsidRPr="00E26C8E">
        <w:rPr>
          <w:rFonts w:eastAsia="Times New Roman"/>
          <w:b/>
          <w:szCs w:val="20"/>
        </w:rPr>
        <w:t>4.</w:t>
      </w:r>
      <w:r w:rsidRPr="00E26C8E">
        <w:rPr>
          <w:rFonts w:eastAsia="Times New Roman"/>
          <w:b/>
          <w:szCs w:val="20"/>
        </w:rPr>
        <w:tab/>
        <w:t>MANAGEMENT OF ENVIRONMENTAL IMPACTS</w:t>
      </w:r>
    </w:p>
    <w:p w:rsidR="00E26C8E" w:rsidRPr="00E26C8E" w:rsidRDefault="00E26C8E" w:rsidP="00E26C8E">
      <w:pPr>
        <w:ind w:left="851" w:hanging="425"/>
        <w:rPr>
          <w:rFonts w:eastAsia="Times New Roman"/>
          <w:b/>
          <w:szCs w:val="20"/>
        </w:rPr>
      </w:pPr>
      <w:r w:rsidRPr="00E26C8E">
        <w:rPr>
          <w:rFonts w:eastAsia="Times New Roman"/>
          <w:b/>
          <w:szCs w:val="20"/>
        </w:rPr>
        <w:t>4.1</w:t>
      </w:r>
      <w:r w:rsidRPr="00E26C8E">
        <w:rPr>
          <w:rFonts w:eastAsia="Times New Roman"/>
          <w:b/>
          <w:szCs w:val="20"/>
        </w:rPr>
        <w:tab/>
        <w:t>Assessment of environmental impacts</w:t>
      </w:r>
    </w:p>
    <w:p w:rsidR="00E26C8E" w:rsidRPr="00E26C8E" w:rsidRDefault="00E26C8E" w:rsidP="00E26C8E">
      <w:pPr>
        <w:ind w:left="851"/>
        <w:rPr>
          <w:rFonts w:eastAsia="Times New Roman"/>
          <w:szCs w:val="20"/>
        </w:rPr>
      </w:pPr>
      <w:r w:rsidRPr="00E26C8E">
        <w:rPr>
          <w:rFonts w:eastAsia="Times New Roman"/>
          <w:szCs w:val="20"/>
        </w:rPr>
        <w:t>In setting out an assessment of the environmental impacts of the proposed authorised operations in accordance with sections 36(1)(c)(ii)(A) and 49(1)(c)(ii)(A) of the</w:t>
      </w:r>
      <w:r w:rsidRPr="00E26C8E">
        <w:rPr>
          <w:rFonts w:eastAsia="Times New Roman"/>
          <w:i/>
          <w:szCs w:val="20"/>
        </w:rPr>
        <w:t xml:space="preserve"> Mining Act 1971</w:t>
      </w:r>
      <w:r w:rsidRPr="00E26C8E">
        <w:rPr>
          <w:rFonts w:eastAsia="Times New Roman"/>
          <w:szCs w:val="20"/>
        </w:rPr>
        <w:t xml:space="preserve"> and regulation 46(2) of the</w:t>
      </w:r>
      <w:r w:rsidRPr="00E26C8E">
        <w:rPr>
          <w:rFonts w:eastAsia="Times New Roman"/>
          <w:i/>
          <w:szCs w:val="20"/>
        </w:rPr>
        <w:t xml:space="preserve"> Mining Regulations 2020</w:t>
      </w:r>
      <w:r w:rsidRPr="00E26C8E">
        <w:rPr>
          <w:rFonts w:eastAsia="Times New Roman"/>
          <w:szCs w:val="20"/>
        </w:rPr>
        <w:t>, the Minister determines in accordance with regulation 46(7)(e) of the</w:t>
      </w:r>
      <w:r w:rsidRPr="00E26C8E">
        <w:rPr>
          <w:rFonts w:eastAsia="Times New Roman"/>
          <w:i/>
          <w:szCs w:val="20"/>
        </w:rPr>
        <w:t xml:space="preserve"> Mining Regulations 2020</w:t>
      </w:r>
      <w:r w:rsidRPr="00E26C8E">
        <w:rPr>
          <w:rFonts w:eastAsia="Times New Roman"/>
          <w:szCs w:val="20"/>
        </w:rPr>
        <w:t xml:space="preserve"> that a proposal must include an assessment of the environment as set out in this Terms of Reference.</w:t>
      </w:r>
    </w:p>
    <w:p w:rsidR="00E26C8E" w:rsidRPr="00E26C8E" w:rsidRDefault="00E26C8E" w:rsidP="00E26C8E">
      <w:pPr>
        <w:ind w:left="1418" w:hanging="567"/>
        <w:rPr>
          <w:rFonts w:eastAsia="Times New Roman"/>
          <w:b/>
          <w:szCs w:val="20"/>
        </w:rPr>
      </w:pPr>
      <w:r w:rsidRPr="00E26C8E">
        <w:rPr>
          <w:rFonts w:eastAsia="Times New Roman"/>
          <w:b/>
          <w:szCs w:val="20"/>
        </w:rPr>
        <w:t>4.1.1</w:t>
      </w:r>
      <w:r w:rsidRPr="00E26C8E">
        <w:rPr>
          <w:rFonts w:eastAsia="Times New Roman"/>
          <w:b/>
          <w:szCs w:val="20"/>
        </w:rPr>
        <w:tab/>
        <w:t>Elements of the environment</w:t>
      </w:r>
    </w:p>
    <w:p w:rsidR="00E26C8E" w:rsidRPr="00E26C8E" w:rsidRDefault="00E26C8E" w:rsidP="00E26C8E">
      <w:pPr>
        <w:ind w:left="1418"/>
        <w:rPr>
          <w:rFonts w:eastAsia="Times New Roman"/>
          <w:szCs w:val="20"/>
        </w:rPr>
      </w:pPr>
      <w:r w:rsidRPr="00E26C8E">
        <w:rPr>
          <w:rFonts w:eastAsia="Times New Roman"/>
          <w:szCs w:val="20"/>
        </w:rPr>
        <w:t>Describe the specific elements of the environment (the environment is defined in Section 6(4) of the</w:t>
      </w:r>
      <w:r w:rsidRPr="00E26C8E">
        <w:rPr>
          <w:rFonts w:eastAsia="Times New Roman"/>
          <w:i/>
          <w:szCs w:val="20"/>
        </w:rPr>
        <w:t xml:space="preserve"> Mining Act 1971</w:t>
      </w:r>
      <w:r w:rsidRPr="00E26C8E">
        <w:rPr>
          <w:rFonts w:eastAsia="Times New Roman"/>
          <w:szCs w:val="20"/>
        </w:rPr>
        <w:t>) that may reasonably be expected to be impacted on by the proposed operation during construction, operation, and indefinitely post completion.</w:t>
      </w:r>
    </w:p>
    <w:p w:rsidR="00E26C8E" w:rsidRPr="00E26C8E" w:rsidRDefault="00E26C8E" w:rsidP="00E26C8E">
      <w:pPr>
        <w:ind w:left="1418"/>
        <w:rPr>
          <w:rFonts w:eastAsia="Times New Roman"/>
          <w:szCs w:val="20"/>
        </w:rPr>
      </w:pPr>
      <w:r w:rsidRPr="00E26C8E">
        <w:rPr>
          <w:rFonts w:eastAsia="Times New Roman"/>
          <w:szCs w:val="20"/>
        </w:rPr>
        <w:t>For each element of the environment identified: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provide a summary of any issues or considerations raised by stakeholders, and any relevant legislated or recognised standards in relation to the element of the environment;</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describe all potential environmental receptors;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undertake an impact assessment of how the element could be potentially impacted by proposed operations (during construction, operation and post completion) through the provision of the information listed in the following clause 4.1.2.</w:t>
      </w:r>
    </w:p>
    <w:p w:rsidR="00E26C8E" w:rsidRPr="00E26C8E" w:rsidRDefault="00E26C8E" w:rsidP="00E26C8E">
      <w:pPr>
        <w:ind w:left="1418" w:hanging="567"/>
        <w:rPr>
          <w:rFonts w:eastAsia="Times New Roman"/>
          <w:b/>
          <w:szCs w:val="20"/>
        </w:rPr>
      </w:pPr>
      <w:r w:rsidRPr="00E26C8E">
        <w:rPr>
          <w:rFonts w:eastAsia="Times New Roman"/>
          <w:b/>
          <w:szCs w:val="20"/>
        </w:rPr>
        <w:t>4.1.2</w:t>
      </w:r>
      <w:r w:rsidRPr="00E26C8E">
        <w:rPr>
          <w:rFonts w:eastAsia="Times New Roman"/>
          <w:b/>
          <w:szCs w:val="20"/>
        </w:rPr>
        <w:tab/>
        <w:t>Potential impact events</w:t>
      </w:r>
    </w:p>
    <w:p w:rsidR="00E26C8E" w:rsidRPr="00E26C8E" w:rsidRDefault="00E26C8E" w:rsidP="00E26C8E">
      <w:pPr>
        <w:ind w:left="1418"/>
        <w:rPr>
          <w:rFonts w:eastAsia="Times New Roman"/>
          <w:szCs w:val="20"/>
        </w:rPr>
      </w:pPr>
      <w:r w:rsidRPr="00E26C8E">
        <w:rPr>
          <w:rFonts w:eastAsia="Times New Roman"/>
          <w:szCs w:val="20"/>
        </w:rPr>
        <w:t>Describe potential impact events associated with each phase of the proposed operations (construction, operation and post completion) and relevant to each element of the environment.</w:t>
      </w:r>
    </w:p>
    <w:p w:rsidR="00E26C8E" w:rsidRPr="00E26C8E" w:rsidRDefault="00E26C8E" w:rsidP="00E26C8E">
      <w:pPr>
        <w:ind w:left="1418"/>
        <w:rPr>
          <w:rFonts w:eastAsia="Times New Roman"/>
          <w:szCs w:val="20"/>
        </w:rPr>
      </w:pPr>
      <w:r w:rsidRPr="00E26C8E">
        <w:rPr>
          <w:rFonts w:eastAsia="Times New Roman"/>
          <w:szCs w:val="20"/>
        </w:rPr>
        <w:t>For the purpose of the impact assessment, a potential impact event is the combination of a source, a pathway and an environmental receptor.</w:t>
      </w:r>
    </w:p>
    <w:p w:rsidR="00E26C8E" w:rsidRPr="00E26C8E" w:rsidRDefault="00E26C8E" w:rsidP="00E26C8E">
      <w:pPr>
        <w:ind w:left="1418"/>
        <w:rPr>
          <w:rFonts w:eastAsia="Times New Roman"/>
          <w:szCs w:val="20"/>
        </w:rPr>
      </w:pPr>
      <w:r w:rsidRPr="00E26C8E">
        <w:rPr>
          <w:rFonts w:eastAsia="Times New Roman"/>
          <w:szCs w:val="20"/>
        </w:rPr>
        <w:t>The source, pathway and environmental receptor of each potential impact event must be described prior to the implementation of engineering or administrative control measures.</w:t>
      </w:r>
    </w:p>
    <w:p w:rsidR="00E26C8E" w:rsidRPr="00E26C8E" w:rsidRDefault="00E26C8E" w:rsidP="00E26C8E">
      <w:pPr>
        <w:ind w:left="1418"/>
        <w:rPr>
          <w:rFonts w:eastAsia="Times New Roman"/>
          <w:szCs w:val="20"/>
        </w:rPr>
      </w:pPr>
      <w:r w:rsidRPr="00E26C8E">
        <w:rPr>
          <w:rFonts w:eastAsia="Times New Roman"/>
          <w:szCs w:val="20"/>
        </w:rPr>
        <w:t>For each potential impact event identified in clause 4.1.2, provide:</w:t>
      </w:r>
    </w:p>
    <w:p w:rsidR="00E26C8E" w:rsidRPr="00E26C8E" w:rsidRDefault="00E26C8E" w:rsidP="00E26C8E">
      <w:pPr>
        <w:ind w:left="2127" w:hanging="709"/>
        <w:rPr>
          <w:rFonts w:eastAsia="Times New Roman"/>
          <w:b/>
          <w:szCs w:val="20"/>
        </w:rPr>
      </w:pPr>
      <w:r w:rsidRPr="00E26C8E">
        <w:rPr>
          <w:rFonts w:eastAsia="Times New Roman"/>
          <w:b/>
          <w:szCs w:val="20"/>
        </w:rPr>
        <w:t>4.1.2.1</w:t>
      </w:r>
      <w:r w:rsidRPr="00E26C8E">
        <w:rPr>
          <w:rFonts w:eastAsia="Times New Roman"/>
          <w:b/>
          <w:szCs w:val="20"/>
        </w:rPr>
        <w:tab/>
        <w:t>Source</w:t>
      </w:r>
    </w:p>
    <w:p w:rsidR="00E26C8E" w:rsidRPr="00E26C8E" w:rsidRDefault="00E26C8E" w:rsidP="00E26C8E">
      <w:pPr>
        <w:ind w:left="2127"/>
        <w:rPr>
          <w:rFonts w:eastAsia="Times New Roman"/>
          <w:szCs w:val="20"/>
        </w:rPr>
      </w:pPr>
      <w:r w:rsidRPr="00E26C8E">
        <w:rPr>
          <w:rFonts w:eastAsia="Times New Roman"/>
          <w:szCs w:val="20"/>
        </w:rPr>
        <w:t>A description of the source of the potential impact event, which alone or in combination has the potential to cause harm to an environmental receptor.</w:t>
      </w:r>
    </w:p>
    <w:p w:rsidR="00E26C8E" w:rsidRPr="00E26C8E" w:rsidRDefault="00E26C8E" w:rsidP="00E26C8E">
      <w:pPr>
        <w:ind w:left="2127" w:hanging="709"/>
        <w:rPr>
          <w:rFonts w:eastAsia="Times New Roman"/>
          <w:b/>
          <w:szCs w:val="20"/>
        </w:rPr>
      </w:pPr>
      <w:r w:rsidRPr="00E26C8E">
        <w:rPr>
          <w:rFonts w:eastAsia="Times New Roman"/>
          <w:b/>
          <w:szCs w:val="20"/>
        </w:rPr>
        <w:t>4.1.2.2</w:t>
      </w:r>
      <w:r w:rsidRPr="00E26C8E">
        <w:rPr>
          <w:rFonts w:eastAsia="Times New Roman"/>
          <w:b/>
          <w:szCs w:val="20"/>
        </w:rPr>
        <w:tab/>
        <w:t>Pathway</w:t>
      </w:r>
    </w:p>
    <w:p w:rsidR="00E26C8E" w:rsidRPr="00E26C8E" w:rsidRDefault="00E26C8E" w:rsidP="00E26C8E">
      <w:pPr>
        <w:ind w:left="2127"/>
        <w:rPr>
          <w:rFonts w:eastAsia="Times New Roman"/>
          <w:szCs w:val="20"/>
        </w:rPr>
      </w:pPr>
      <w:r w:rsidRPr="00E26C8E">
        <w:rPr>
          <w:rFonts w:eastAsia="Times New Roman"/>
          <w:szCs w:val="20"/>
        </w:rPr>
        <w:t>A description of the potential pathway (with consideration of any natural barriers) by which an identified environmental receptor can be exposed to, or may reasonably be expected to be impacted by an identified source.</w:t>
      </w:r>
    </w:p>
    <w:p w:rsidR="00E26C8E" w:rsidRPr="00E26C8E" w:rsidRDefault="00E26C8E" w:rsidP="00E26C8E">
      <w:pPr>
        <w:ind w:left="2127" w:hanging="709"/>
        <w:rPr>
          <w:rFonts w:eastAsia="Times New Roman"/>
          <w:b/>
          <w:szCs w:val="20"/>
        </w:rPr>
      </w:pPr>
      <w:r w:rsidRPr="00E26C8E">
        <w:rPr>
          <w:rFonts w:eastAsia="Times New Roman"/>
          <w:b/>
          <w:szCs w:val="20"/>
        </w:rPr>
        <w:t>4.1.2.3</w:t>
      </w:r>
      <w:r w:rsidRPr="00E26C8E">
        <w:rPr>
          <w:rFonts w:eastAsia="Times New Roman"/>
          <w:b/>
          <w:szCs w:val="20"/>
        </w:rPr>
        <w:tab/>
        <w:t>Environmental receptor</w:t>
      </w:r>
    </w:p>
    <w:p w:rsidR="00E26C8E" w:rsidRPr="00E26C8E" w:rsidRDefault="00E26C8E" w:rsidP="00E26C8E">
      <w:pPr>
        <w:ind w:left="2127"/>
        <w:rPr>
          <w:rFonts w:eastAsia="Times New Roman"/>
          <w:szCs w:val="20"/>
        </w:rPr>
      </w:pPr>
      <w:r w:rsidRPr="00E26C8E">
        <w:rPr>
          <w:rFonts w:eastAsia="Times New Roman"/>
          <w:szCs w:val="20"/>
        </w:rPr>
        <w:t>A description of the environmental receptors that may reasonably be expected to be adversely impacted by the source, taking into account the considerations for the element of the environment described under clause 4.1.1.</w:t>
      </w:r>
    </w:p>
    <w:p w:rsidR="00E26C8E" w:rsidRPr="00E26C8E" w:rsidRDefault="00E26C8E" w:rsidP="00E26C8E">
      <w:pPr>
        <w:spacing w:after="0" w:line="240" w:lineRule="auto"/>
        <w:jc w:val="left"/>
        <w:rPr>
          <w:rFonts w:eastAsia="Times New Roman"/>
          <w:b/>
          <w:szCs w:val="20"/>
        </w:rPr>
      </w:pPr>
      <w:r w:rsidRPr="00E26C8E">
        <w:rPr>
          <w:rFonts w:eastAsia="Times New Roman"/>
          <w:b/>
          <w:szCs w:val="20"/>
        </w:rPr>
        <w:br w:type="page"/>
      </w:r>
    </w:p>
    <w:p w:rsidR="00E26C8E" w:rsidRPr="00E26C8E" w:rsidRDefault="00E26C8E" w:rsidP="00E26C8E">
      <w:pPr>
        <w:ind w:left="2127" w:hanging="709"/>
        <w:rPr>
          <w:rFonts w:eastAsia="Times New Roman"/>
          <w:b/>
          <w:szCs w:val="20"/>
        </w:rPr>
      </w:pPr>
      <w:r w:rsidRPr="00E26C8E">
        <w:rPr>
          <w:rFonts w:eastAsia="Times New Roman"/>
          <w:b/>
          <w:szCs w:val="20"/>
        </w:rPr>
        <w:t>4.1.2.4</w:t>
      </w:r>
      <w:r w:rsidRPr="00E26C8E">
        <w:rPr>
          <w:rFonts w:eastAsia="Times New Roman"/>
          <w:b/>
          <w:szCs w:val="20"/>
        </w:rPr>
        <w:tab/>
        <w:t>Description of uncertainty</w:t>
      </w:r>
    </w:p>
    <w:p w:rsidR="00E26C8E" w:rsidRPr="00E26C8E" w:rsidRDefault="00E26C8E" w:rsidP="00E26C8E">
      <w:pPr>
        <w:ind w:left="2127"/>
        <w:rPr>
          <w:rFonts w:eastAsia="Times New Roman"/>
          <w:szCs w:val="20"/>
        </w:rPr>
      </w:pPr>
      <w:r w:rsidRPr="00E26C8E">
        <w:rPr>
          <w:rFonts w:eastAsia="Times New Roman"/>
          <w:szCs w:val="20"/>
        </w:rPr>
        <w:t>Describe any significant degree of uncertainty pertaining to the evaluation of sources, pathways and environmental receptors, including (but not limited to) lack of site specific information, limitations on modelling and quality of data.</w:t>
      </w:r>
    </w:p>
    <w:p w:rsidR="00E26C8E" w:rsidRPr="00E26C8E" w:rsidRDefault="00E26C8E" w:rsidP="00E26C8E">
      <w:pPr>
        <w:ind w:left="2127"/>
        <w:rPr>
          <w:rFonts w:eastAsia="Times New Roman"/>
          <w:szCs w:val="20"/>
        </w:rPr>
      </w:pPr>
      <w:r w:rsidRPr="00E26C8E">
        <w:rPr>
          <w:rFonts w:eastAsia="Times New Roman"/>
          <w:szCs w:val="20"/>
        </w:rPr>
        <w:t>Describe any assumptions connected with the identified uncertainty.</w:t>
      </w:r>
    </w:p>
    <w:p w:rsidR="00E26C8E" w:rsidRPr="00E26C8E" w:rsidRDefault="00E26C8E" w:rsidP="00E26C8E">
      <w:pPr>
        <w:ind w:left="2127"/>
        <w:rPr>
          <w:rFonts w:eastAsia="Times New Roman"/>
          <w:szCs w:val="20"/>
        </w:rPr>
      </w:pPr>
      <w:r w:rsidRPr="00E26C8E">
        <w:rPr>
          <w:rFonts w:eastAsia="Times New Roman"/>
          <w:szCs w:val="20"/>
        </w:rPr>
        <w:t>So far as is relevant, identify the sensitivity to change of any assumption that has been made, including whether a change in assumption may result in a new environmental impact.</w:t>
      </w:r>
    </w:p>
    <w:p w:rsidR="00E26C8E" w:rsidRPr="00E26C8E" w:rsidRDefault="00E26C8E" w:rsidP="00E26C8E">
      <w:pPr>
        <w:ind w:left="2127" w:hanging="709"/>
        <w:rPr>
          <w:rFonts w:eastAsia="Times New Roman"/>
          <w:b/>
          <w:szCs w:val="20"/>
        </w:rPr>
      </w:pPr>
      <w:r w:rsidRPr="00E26C8E">
        <w:rPr>
          <w:rFonts w:eastAsia="Times New Roman"/>
          <w:b/>
          <w:szCs w:val="20"/>
        </w:rPr>
        <w:t>4.1.2.5</w:t>
      </w:r>
      <w:r w:rsidRPr="00E26C8E">
        <w:rPr>
          <w:rFonts w:eastAsia="Times New Roman"/>
          <w:b/>
          <w:szCs w:val="20"/>
        </w:rPr>
        <w:tab/>
        <w:t>Confirmation of potential impact events</w:t>
      </w:r>
    </w:p>
    <w:p w:rsidR="00E26C8E" w:rsidRPr="00E26C8E" w:rsidRDefault="00E26C8E" w:rsidP="00E26C8E">
      <w:pPr>
        <w:ind w:left="2127"/>
        <w:rPr>
          <w:rFonts w:eastAsia="Times New Roman"/>
          <w:szCs w:val="20"/>
        </w:rPr>
      </w:pPr>
      <w:r w:rsidRPr="00E26C8E">
        <w:rPr>
          <w:rFonts w:eastAsia="Times New Roman"/>
          <w:szCs w:val="20"/>
        </w:rPr>
        <w:t>For each potential impact event provide:</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an analysis of whether a source, pathway and receptor does exist (and if not, or if it remains uncertain, provide an explanation for the conclusion); and</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a description of the likely impact from the source on the environmental receptor.</w:t>
      </w:r>
    </w:p>
    <w:p w:rsidR="00E26C8E" w:rsidRPr="00E26C8E" w:rsidRDefault="00E26C8E" w:rsidP="00E26C8E">
      <w:pPr>
        <w:ind w:left="851" w:hanging="425"/>
        <w:rPr>
          <w:rFonts w:eastAsia="Times New Roman"/>
          <w:b/>
          <w:szCs w:val="20"/>
        </w:rPr>
      </w:pPr>
      <w:r w:rsidRPr="00E26C8E">
        <w:rPr>
          <w:rFonts w:eastAsia="Times New Roman"/>
          <w:b/>
          <w:szCs w:val="20"/>
        </w:rPr>
        <w:t>4.2</w:t>
      </w:r>
      <w:r w:rsidRPr="00E26C8E">
        <w:rPr>
          <w:rFonts w:eastAsia="Times New Roman"/>
          <w:b/>
          <w:szCs w:val="20"/>
        </w:rPr>
        <w:tab/>
        <w:t>Control and management strategies, uncertainty assessment, statement of environmental outcomes and criteria</w:t>
      </w:r>
    </w:p>
    <w:p w:rsidR="00E26C8E" w:rsidRPr="00E26C8E" w:rsidRDefault="00E26C8E" w:rsidP="00E26C8E">
      <w:pPr>
        <w:ind w:left="851"/>
        <w:rPr>
          <w:rFonts w:eastAsia="Times New Roman"/>
          <w:szCs w:val="20"/>
        </w:rPr>
      </w:pPr>
      <w:r w:rsidRPr="00E26C8E">
        <w:rPr>
          <w:rFonts w:eastAsia="Times New Roman"/>
          <w:szCs w:val="20"/>
        </w:rPr>
        <w:t>For each impact event confirmed in clause 4.1.2.5, the information listed in clauses 4.2.1-4.2.3 must be provided:</w:t>
      </w:r>
    </w:p>
    <w:p w:rsidR="00E26C8E" w:rsidRPr="00E26C8E" w:rsidRDefault="00E26C8E" w:rsidP="00E26C8E">
      <w:pPr>
        <w:ind w:left="1418" w:hanging="567"/>
        <w:rPr>
          <w:rFonts w:eastAsia="Times New Roman"/>
          <w:b/>
          <w:szCs w:val="20"/>
        </w:rPr>
      </w:pPr>
      <w:r w:rsidRPr="00E26C8E">
        <w:rPr>
          <w:rFonts w:eastAsia="Times New Roman"/>
          <w:b/>
          <w:szCs w:val="20"/>
        </w:rPr>
        <w:t>4.2.1</w:t>
      </w:r>
      <w:r w:rsidRPr="00E26C8E">
        <w:rPr>
          <w:rFonts w:eastAsia="Times New Roman"/>
          <w:b/>
          <w:szCs w:val="20"/>
        </w:rPr>
        <w:tab/>
        <w:t>Control and management strategies</w:t>
      </w:r>
    </w:p>
    <w:p w:rsidR="00E26C8E" w:rsidRPr="00E26C8E" w:rsidRDefault="00E26C8E" w:rsidP="00E26C8E">
      <w:pPr>
        <w:ind w:left="1418"/>
        <w:rPr>
          <w:rFonts w:eastAsia="Times New Roman"/>
          <w:szCs w:val="20"/>
        </w:rPr>
      </w:pPr>
      <w:r w:rsidRPr="00E26C8E">
        <w:rPr>
          <w:rFonts w:eastAsia="Times New Roman"/>
          <w:szCs w:val="20"/>
        </w:rPr>
        <w:t>In setting out an outline of the strategies that the applicant intends to take to manage, limit or remedy environmental impacts as confirmed in clause 4.1.2.5 in accordance with sections 36(1)(c)(ii)(B) and 49(1)(c)(ii)(B) of the</w:t>
      </w:r>
      <w:r w:rsidRPr="00E26C8E">
        <w:rPr>
          <w:rFonts w:eastAsia="Times New Roman"/>
          <w:i/>
          <w:szCs w:val="20"/>
        </w:rPr>
        <w:t xml:space="preserve"> Mining Act 1971</w:t>
      </w:r>
      <w:r w:rsidRPr="00E26C8E">
        <w:rPr>
          <w:rFonts w:eastAsia="Times New Roman"/>
          <w:szCs w:val="20"/>
        </w:rPr>
        <w:t xml:space="preserve"> and regulation 46(3) of the</w:t>
      </w:r>
      <w:r w:rsidRPr="00E26C8E">
        <w:rPr>
          <w:rFonts w:eastAsia="Times New Roman"/>
          <w:i/>
          <w:szCs w:val="20"/>
        </w:rPr>
        <w:t xml:space="preserve"> Mining Regulations 2020</w:t>
      </w:r>
      <w:r w:rsidRPr="00E26C8E">
        <w:rPr>
          <w:rFonts w:eastAsia="Times New Roman"/>
          <w:szCs w:val="20"/>
        </w:rPr>
        <w:t>, the Minister determines in accordance with regulation 46(7)(e) of the</w:t>
      </w:r>
      <w:r w:rsidRPr="00E26C8E">
        <w:rPr>
          <w:rFonts w:eastAsia="Times New Roman"/>
          <w:i/>
          <w:szCs w:val="20"/>
        </w:rPr>
        <w:t xml:space="preserve"> Mining Regulations 2020</w:t>
      </w:r>
      <w:r w:rsidRPr="00E26C8E">
        <w:rPr>
          <w:rFonts w:eastAsia="Times New Roman"/>
          <w:szCs w:val="20"/>
        </w:rPr>
        <w:t xml:space="preserve"> that a proposal must:</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Include a description of the control and management strategies proposed to manage, limit or remedy each impact event;</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Demonstrate that the control and management strategies proposed are commensurate with the potential impacts, achieve compliance with other applicable statutory requirements and promote progressive rehabilitation;</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Include a description of any significant degree of uncertainty pertaining to the likely effectiveness of proposed control and management strategies, including (but not limited to) lack of site specific information, limitations on modelling and quality of data. The description must include an analysis of uncertainty in:</w:t>
      </w:r>
    </w:p>
    <w:p w:rsidR="00E26C8E" w:rsidRPr="00E26C8E" w:rsidRDefault="00E26C8E" w:rsidP="00E26C8E">
      <w:pPr>
        <w:ind w:left="1985" w:hanging="284"/>
        <w:rPr>
          <w:rFonts w:eastAsia="Times New Roman"/>
          <w:szCs w:val="20"/>
        </w:rPr>
      </w:pPr>
      <w:r w:rsidRPr="00E26C8E">
        <w:rPr>
          <w:rFonts w:eastAsia="Times New Roman"/>
          <w:szCs w:val="20"/>
        </w:rPr>
        <w:t>◦</w:t>
      </w:r>
      <w:r w:rsidRPr="00E26C8E">
        <w:rPr>
          <w:rFonts w:eastAsia="Times New Roman"/>
          <w:szCs w:val="20"/>
        </w:rPr>
        <w:tab/>
        <w:t>groundwater modelling predictions, including natural attenuation modelling,</w:t>
      </w:r>
    </w:p>
    <w:p w:rsidR="00E26C8E" w:rsidRPr="00E26C8E" w:rsidRDefault="00E26C8E" w:rsidP="00E26C8E">
      <w:pPr>
        <w:ind w:left="1985" w:hanging="284"/>
        <w:rPr>
          <w:rFonts w:eastAsia="Times New Roman"/>
          <w:szCs w:val="20"/>
        </w:rPr>
      </w:pPr>
      <w:r w:rsidRPr="00E26C8E">
        <w:rPr>
          <w:rFonts w:eastAsia="Times New Roman"/>
          <w:szCs w:val="20"/>
        </w:rPr>
        <w:t>◦</w:t>
      </w:r>
      <w:r w:rsidRPr="00E26C8E">
        <w:rPr>
          <w:rFonts w:eastAsia="Times New Roman"/>
          <w:szCs w:val="20"/>
        </w:rPr>
        <w:tab/>
        <w:t>predictions on the fate and extent of residual mining fluid and reinjected liquid waste following mine completion; and</w:t>
      </w:r>
    </w:p>
    <w:p w:rsidR="00E26C8E" w:rsidRPr="00E26C8E" w:rsidRDefault="00E26C8E" w:rsidP="00E26C8E">
      <w:pPr>
        <w:ind w:left="1985" w:hanging="284"/>
        <w:rPr>
          <w:rFonts w:eastAsia="Times New Roman"/>
          <w:szCs w:val="20"/>
        </w:rPr>
      </w:pPr>
      <w:r w:rsidRPr="00E26C8E">
        <w:rPr>
          <w:rFonts w:eastAsia="Times New Roman"/>
          <w:szCs w:val="20"/>
        </w:rPr>
        <w:t>◦</w:t>
      </w:r>
      <w:r w:rsidRPr="00E26C8E">
        <w:rPr>
          <w:rFonts w:eastAsia="Times New Roman"/>
          <w:szCs w:val="20"/>
        </w:rPr>
        <w:tab/>
        <w:t xml:space="preserve">For information and guidelines on numerical groundwater modelling and uncertainty analysis, refer to </w:t>
      </w:r>
      <w:hyperlink r:id="rId130" w:history="1">
        <w:r w:rsidRPr="00E26C8E">
          <w:rPr>
            <w:rFonts w:eastAsia="Times New Roman"/>
            <w:color w:val="0000FF"/>
            <w:szCs w:val="20"/>
            <w:u w:val="single"/>
          </w:rPr>
          <w:t>https://www.iesc.environment.gov.au/information-guidelines</w:t>
        </w:r>
      </w:hyperlink>
      <w:r w:rsidRPr="00E26C8E">
        <w:rPr>
          <w:rFonts w:eastAsia="Times New Roman"/>
          <w:szCs w:val="20"/>
        </w:rPr>
        <w:t xml:space="preserve">. </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Include a description of any assumptions connected with the identified uncertainty;</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So far as is relevant, identify the sensitivity to change of any assumption that has been made and assess the likelihood of an outcome not being achieved if an assumption is later found to be incorrect.</w:t>
      </w:r>
    </w:p>
    <w:p w:rsidR="00E26C8E" w:rsidRPr="00E26C8E" w:rsidRDefault="00E26C8E" w:rsidP="00E26C8E">
      <w:pPr>
        <w:ind w:left="1418" w:hanging="567"/>
        <w:rPr>
          <w:rFonts w:eastAsia="Times New Roman"/>
          <w:b/>
          <w:szCs w:val="20"/>
        </w:rPr>
      </w:pPr>
      <w:r w:rsidRPr="00E26C8E">
        <w:rPr>
          <w:rFonts w:eastAsia="Times New Roman"/>
          <w:b/>
          <w:szCs w:val="20"/>
        </w:rPr>
        <w:t>4.2.2</w:t>
      </w:r>
      <w:r w:rsidRPr="00E26C8E">
        <w:rPr>
          <w:rFonts w:eastAsia="Times New Roman"/>
          <w:b/>
          <w:szCs w:val="20"/>
        </w:rPr>
        <w:tab/>
        <w:t>Statement of proposed environmental outcomes</w:t>
      </w:r>
    </w:p>
    <w:p w:rsidR="00E26C8E" w:rsidRPr="00E26C8E" w:rsidRDefault="00E26C8E" w:rsidP="00E26C8E">
      <w:pPr>
        <w:ind w:left="1418"/>
        <w:rPr>
          <w:rFonts w:eastAsia="Times New Roman"/>
          <w:szCs w:val="20"/>
        </w:rPr>
      </w:pPr>
      <w:r w:rsidRPr="00E26C8E">
        <w:rPr>
          <w:rFonts w:eastAsia="Times New Roman"/>
          <w:szCs w:val="20"/>
        </w:rPr>
        <w:t>Statements of the environmental outcomes that are expected to occur are required in accordance with sections 36(1)(c)(ii)(C) and 49(1)(c)(ii)(C) of the</w:t>
      </w:r>
      <w:r w:rsidRPr="00E26C8E">
        <w:rPr>
          <w:rFonts w:eastAsia="Times New Roman"/>
          <w:i/>
          <w:szCs w:val="20"/>
        </w:rPr>
        <w:t xml:space="preserve"> Mining Act 1971</w:t>
      </w:r>
      <w:r w:rsidRPr="00E26C8E">
        <w:rPr>
          <w:rFonts w:eastAsia="Times New Roman"/>
          <w:szCs w:val="20"/>
        </w:rPr>
        <w:t xml:space="preserve"> and regulation 46(4) of the</w:t>
      </w:r>
      <w:r w:rsidRPr="00E26C8E">
        <w:rPr>
          <w:rFonts w:eastAsia="Times New Roman"/>
          <w:i/>
          <w:szCs w:val="20"/>
        </w:rPr>
        <w:t xml:space="preserve"> Mining Regulations 2020</w:t>
      </w:r>
      <w:r w:rsidRPr="00E26C8E">
        <w:rPr>
          <w:rFonts w:eastAsia="Times New Roman"/>
          <w:szCs w:val="20"/>
        </w:rPr>
        <w:t xml:space="preserve"> and must be made for each impact event confirmed in clause 4.1.2.5. The Minister determines in accordance with regulation 46(7)(e) of the</w:t>
      </w:r>
      <w:r w:rsidRPr="00E26C8E">
        <w:rPr>
          <w:rFonts w:eastAsia="Times New Roman"/>
          <w:i/>
          <w:szCs w:val="20"/>
        </w:rPr>
        <w:t xml:space="preserve"> Mining Regulations 2020</w:t>
      </w:r>
      <w:r w:rsidRPr="00E26C8E">
        <w:rPr>
          <w:rFonts w:eastAsia="Times New Roman"/>
          <w:szCs w:val="20"/>
        </w:rPr>
        <w:t xml:space="preserve"> that a proposal must:</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Provide a statement of the proposed environmental outcome(s) (including completion outcomes assessed on a long term basis) for each impact event confirmed in clause 4.1.2.5;</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Ensure that the statement of environmental outcome(s) describe the likely consequence of the expected impact on the environment by the proposed operations subsequent to the implementation of the control measures described in clause 4.2.1;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Provide a statement that demonstrates the environmental outcomes would be able to be achieved taking into consideration the effectiveness of the control strategies (clause 4.2.1) and description of uncertainty (clause 4.2.1).</w:t>
      </w:r>
    </w:p>
    <w:p w:rsidR="00E26C8E" w:rsidRPr="00E26C8E" w:rsidRDefault="00E26C8E" w:rsidP="00E26C8E">
      <w:pPr>
        <w:ind w:left="1418" w:hanging="567"/>
        <w:rPr>
          <w:rFonts w:eastAsia="Times New Roman"/>
          <w:b/>
          <w:szCs w:val="20"/>
        </w:rPr>
      </w:pPr>
      <w:r w:rsidRPr="00E26C8E">
        <w:rPr>
          <w:rFonts w:eastAsia="Times New Roman"/>
          <w:b/>
          <w:szCs w:val="20"/>
        </w:rPr>
        <w:t>4.2.3</w:t>
      </w:r>
      <w:r w:rsidRPr="00E26C8E">
        <w:rPr>
          <w:rFonts w:eastAsia="Times New Roman"/>
          <w:b/>
          <w:szCs w:val="20"/>
        </w:rPr>
        <w:tab/>
        <w:t>Draft measurement criteria</w:t>
      </w:r>
    </w:p>
    <w:p w:rsidR="00E26C8E" w:rsidRPr="00E26C8E" w:rsidRDefault="00E26C8E" w:rsidP="00E26C8E">
      <w:pPr>
        <w:ind w:left="1418"/>
        <w:rPr>
          <w:rFonts w:eastAsia="Times New Roman"/>
          <w:szCs w:val="20"/>
        </w:rPr>
      </w:pPr>
      <w:r w:rsidRPr="00E26C8E">
        <w:rPr>
          <w:rFonts w:eastAsia="Times New Roman"/>
          <w:szCs w:val="20"/>
        </w:rPr>
        <w:t>In preparing a draft statement of the criteria to be adopted to measure each of the proposed environmental outcomes in accordance with sections 36(1)(c)(iii) and 49(1)(c)(iii) of the</w:t>
      </w:r>
      <w:r w:rsidRPr="00E26C8E">
        <w:rPr>
          <w:rFonts w:eastAsia="Times New Roman"/>
          <w:i/>
          <w:szCs w:val="20"/>
        </w:rPr>
        <w:t xml:space="preserve"> Mining Act 1971</w:t>
      </w:r>
      <w:r w:rsidRPr="00E26C8E">
        <w:rPr>
          <w:rFonts w:eastAsia="Times New Roman"/>
          <w:szCs w:val="20"/>
        </w:rPr>
        <w:t xml:space="preserve"> and regulation 46(5) of the</w:t>
      </w:r>
      <w:r w:rsidRPr="00E26C8E">
        <w:rPr>
          <w:rFonts w:eastAsia="Times New Roman"/>
          <w:i/>
          <w:szCs w:val="20"/>
        </w:rPr>
        <w:t xml:space="preserve"> Mining Regulations 2020</w:t>
      </w:r>
      <w:r w:rsidRPr="00E26C8E">
        <w:rPr>
          <w:rFonts w:eastAsia="Times New Roman"/>
          <w:szCs w:val="20"/>
        </w:rPr>
        <w:t>, the Minister determines in accordance with regulation 46(7)(e) of the</w:t>
      </w:r>
      <w:r w:rsidRPr="00E26C8E">
        <w:rPr>
          <w:rFonts w:eastAsia="Times New Roman"/>
          <w:i/>
          <w:szCs w:val="20"/>
        </w:rPr>
        <w:t xml:space="preserve"> Mining Regulations 2020</w:t>
      </w:r>
      <w:r w:rsidRPr="00E26C8E">
        <w:rPr>
          <w:rFonts w:eastAsia="Times New Roman"/>
          <w:szCs w:val="20"/>
        </w:rPr>
        <w:t xml:space="preserve"> that the draft criteria must:</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as far as practical comply with the five elements set out in Regulation 46(5);</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include demonstration of the successful implementation of the significant environmental benefit, if native vegetation is proposed to be cleared and an on-ground off-set proposed;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where attenuation is to be relied upon to demonstrate achievement of groundwater completion outcomes, a process must be provided for validation of predictive attenuation modelling, including a description of the model and assumptions used;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be developed separately for construction, operation and completion, as appropriate;</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as required by Regulation 46(8) insofar as is reasonably practicable and appropriate, be expressed in quantitative terms (rather than qualitative terms); and</w:t>
      </w:r>
    </w:p>
    <w:p w:rsidR="00E26C8E" w:rsidRPr="00E26C8E" w:rsidRDefault="00E26C8E" w:rsidP="00E26C8E">
      <w:pPr>
        <w:ind w:left="1701" w:hanging="283"/>
        <w:rPr>
          <w:rFonts w:eastAsia="Times New Roman"/>
          <w:szCs w:val="20"/>
        </w:rPr>
      </w:pPr>
      <w:r w:rsidRPr="00E26C8E">
        <w:rPr>
          <w:rFonts w:eastAsia="Times New Roman"/>
          <w:szCs w:val="20"/>
        </w:rPr>
        <w:t>•</w:t>
      </w:r>
      <w:r w:rsidRPr="00E26C8E">
        <w:rPr>
          <w:rFonts w:eastAsia="Times New Roman"/>
          <w:szCs w:val="20"/>
        </w:rPr>
        <w:tab/>
        <w:t>where appropriate, recognised industry standards, codes of practice or legislative provisions from other Acts should be used as criteria.</w:t>
      </w:r>
    </w:p>
    <w:p w:rsidR="00E26C8E" w:rsidRPr="00E26C8E" w:rsidRDefault="00E26C8E" w:rsidP="00E26C8E">
      <w:pPr>
        <w:ind w:left="1418" w:hanging="567"/>
        <w:rPr>
          <w:rFonts w:eastAsia="Times New Roman"/>
          <w:b/>
          <w:szCs w:val="20"/>
        </w:rPr>
      </w:pPr>
      <w:r w:rsidRPr="00E26C8E">
        <w:rPr>
          <w:rFonts w:eastAsia="Times New Roman"/>
          <w:b/>
          <w:szCs w:val="20"/>
        </w:rPr>
        <w:t>4.2.4</w:t>
      </w:r>
      <w:r w:rsidRPr="00E26C8E">
        <w:rPr>
          <w:rFonts w:eastAsia="Times New Roman"/>
          <w:b/>
          <w:szCs w:val="20"/>
        </w:rPr>
        <w:tab/>
        <w:t>Draft leading indicator criteria</w:t>
      </w:r>
    </w:p>
    <w:p w:rsidR="00E26C8E" w:rsidRPr="00E26C8E" w:rsidRDefault="00E26C8E" w:rsidP="00E26C8E">
      <w:pPr>
        <w:ind w:left="1418"/>
        <w:rPr>
          <w:rFonts w:eastAsia="Times New Roman"/>
          <w:szCs w:val="20"/>
        </w:rPr>
      </w:pPr>
      <w:r w:rsidRPr="00E26C8E">
        <w:rPr>
          <w:rFonts w:eastAsia="Times New Roman"/>
          <w:szCs w:val="20"/>
        </w:rPr>
        <w:t>Where there is a high level of reliance on control measures strategies to achieve an environmental outcome, provide a draft statement of leading indicator criteria that will be used to give an early warning that a control measure strategy may fail or be failing.</w:t>
      </w:r>
      <w:r w:rsidRPr="00E26C8E">
        <w:rPr>
          <w:rFonts w:eastAsia="Times New Roman"/>
          <w:b/>
          <w:szCs w:val="20"/>
        </w:rPr>
        <w:br w:type="page"/>
      </w:r>
    </w:p>
    <w:p w:rsidR="00E26C8E" w:rsidRPr="00E26C8E" w:rsidRDefault="00E26C8E" w:rsidP="00E26C8E">
      <w:pPr>
        <w:ind w:left="426" w:hanging="284"/>
        <w:rPr>
          <w:rFonts w:eastAsia="Times New Roman"/>
          <w:b/>
          <w:szCs w:val="20"/>
        </w:rPr>
      </w:pPr>
      <w:r w:rsidRPr="00E26C8E">
        <w:rPr>
          <w:rFonts w:eastAsia="Times New Roman"/>
          <w:b/>
          <w:szCs w:val="20"/>
        </w:rPr>
        <w:t>5.</w:t>
      </w:r>
      <w:r w:rsidRPr="00E26C8E">
        <w:rPr>
          <w:rFonts w:eastAsia="Times New Roman"/>
          <w:b/>
          <w:szCs w:val="20"/>
        </w:rPr>
        <w:tab/>
        <w:t>MAPS AND CROSS-SECTIONS</w:t>
      </w:r>
    </w:p>
    <w:p w:rsidR="00E26C8E" w:rsidRPr="00E26C8E" w:rsidRDefault="00E26C8E" w:rsidP="00E26C8E">
      <w:pPr>
        <w:ind w:left="426"/>
        <w:rPr>
          <w:rFonts w:eastAsia="Times New Roman"/>
          <w:szCs w:val="20"/>
        </w:rPr>
      </w:pPr>
      <w:r w:rsidRPr="00E26C8E">
        <w:rPr>
          <w:rFonts w:eastAsia="Times New Roman"/>
          <w:szCs w:val="20"/>
        </w:rPr>
        <w:t>In preparing a proposal in accordance with sections 36(1)(c) and 49(1)(c) of the</w:t>
      </w:r>
      <w:r w:rsidRPr="00E26C8E">
        <w:rPr>
          <w:rFonts w:eastAsia="Times New Roman"/>
          <w:i/>
          <w:szCs w:val="20"/>
        </w:rPr>
        <w:t xml:space="preserve"> Mining Act 1971</w:t>
      </w:r>
      <w:r w:rsidRPr="00E26C8E">
        <w:rPr>
          <w:rFonts w:eastAsia="Times New Roman"/>
          <w:szCs w:val="20"/>
        </w:rPr>
        <w:t xml:space="preserve"> and regulation 46 of the</w:t>
      </w:r>
      <w:r w:rsidRPr="00E26C8E">
        <w:rPr>
          <w:rFonts w:eastAsia="Times New Roman"/>
          <w:i/>
          <w:szCs w:val="20"/>
        </w:rPr>
        <w:t xml:space="preserve"> Mining Regulations 2020</w:t>
      </w:r>
      <w:r w:rsidRPr="00E26C8E">
        <w:rPr>
          <w:rFonts w:eastAsia="Times New Roman"/>
          <w:szCs w:val="20"/>
        </w:rPr>
        <w:t>, the Minister determines in accordance with regulation 46(7)(e) of the</w:t>
      </w:r>
      <w:r w:rsidRPr="00E26C8E">
        <w:rPr>
          <w:rFonts w:eastAsia="Times New Roman"/>
          <w:i/>
          <w:szCs w:val="20"/>
        </w:rPr>
        <w:t xml:space="preserve"> Mining Regulations 2020</w:t>
      </w:r>
      <w:r w:rsidRPr="00E26C8E">
        <w:rPr>
          <w:rFonts w:eastAsia="Times New Roman"/>
          <w:szCs w:val="20"/>
        </w:rPr>
        <w:t xml:space="preserve"> that all maps, plans and cross sections must comply with the following requirements relating to the amount of detail or information to be provided:</w:t>
      </w:r>
    </w:p>
    <w:p w:rsidR="00E26C8E" w:rsidRPr="00E26C8E" w:rsidRDefault="00E26C8E" w:rsidP="00E26C8E">
      <w:pPr>
        <w:ind w:left="851" w:hanging="284"/>
        <w:rPr>
          <w:rFonts w:eastAsia="Times New Roman"/>
          <w:szCs w:val="20"/>
        </w:rPr>
      </w:pPr>
      <w:r w:rsidRPr="00E26C8E">
        <w:rPr>
          <w:rFonts w:eastAsia="Times New Roman"/>
          <w:szCs w:val="20"/>
        </w:rPr>
        <w:t>•</w:t>
      </w:r>
      <w:r w:rsidRPr="00E26C8E">
        <w:rPr>
          <w:rFonts w:eastAsia="Times New Roman"/>
          <w:szCs w:val="20"/>
        </w:rPr>
        <w:tab/>
        <w:t>state and show the relevant datum (Australian Height Datum (AHD) is preferred);</w:t>
      </w:r>
    </w:p>
    <w:p w:rsidR="00E26C8E" w:rsidRPr="00E26C8E" w:rsidRDefault="00E26C8E" w:rsidP="00E26C8E">
      <w:pPr>
        <w:ind w:left="851" w:hanging="284"/>
        <w:rPr>
          <w:rFonts w:eastAsia="Times New Roman"/>
          <w:szCs w:val="20"/>
        </w:rPr>
      </w:pPr>
      <w:r w:rsidRPr="00E26C8E">
        <w:rPr>
          <w:rFonts w:eastAsia="Times New Roman"/>
          <w:szCs w:val="20"/>
        </w:rPr>
        <w:t>•</w:t>
      </w:r>
      <w:r w:rsidRPr="00E26C8E">
        <w:rPr>
          <w:rFonts w:eastAsia="Times New Roman"/>
          <w:szCs w:val="20"/>
        </w:rPr>
        <w:tab/>
        <w:t>metric units;</w:t>
      </w:r>
    </w:p>
    <w:p w:rsidR="00E26C8E" w:rsidRPr="00E26C8E" w:rsidRDefault="00E26C8E" w:rsidP="00E26C8E">
      <w:pPr>
        <w:ind w:left="851" w:hanging="284"/>
        <w:rPr>
          <w:rFonts w:eastAsia="Times New Roman"/>
          <w:szCs w:val="20"/>
        </w:rPr>
      </w:pPr>
      <w:r w:rsidRPr="00E26C8E">
        <w:rPr>
          <w:rFonts w:eastAsia="Times New Roman"/>
          <w:szCs w:val="20"/>
        </w:rPr>
        <w:t>•</w:t>
      </w:r>
      <w:r w:rsidRPr="00E26C8E">
        <w:rPr>
          <w:rFonts w:eastAsia="Times New Roman"/>
          <w:szCs w:val="20"/>
        </w:rPr>
        <w:tab/>
        <w:t>title, north arrow, scale bar, text and legend;</w:t>
      </w:r>
    </w:p>
    <w:p w:rsidR="00E26C8E" w:rsidRPr="00E26C8E" w:rsidRDefault="00E26C8E" w:rsidP="00E26C8E">
      <w:pPr>
        <w:ind w:left="851" w:hanging="284"/>
        <w:rPr>
          <w:rFonts w:eastAsia="Times New Roman"/>
          <w:szCs w:val="20"/>
        </w:rPr>
      </w:pPr>
      <w:r w:rsidRPr="00E26C8E">
        <w:rPr>
          <w:rFonts w:eastAsia="Times New Roman"/>
          <w:szCs w:val="20"/>
        </w:rPr>
        <w:t>•</w:t>
      </w:r>
      <w:r w:rsidRPr="00E26C8E">
        <w:rPr>
          <w:rFonts w:eastAsia="Times New Roman"/>
          <w:szCs w:val="20"/>
        </w:rPr>
        <w:tab/>
        <w:t>date prepared and author;</w:t>
      </w:r>
    </w:p>
    <w:p w:rsidR="00E26C8E" w:rsidRPr="00E26C8E" w:rsidRDefault="00E26C8E" w:rsidP="00E26C8E">
      <w:pPr>
        <w:ind w:left="851" w:hanging="284"/>
        <w:rPr>
          <w:rFonts w:eastAsia="Times New Roman"/>
          <w:szCs w:val="20"/>
        </w:rPr>
      </w:pPr>
      <w:r w:rsidRPr="00E26C8E">
        <w:rPr>
          <w:rFonts w:eastAsia="Times New Roman"/>
          <w:szCs w:val="20"/>
        </w:rPr>
        <w:t>•</w:t>
      </w:r>
      <w:r w:rsidRPr="00E26C8E">
        <w:rPr>
          <w:rFonts w:eastAsia="Times New Roman"/>
          <w:szCs w:val="20"/>
        </w:rPr>
        <w:tab/>
        <w:t>be of appropriate resolution and scale for represented information; and</w:t>
      </w:r>
    </w:p>
    <w:p w:rsidR="00E26C8E" w:rsidRPr="00E26C8E" w:rsidRDefault="00E26C8E" w:rsidP="00E26C8E">
      <w:pPr>
        <w:ind w:left="851" w:hanging="284"/>
        <w:rPr>
          <w:rFonts w:eastAsia="Times New Roman"/>
          <w:szCs w:val="20"/>
        </w:rPr>
      </w:pPr>
      <w:r w:rsidRPr="00E26C8E">
        <w:rPr>
          <w:rFonts w:eastAsia="Times New Roman"/>
          <w:szCs w:val="20"/>
        </w:rPr>
        <w:t>•</w:t>
      </w:r>
      <w:r w:rsidRPr="00E26C8E">
        <w:rPr>
          <w:rFonts w:eastAsia="Times New Roman"/>
          <w:szCs w:val="20"/>
        </w:rPr>
        <w:tab/>
        <w:t>be legible in both the hardcopy and electronic versions of the submission.</w:t>
      </w:r>
    </w:p>
    <w:p w:rsidR="00E26C8E" w:rsidRPr="00E26C8E" w:rsidRDefault="00E26C8E" w:rsidP="00E26C8E">
      <w:pPr>
        <w:ind w:left="426"/>
        <w:rPr>
          <w:rFonts w:eastAsia="Times New Roman"/>
          <w:szCs w:val="20"/>
        </w:rPr>
      </w:pPr>
      <w:r w:rsidRPr="00E26C8E">
        <w:rPr>
          <w:rFonts w:eastAsia="Times New Roman"/>
          <w:szCs w:val="20"/>
        </w:rPr>
        <w:t>All cross-sections must conform to the following standards:</w:t>
      </w:r>
    </w:p>
    <w:p w:rsidR="00E26C8E" w:rsidRPr="00E26C8E" w:rsidRDefault="00E26C8E" w:rsidP="00E26C8E">
      <w:pPr>
        <w:ind w:left="851" w:hanging="284"/>
        <w:rPr>
          <w:rFonts w:eastAsia="Times New Roman"/>
          <w:szCs w:val="20"/>
        </w:rPr>
      </w:pPr>
      <w:r w:rsidRPr="00E26C8E">
        <w:rPr>
          <w:rFonts w:eastAsia="Times New Roman"/>
          <w:szCs w:val="20"/>
        </w:rPr>
        <w:t>•</w:t>
      </w:r>
      <w:r w:rsidRPr="00E26C8E">
        <w:rPr>
          <w:rFonts w:eastAsia="Times New Roman"/>
          <w:szCs w:val="20"/>
        </w:rPr>
        <w:tab/>
        <w:t>state and show the relevant datum (Australian Height Datum (AHD) is preferred);</w:t>
      </w:r>
    </w:p>
    <w:p w:rsidR="00E26C8E" w:rsidRPr="00E26C8E" w:rsidRDefault="00E26C8E" w:rsidP="00E26C8E">
      <w:pPr>
        <w:ind w:left="851" w:hanging="284"/>
        <w:rPr>
          <w:rFonts w:eastAsia="Times New Roman"/>
          <w:szCs w:val="20"/>
        </w:rPr>
      </w:pPr>
      <w:r w:rsidRPr="00E26C8E">
        <w:rPr>
          <w:rFonts w:eastAsia="Times New Roman"/>
          <w:szCs w:val="20"/>
        </w:rPr>
        <w:t>•</w:t>
      </w:r>
      <w:r w:rsidRPr="00E26C8E">
        <w:rPr>
          <w:rFonts w:eastAsia="Times New Roman"/>
          <w:szCs w:val="20"/>
        </w:rPr>
        <w:tab/>
        <w:t>metric units;</w:t>
      </w:r>
    </w:p>
    <w:p w:rsidR="00E26C8E" w:rsidRPr="00E26C8E" w:rsidRDefault="00E26C8E" w:rsidP="00E26C8E">
      <w:pPr>
        <w:ind w:left="851" w:hanging="284"/>
        <w:rPr>
          <w:rFonts w:eastAsia="Times New Roman"/>
          <w:szCs w:val="20"/>
        </w:rPr>
      </w:pPr>
      <w:r w:rsidRPr="00E26C8E">
        <w:rPr>
          <w:rFonts w:eastAsia="Times New Roman"/>
          <w:szCs w:val="20"/>
        </w:rPr>
        <w:t>•</w:t>
      </w:r>
      <w:r w:rsidRPr="00E26C8E">
        <w:rPr>
          <w:rFonts w:eastAsia="Times New Roman"/>
          <w:szCs w:val="20"/>
        </w:rPr>
        <w:tab/>
        <w:t>title, scale bar, text and legend;</w:t>
      </w:r>
    </w:p>
    <w:p w:rsidR="00E26C8E" w:rsidRPr="00E26C8E" w:rsidRDefault="00E26C8E" w:rsidP="00E26C8E">
      <w:pPr>
        <w:ind w:left="851" w:hanging="284"/>
        <w:rPr>
          <w:rFonts w:eastAsia="Times New Roman"/>
          <w:szCs w:val="20"/>
        </w:rPr>
      </w:pPr>
      <w:r w:rsidRPr="00E26C8E">
        <w:rPr>
          <w:rFonts w:eastAsia="Times New Roman"/>
          <w:szCs w:val="20"/>
        </w:rPr>
        <w:t>•</w:t>
      </w:r>
      <w:r w:rsidRPr="00E26C8E">
        <w:rPr>
          <w:rFonts w:eastAsia="Times New Roman"/>
          <w:szCs w:val="20"/>
        </w:rPr>
        <w:tab/>
        <w:t>date prepared and author;</w:t>
      </w:r>
    </w:p>
    <w:p w:rsidR="00E26C8E" w:rsidRPr="00E26C8E" w:rsidRDefault="00E26C8E" w:rsidP="00E26C8E">
      <w:pPr>
        <w:ind w:left="851" w:hanging="284"/>
        <w:rPr>
          <w:rFonts w:eastAsia="Times New Roman"/>
          <w:szCs w:val="20"/>
        </w:rPr>
      </w:pPr>
      <w:r w:rsidRPr="00E26C8E">
        <w:rPr>
          <w:rFonts w:eastAsia="Times New Roman"/>
          <w:szCs w:val="20"/>
        </w:rPr>
        <w:t>•</w:t>
      </w:r>
      <w:r w:rsidRPr="00E26C8E">
        <w:rPr>
          <w:rFonts w:eastAsia="Times New Roman"/>
          <w:szCs w:val="20"/>
        </w:rPr>
        <w:tab/>
        <w:t>be of appropriate resolution and scale for represented information;</w:t>
      </w:r>
    </w:p>
    <w:p w:rsidR="00E26C8E" w:rsidRPr="00E26C8E" w:rsidRDefault="00E26C8E" w:rsidP="00E26C8E">
      <w:pPr>
        <w:ind w:left="851" w:hanging="284"/>
        <w:rPr>
          <w:rFonts w:eastAsia="Times New Roman"/>
          <w:szCs w:val="20"/>
        </w:rPr>
      </w:pPr>
      <w:r w:rsidRPr="00E26C8E">
        <w:rPr>
          <w:rFonts w:eastAsia="Times New Roman"/>
          <w:szCs w:val="20"/>
        </w:rPr>
        <w:t>•</w:t>
      </w:r>
      <w:r w:rsidRPr="00E26C8E">
        <w:rPr>
          <w:rFonts w:eastAsia="Times New Roman"/>
          <w:szCs w:val="20"/>
        </w:rPr>
        <w:tab/>
        <w:t>be legible in both the hardcopy and electronic versions of the submission; and</w:t>
      </w:r>
    </w:p>
    <w:p w:rsidR="00E26C8E" w:rsidRPr="00E26C8E" w:rsidRDefault="00E26C8E" w:rsidP="00E26C8E">
      <w:pPr>
        <w:ind w:left="851" w:hanging="284"/>
        <w:rPr>
          <w:rFonts w:eastAsia="Times New Roman"/>
          <w:szCs w:val="20"/>
        </w:rPr>
      </w:pPr>
      <w:r w:rsidRPr="00E26C8E">
        <w:rPr>
          <w:rFonts w:eastAsia="Times New Roman"/>
          <w:szCs w:val="20"/>
        </w:rPr>
        <w:t>•</w:t>
      </w:r>
      <w:r w:rsidRPr="00E26C8E">
        <w:rPr>
          <w:rFonts w:eastAsia="Times New Roman"/>
          <w:szCs w:val="20"/>
        </w:rPr>
        <w:tab/>
        <w:t>be accompanied by a map showing the orientation of the cross-sections.</w:t>
      </w:r>
    </w:p>
    <w:p w:rsidR="00E26C8E" w:rsidRPr="00E26C8E" w:rsidRDefault="00E26C8E" w:rsidP="00E26C8E">
      <w:pPr>
        <w:ind w:left="851" w:hanging="425"/>
        <w:rPr>
          <w:rFonts w:eastAsia="Times New Roman"/>
          <w:b/>
          <w:szCs w:val="20"/>
        </w:rPr>
      </w:pPr>
      <w:r w:rsidRPr="00E26C8E">
        <w:rPr>
          <w:rFonts w:eastAsia="Times New Roman"/>
          <w:b/>
          <w:szCs w:val="20"/>
        </w:rPr>
        <w:t>5.1</w:t>
      </w:r>
      <w:r w:rsidRPr="00E26C8E">
        <w:rPr>
          <w:rFonts w:eastAsia="Times New Roman"/>
          <w:b/>
          <w:szCs w:val="20"/>
        </w:rPr>
        <w:tab/>
        <w:t>List of Maps</w:t>
      </w:r>
    </w:p>
    <w:p w:rsidR="00E26C8E" w:rsidRPr="00E26C8E" w:rsidRDefault="00E26C8E" w:rsidP="00E26C8E">
      <w:pPr>
        <w:ind w:left="1418" w:hanging="567"/>
        <w:rPr>
          <w:rFonts w:eastAsia="Times New Roman"/>
          <w:b/>
          <w:szCs w:val="20"/>
        </w:rPr>
      </w:pPr>
      <w:r w:rsidRPr="00E26C8E">
        <w:rPr>
          <w:rFonts w:eastAsia="Times New Roman"/>
          <w:b/>
          <w:szCs w:val="20"/>
        </w:rPr>
        <w:t>5.1.1</w:t>
      </w:r>
      <w:r w:rsidRPr="00E26C8E">
        <w:rPr>
          <w:rFonts w:eastAsia="Times New Roman"/>
          <w:b/>
          <w:szCs w:val="20"/>
        </w:rPr>
        <w:tab/>
        <w:t>Maps required for Description of the Existing Environment (as per clause 1)</w:t>
      </w:r>
    </w:p>
    <w:p w:rsidR="00E26C8E" w:rsidRPr="00E26C8E" w:rsidRDefault="00E26C8E" w:rsidP="00E26C8E">
      <w:pPr>
        <w:ind w:left="2127" w:hanging="709"/>
        <w:rPr>
          <w:rFonts w:eastAsia="Times New Roman"/>
          <w:i/>
          <w:szCs w:val="20"/>
        </w:rPr>
      </w:pPr>
      <w:r w:rsidRPr="00E26C8E">
        <w:rPr>
          <w:rFonts w:eastAsia="Times New Roman"/>
          <w:i/>
          <w:szCs w:val="20"/>
        </w:rPr>
        <w:t>5.1.1.1</w:t>
      </w:r>
      <w:r w:rsidRPr="00E26C8E">
        <w:rPr>
          <w:rFonts w:eastAsia="Times New Roman"/>
          <w:i/>
          <w:szCs w:val="20"/>
        </w:rPr>
        <w:tab/>
        <w:t>Topographic Map showing:</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application area boundaries;</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existing surface contours; existing vegetation;</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location of watercourses, including ephemeral and permanent rivers, creeks, swamps, streams, wetlands and any man-made water management structures;</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surface water catchment boundaries;</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direction of drainage and discharge from the application area;</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location and extent of groundwater basins, aquifers and palaeochannels;</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location of caves;</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location and extent of all previously disturbed areas associated with previous mining;</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location and extent of any known existing contamination; and</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location and extent of any adjacent conservation reserves, heritage sites (in so far as may be permitted by the relevant legislation) or any other significant areas.</w:t>
      </w:r>
    </w:p>
    <w:p w:rsidR="00E26C8E" w:rsidRPr="00E26C8E" w:rsidRDefault="00E26C8E" w:rsidP="00E26C8E">
      <w:pPr>
        <w:ind w:left="2127" w:hanging="709"/>
        <w:rPr>
          <w:rFonts w:eastAsia="Times New Roman"/>
          <w:i/>
          <w:szCs w:val="20"/>
        </w:rPr>
      </w:pPr>
      <w:r w:rsidRPr="00E26C8E">
        <w:rPr>
          <w:rFonts w:eastAsia="Times New Roman"/>
          <w:i/>
          <w:szCs w:val="20"/>
        </w:rPr>
        <w:t>5.1.1.2</w:t>
      </w:r>
      <w:r w:rsidRPr="00E26C8E">
        <w:rPr>
          <w:rFonts w:eastAsia="Times New Roman"/>
          <w:i/>
          <w:szCs w:val="20"/>
        </w:rPr>
        <w:tab/>
        <w:t>Local Geological Map showing:</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application area boundaries;</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geology within the application area, including but not limited to; location, dimensions and orientation (dip and strike), and extent of the mineral resource and ore reserve;</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any known potential for extension of the mineral resource and reserve; and</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topsoil/subsoil variation if there is a variation in soils over the application area.</w:t>
      </w:r>
    </w:p>
    <w:p w:rsidR="00E26C8E" w:rsidRPr="00E26C8E" w:rsidRDefault="00E26C8E" w:rsidP="00E26C8E">
      <w:pPr>
        <w:ind w:left="2127" w:hanging="709"/>
        <w:rPr>
          <w:rFonts w:eastAsia="Times New Roman"/>
          <w:i/>
          <w:szCs w:val="20"/>
        </w:rPr>
      </w:pPr>
      <w:r w:rsidRPr="00E26C8E">
        <w:rPr>
          <w:rFonts w:eastAsia="Times New Roman"/>
          <w:i/>
          <w:szCs w:val="20"/>
        </w:rPr>
        <w:t>5.1.1.3</w:t>
      </w:r>
      <w:r w:rsidRPr="00E26C8E">
        <w:rPr>
          <w:rFonts w:eastAsia="Times New Roman"/>
          <w:i/>
          <w:szCs w:val="20"/>
        </w:rPr>
        <w:tab/>
        <w:t>Aquifer Potentiometric Surface Map showing:</w:t>
      </w:r>
    </w:p>
    <w:p w:rsidR="00E26C8E" w:rsidRPr="00E26C8E" w:rsidRDefault="00E26C8E" w:rsidP="00E26C8E">
      <w:pPr>
        <w:ind w:left="2127"/>
        <w:rPr>
          <w:rFonts w:eastAsia="Times New Roman"/>
          <w:szCs w:val="20"/>
        </w:rPr>
      </w:pPr>
      <w:r w:rsidRPr="00E26C8E">
        <w:rPr>
          <w:rFonts w:eastAsia="Times New Roman"/>
          <w:szCs w:val="20"/>
        </w:rPr>
        <w:t>For all aquifer systems that occur within the tenement application area include a map showing:</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application area boundaries</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potentiometric surface contours/groundwater elevation contours and the time (or time period) the contours relate to;</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interpreted direction(s) of groundwater flow; and</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location of representative bores (where measurements were obtained of which the contours are based on) used to establish this information</w:t>
      </w:r>
    </w:p>
    <w:p w:rsidR="00E26C8E" w:rsidRPr="00E26C8E" w:rsidRDefault="00E26C8E" w:rsidP="00E26C8E">
      <w:pPr>
        <w:ind w:left="2127" w:hanging="709"/>
        <w:rPr>
          <w:rFonts w:eastAsia="Times New Roman"/>
          <w:i/>
          <w:szCs w:val="20"/>
        </w:rPr>
      </w:pPr>
      <w:r w:rsidRPr="00E26C8E">
        <w:rPr>
          <w:rFonts w:eastAsia="Times New Roman"/>
          <w:i/>
          <w:szCs w:val="20"/>
        </w:rPr>
        <w:t>5.1.1.4</w:t>
      </w:r>
      <w:r w:rsidRPr="00E26C8E">
        <w:rPr>
          <w:rFonts w:eastAsia="Times New Roman"/>
          <w:i/>
          <w:szCs w:val="20"/>
        </w:rPr>
        <w:tab/>
        <w:t>Land Access Map showing:</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application area boundaries;</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cadastral information including land title(s) and ownership;</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any exempt land;</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location of residences within and near the application area; and</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human infrastructure as per clause 1.12.</w:t>
      </w:r>
    </w:p>
    <w:p w:rsidR="00E26C8E" w:rsidRPr="00E26C8E" w:rsidRDefault="00E26C8E" w:rsidP="00E26C8E">
      <w:pPr>
        <w:ind w:left="2127" w:hanging="709"/>
        <w:rPr>
          <w:rFonts w:eastAsia="Times New Roman"/>
          <w:i/>
          <w:szCs w:val="20"/>
        </w:rPr>
      </w:pPr>
      <w:r w:rsidRPr="00E26C8E">
        <w:rPr>
          <w:rFonts w:eastAsia="Times New Roman"/>
          <w:i/>
          <w:szCs w:val="20"/>
        </w:rPr>
        <w:t>5.1.1.5</w:t>
      </w:r>
      <w:r w:rsidRPr="00E26C8E">
        <w:rPr>
          <w:rFonts w:eastAsia="Times New Roman"/>
          <w:i/>
          <w:szCs w:val="20"/>
        </w:rPr>
        <w:tab/>
        <w:t>Natural Radioactivity Baseline Map showing:</w:t>
      </w:r>
    </w:p>
    <w:p w:rsidR="00E26C8E" w:rsidRPr="00E26C8E" w:rsidRDefault="00E26C8E" w:rsidP="00E26C8E">
      <w:pPr>
        <w:ind w:left="2127"/>
        <w:rPr>
          <w:rFonts w:eastAsia="Times New Roman"/>
          <w:szCs w:val="20"/>
        </w:rPr>
      </w:pPr>
      <w:r w:rsidRPr="00E26C8E">
        <w:rPr>
          <w:rFonts w:eastAsia="Times New Roman"/>
          <w:szCs w:val="20"/>
        </w:rPr>
        <w:t>The results of pre-mining radioactivity surveys including (where applicable):</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gamma radiation levels;</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concentration of radionuclides within soils, surface waters, ephemeral creek beds, flora and fauna; and</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radon gas or radon decay product concentrations.</w:t>
      </w:r>
    </w:p>
    <w:p w:rsidR="00E26C8E" w:rsidRPr="00E26C8E" w:rsidRDefault="00E26C8E" w:rsidP="00E26C8E">
      <w:pPr>
        <w:ind w:left="1418" w:hanging="567"/>
        <w:rPr>
          <w:rFonts w:eastAsia="Times New Roman"/>
          <w:b/>
          <w:szCs w:val="20"/>
        </w:rPr>
      </w:pPr>
      <w:r w:rsidRPr="00E26C8E">
        <w:rPr>
          <w:rFonts w:eastAsia="Times New Roman"/>
          <w:b/>
          <w:szCs w:val="20"/>
        </w:rPr>
        <w:t>5.1.2</w:t>
      </w:r>
      <w:r w:rsidRPr="00E26C8E">
        <w:rPr>
          <w:rFonts w:eastAsia="Times New Roman"/>
          <w:b/>
          <w:szCs w:val="20"/>
        </w:rPr>
        <w:tab/>
        <w:t>Maps required for Description of the Proposed Operations (as per clause 2)</w:t>
      </w:r>
    </w:p>
    <w:p w:rsidR="00E26C8E" w:rsidRPr="00E26C8E" w:rsidRDefault="00E26C8E" w:rsidP="00E26C8E">
      <w:pPr>
        <w:ind w:left="2127" w:hanging="709"/>
        <w:rPr>
          <w:rFonts w:eastAsia="Times New Roman"/>
          <w:i/>
          <w:szCs w:val="20"/>
        </w:rPr>
      </w:pPr>
      <w:r w:rsidRPr="00E26C8E">
        <w:rPr>
          <w:rFonts w:eastAsia="Times New Roman"/>
          <w:i/>
          <w:szCs w:val="20"/>
        </w:rPr>
        <w:t>5.1.2.1</w:t>
      </w:r>
      <w:r w:rsidRPr="00E26C8E">
        <w:rPr>
          <w:rFonts w:eastAsia="Times New Roman"/>
          <w:i/>
          <w:szCs w:val="20"/>
        </w:rPr>
        <w:tab/>
        <w:t>Site Layout Map showing all components of the proposed operation including, but not limited to:</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application area boundaries;</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location of surface water and sediment management infrastructure;</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location of process water dams;</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location of fuel and chemical storage areas;</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location of access and other roads;</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location of fixed plant;</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location and layout of all well field areas;</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location of all disposal wells;</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location of all monitoring wells;</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location of visual screening measures;</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location and extent of all areas proposed to be disturbed from mining including, mine infrastructure, processing plant, waste disposal facilities; and</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location of key environmental features that are within or in close proximity to the application area and that are relevant to the design of the Site Layout Plan, including but not limited to housing and infrastructure, existing heritage sites, existing ephemeral and permanent rivers, watercourses, creeks or dams and/or existing native vegetation.</w:t>
      </w:r>
    </w:p>
    <w:p w:rsidR="00E26C8E" w:rsidRPr="00E26C8E" w:rsidRDefault="00E26C8E" w:rsidP="00E26C8E">
      <w:pPr>
        <w:ind w:left="2127" w:hanging="709"/>
        <w:rPr>
          <w:rFonts w:eastAsia="Times New Roman"/>
          <w:i/>
          <w:szCs w:val="20"/>
        </w:rPr>
      </w:pPr>
      <w:r w:rsidRPr="00E26C8E">
        <w:rPr>
          <w:rFonts w:eastAsia="Times New Roman"/>
          <w:i/>
          <w:szCs w:val="20"/>
        </w:rPr>
        <w:t>5.1.2.2</w:t>
      </w:r>
      <w:r w:rsidRPr="00E26C8E">
        <w:rPr>
          <w:rFonts w:eastAsia="Times New Roman"/>
          <w:i/>
          <w:szCs w:val="20"/>
        </w:rPr>
        <w:tab/>
        <w:t>Sequence of Mining and Progressive Rehabilitation Maps showing:</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application area boundaries;</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conceptual staging of each progressive mining stage;</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proposed native vegetation clearance;</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location and extent of all areas to be progressively rehabilitated during mining; and</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sequence of mining and rehabilitation in appropriate time intervals, or per stages (depicting progressive rehabilitation).</w:t>
      </w:r>
    </w:p>
    <w:p w:rsidR="00E26C8E" w:rsidRPr="00E26C8E" w:rsidRDefault="00E26C8E" w:rsidP="00E26C8E">
      <w:pPr>
        <w:ind w:left="2127" w:hanging="709"/>
        <w:rPr>
          <w:rFonts w:eastAsia="Times New Roman"/>
          <w:i/>
          <w:szCs w:val="20"/>
        </w:rPr>
      </w:pPr>
      <w:r w:rsidRPr="00E26C8E">
        <w:rPr>
          <w:rFonts w:eastAsia="Times New Roman"/>
          <w:i/>
          <w:szCs w:val="20"/>
        </w:rPr>
        <w:t>5.1.2.3</w:t>
      </w:r>
      <w:r w:rsidRPr="00E26C8E">
        <w:rPr>
          <w:rFonts w:eastAsia="Times New Roman"/>
          <w:i/>
          <w:szCs w:val="20"/>
        </w:rPr>
        <w:tab/>
        <w:t>Access Route Map showing:</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application area boundaries;</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access route for heavy vehicles;</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exit route for heavy vehicles; and</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Any road upgrades or new roads to be constructed.</w:t>
      </w:r>
    </w:p>
    <w:p w:rsidR="00E26C8E" w:rsidRPr="00E26C8E" w:rsidRDefault="00E26C8E" w:rsidP="00E26C8E">
      <w:pPr>
        <w:ind w:left="2127" w:hanging="709"/>
        <w:rPr>
          <w:rFonts w:eastAsia="Times New Roman"/>
          <w:i/>
          <w:szCs w:val="20"/>
        </w:rPr>
      </w:pPr>
      <w:r w:rsidRPr="00E26C8E">
        <w:rPr>
          <w:rFonts w:eastAsia="Times New Roman"/>
          <w:i/>
          <w:szCs w:val="20"/>
        </w:rPr>
        <w:t>5.1.2.4</w:t>
      </w:r>
      <w:r w:rsidRPr="00E26C8E">
        <w:rPr>
          <w:rFonts w:eastAsia="Times New Roman"/>
          <w:i/>
          <w:szCs w:val="20"/>
        </w:rPr>
        <w:tab/>
        <w:t>Completion Map showing:</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application area boundaries;</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conceptual final landforms (including rehabilitated and non-disturbed areas);</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vegetation covers (including native vegetation that will not be disturbed due to operations);</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any infrastructure that will remain on site and will become the property and responsibility of the landowner;</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location of decommissioned wells;</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location of waste disposal areas; and</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predicted extent of residual mining fluids and liquid waste reinjected to aquifers</w:t>
      </w:r>
    </w:p>
    <w:p w:rsidR="00E26C8E" w:rsidRPr="00E26C8E" w:rsidRDefault="00E26C8E" w:rsidP="00E26C8E">
      <w:pPr>
        <w:ind w:left="851" w:hanging="425"/>
        <w:rPr>
          <w:rFonts w:eastAsia="Times New Roman"/>
          <w:b/>
          <w:szCs w:val="20"/>
        </w:rPr>
      </w:pPr>
      <w:r w:rsidRPr="00E26C8E">
        <w:rPr>
          <w:rFonts w:eastAsia="Times New Roman"/>
          <w:b/>
          <w:szCs w:val="20"/>
        </w:rPr>
        <w:t>5.2</w:t>
      </w:r>
      <w:r w:rsidRPr="00E26C8E">
        <w:rPr>
          <w:rFonts w:eastAsia="Times New Roman"/>
          <w:b/>
          <w:szCs w:val="20"/>
        </w:rPr>
        <w:tab/>
        <w:t>Summary of Cross-Sections</w:t>
      </w:r>
    </w:p>
    <w:p w:rsidR="00E26C8E" w:rsidRPr="00E26C8E" w:rsidRDefault="00E26C8E" w:rsidP="00E26C8E">
      <w:pPr>
        <w:ind w:left="851"/>
        <w:rPr>
          <w:rFonts w:eastAsia="Times New Roman"/>
          <w:szCs w:val="20"/>
        </w:rPr>
      </w:pPr>
      <w:r w:rsidRPr="00E26C8E">
        <w:rPr>
          <w:rFonts w:eastAsia="Times New Roman"/>
          <w:szCs w:val="20"/>
        </w:rPr>
        <w:t>Following is a summary of all cross-sections required in the proposal:</w:t>
      </w:r>
    </w:p>
    <w:p w:rsidR="00E26C8E" w:rsidRPr="00E26C8E" w:rsidRDefault="00E26C8E" w:rsidP="00E26C8E">
      <w:pPr>
        <w:ind w:left="1418" w:hanging="567"/>
        <w:rPr>
          <w:rFonts w:eastAsia="Times New Roman"/>
          <w:b/>
          <w:szCs w:val="20"/>
        </w:rPr>
      </w:pPr>
      <w:r w:rsidRPr="00E26C8E">
        <w:rPr>
          <w:rFonts w:eastAsia="Times New Roman"/>
          <w:b/>
          <w:szCs w:val="20"/>
        </w:rPr>
        <w:t>5.2.1</w:t>
      </w:r>
      <w:r w:rsidRPr="00E26C8E">
        <w:rPr>
          <w:rFonts w:eastAsia="Times New Roman"/>
          <w:b/>
          <w:szCs w:val="20"/>
        </w:rPr>
        <w:tab/>
        <w:t>Cross-Sections required for Description of the Existing Environment (as per clause 2)</w:t>
      </w:r>
    </w:p>
    <w:p w:rsidR="00E26C8E" w:rsidRPr="00E26C8E" w:rsidRDefault="00E26C8E" w:rsidP="00E26C8E">
      <w:pPr>
        <w:ind w:left="2127" w:hanging="709"/>
        <w:rPr>
          <w:rFonts w:eastAsia="Times New Roman"/>
          <w:i/>
          <w:szCs w:val="20"/>
        </w:rPr>
      </w:pPr>
      <w:r w:rsidRPr="00E26C8E">
        <w:rPr>
          <w:rFonts w:eastAsia="Times New Roman"/>
          <w:i/>
          <w:szCs w:val="20"/>
        </w:rPr>
        <w:t>5.2.1.1</w:t>
      </w:r>
      <w:r w:rsidRPr="00E26C8E">
        <w:rPr>
          <w:rFonts w:eastAsia="Times New Roman"/>
          <w:i/>
          <w:szCs w:val="20"/>
        </w:rPr>
        <w:tab/>
        <w:t>Geological Cross-Section(s) and Long-section(s) showing:</w:t>
      </w:r>
    </w:p>
    <w:p w:rsidR="00E26C8E" w:rsidRPr="00E26C8E" w:rsidRDefault="00E26C8E" w:rsidP="00E26C8E">
      <w:pPr>
        <w:spacing w:after="60"/>
        <w:ind w:left="2410" w:hanging="284"/>
        <w:rPr>
          <w:rFonts w:eastAsia="Times New Roman"/>
          <w:szCs w:val="20"/>
        </w:rPr>
      </w:pPr>
      <w:r w:rsidRPr="00E26C8E">
        <w:rPr>
          <w:rFonts w:eastAsia="Times New Roman"/>
          <w:szCs w:val="20"/>
        </w:rPr>
        <w:t>•</w:t>
      </w:r>
      <w:r w:rsidRPr="00E26C8E">
        <w:rPr>
          <w:rFonts w:eastAsia="Times New Roman"/>
          <w:szCs w:val="20"/>
        </w:rPr>
        <w:tab/>
        <w:t>a representation of the geological profile within the application area; and</w:t>
      </w:r>
    </w:p>
    <w:p w:rsidR="00E26C8E" w:rsidRPr="00E26C8E" w:rsidRDefault="00E26C8E" w:rsidP="00E26C8E">
      <w:pPr>
        <w:spacing w:after="60"/>
        <w:ind w:left="2410" w:hanging="284"/>
        <w:rPr>
          <w:rFonts w:eastAsia="Times New Roman"/>
          <w:szCs w:val="20"/>
        </w:rPr>
      </w:pPr>
      <w:r w:rsidRPr="00E26C8E">
        <w:rPr>
          <w:rFonts w:eastAsia="Times New Roman"/>
          <w:szCs w:val="20"/>
        </w:rPr>
        <w:t>•</w:t>
      </w:r>
      <w:r w:rsidRPr="00E26C8E">
        <w:rPr>
          <w:rFonts w:eastAsia="Times New Roman"/>
          <w:szCs w:val="20"/>
        </w:rPr>
        <w:tab/>
        <w:t>depth of the resource and any overlying overburden.</w:t>
      </w:r>
    </w:p>
    <w:p w:rsidR="00E26C8E" w:rsidRPr="00E26C8E" w:rsidRDefault="00E26C8E" w:rsidP="00E26C8E">
      <w:pPr>
        <w:ind w:left="2127" w:hanging="709"/>
        <w:rPr>
          <w:rFonts w:eastAsia="Times New Roman"/>
          <w:i/>
          <w:szCs w:val="20"/>
        </w:rPr>
      </w:pPr>
      <w:r w:rsidRPr="00E26C8E">
        <w:rPr>
          <w:rFonts w:eastAsia="Times New Roman"/>
          <w:i/>
          <w:szCs w:val="20"/>
        </w:rPr>
        <w:t>5.2.1.2</w:t>
      </w:r>
      <w:r w:rsidRPr="00E26C8E">
        <w:rPr>
          <w:rFonts w:eastAsia="Times New Roman"/>
          <w:i/>
          <w:szCs w:val="20"/>
        </w:rPr>
        <w:tab/>
        <w:t>Hydrogeological Cross-Section(s):</w:t>
      </w:r>
    </w:p>
    <w:p w:rsidR="00E26C8E" w:rsidRPr="00E26C8E" w:rsidRDefault="00E26C8E" w:rsidP="00E26C8E">
      <w:pPr>
        <w:ind w:left="2127"/>
        <w:rPr>
          <w:rFonts w:eastAsia="Times New Roman"/>
          <w:szCs w:val="20"/>
        </w:rPr>
      </w:pPr>
      <w:r w:rsidRPr="00E26C8E">
        <w:rPr>
          <w:rFonts w:eastAsia="Times New Roman"/>
          <w:szCs w:val="20"/>
        </w:rPr>
        <w:t>Include a series of hydrogeological cross-sections that represent the following at a regional scale and/or tenement application scale, as specified:</w:t>
      </w:r>
    </w:p>
    <w:p w:rsidR="00E26C8E" w:rsidRPr="00E26C8E" w:rsidRDefault="00E26C8E" w:rsidP="00E26C8E">
      <w:pPr>
        <w:spacing w:after="60"/>
        <w:ind w:left="2410" w:hanging="284"/>
        <w:rPr>
          <w:rFonts w:eastAsia="Times New Roman"/>
          <w:szCs w:val="20"/>
        </w:rPr>
      </w:pPr>
      <w:r w:rsidRPr="00E26C8E">
        <w:rPr>
          <w:rFonts w:eastAsia="Times New Roman"/>
          <w:szCs w:val="20"/>
        </w:rPr>
        <w:t>•</w:t>
      </w:r>
      <w:r w:rsidRPr="00E26C8E">
        <w:rPr>
          <w:rFonts w:eastAsia="Times New Roman"/>
          <w:szCs w:val="20"/>
        </w:rPr>
        <w:tab/>
        <w:t>application area boundaries;</w:t>
      </w:r>
    </w:p>
    <w:p w:rsidR="00E26C8E" w:rsidRPr="00E26C8E" w:rsidRDefault="00E26C8E" w:rsidP="00E26C8E">
      <w:pPr>
        <w:spacing w:after="60"/>
        <w:ind w:left="2410" w:hanging="284"/>
        <w:rPr>
          <w:rFonts w:eastAsia="Times New Roman"/>
          <w:szCs w:val="20"/>
        </w:rPr>
      </w:pPr>
      <w:r w:rsidRPr="00E26C8E">
        <w:rPr>
          <w:rFonts w:eastAsia="Times New Roman"/>
          <w:szCs w:val="20"/>
        </w:rPr>
        <w:t>•</w:t>
      </w:r>
      <w:r w:rsidRPr="00E26C8E">
        <w:rPr>
          <w:rFonts w:eastAsia="Times New Roman"/>
          <w:szCs w:val="20"/>
        </w:rPr>
        <w:tab/>
        <w:t>major geological units (regional scale);</w:t>
      </w:r>
    </w:p>
    <w:p w:rsidR="00E26C8E" w:rsidRPr="00E26C8E" w:rsidRDefault="00E26C8E" w:rsidP="00E26C8E">
      <w:pPr>
        <w:spacing w:after="60"/>
        <w:ind w:left="2410" w:hanging="284"/>
        <w:rPr>
          <w:rFonts w:eastAsia="Times New Roman"/>
          <w:szCs w:val="20"/>
        </w:rPr>
      </w:pPr>
      <w:r w:rsidRPr="00E26C8E">
        <w:rPr>
          <w:rFonts w:eastAsia="Times New Roman"/>
          <w:szCs w:val="20"/>
        </w:rPr>
        <w:t>•</w:t>
      </w:r>
      <w:r w:rsidRPr="00E26C8E">
        <w:rPr>
          <w:rFonts w:eastAsia="Times New Roman"/>
          <w:szCs w:val="20"/>
        </w:rPr>
        <w:tab/>
        <w:t>geological units showing aquifer and confining units (tenement scale);</w:t>
      </w:r>
    </w:p>
    <w:p w:rsidR="00E26C8E" w:rsidRPr="00E26C8E" w:rsidRDefault="00E26C8E" w:rsidP="00E26C8E">
      <w:pPr>
        <w:spacing w:after="60"/>
        <w:ind w:left="2410" w:hanging="284"/>
        <w:rPr>
          <w:rFonts w:eastAsia="Times New Roman"/>
          <w:szCs w:val="20"/>
        </w:rPr>
      </w:pPr>
      <w:r w:rsidRPr="00E26C8E">
        <w:rPr>
          <w:rFonts w:eastAsia="Times New Roman"/>
          <w:szCs w:val="20"/>
        </w:rPr>
        <w:t>•</w:t>
      </w:r>
      <w:r w:rsidRPr="00E26C8E">
        <w:rPr>
          <w:rFonts w:eastAsia="Times New Roman"/>
          <w:szCs w:val="20"/>
        </w:rPr>
        <w:tab/>
        <w:t>aquifer systems (regional and tenement scale) including any palaeochannels;</w:t>
      </w:r>
    </w:p>
    <w:p w:rsidR="00E26C8E" w:rsidRPr="00E26C8E" w:rsidRDefault="00E26C8E" w:rsidP="00E26C8E">
      <w:pPr>
        <w:spacing w:after="60"/>
        <w:ind w:left="2410" w:hanging="284"/>
        <w:rPr>
          <w:rFonts w:eastAsia="Times New Roman"/>
          <w:szCs w:val="20"/>
        </w:rPr>
      </w:pPr>
      <w:r w:rsidRPr="00E26C8E">
        <w:rPr>
          <w:rFonts w:eastAsia="Times New Roman"/>
          <w:szCs w:val="20"/>
        </w:rPr>
        <w:t>•</w:t>
      </w:r>
      <w:r w:rsidRPr="00E26C8E">
        <w:rPr>
          <w:rFonts w:eastAsia="Times New Roman"/>
          <w:szCs w:val="20"/>
        </w:rPr>
        <w:tab/>
        <w:t>interpreted hydrostratigraphy showing the known and inferred groundwater heads/groundwater elevations, interpreted groundwater flow direction, recharge and discharge mechanisms (if applicable);</w:t>
      </w:r>
    </w:p>
    <w:p w:rsidR="00E26C8E" w:rsidRPr="00E26C8E" w:rsidRDefault="00E26C8E" w:rsidP="00E26C8E">
      <w:pPr>
        <w:spacing w:after="60"/>
        <w:ind w:left="2410" w:hanging="284"/>
        <w:rPr>
          <w:rFonts w:eastAsia="Times New Roman"/>
          <w:szCs w:val="20"/>
        </w:rPr>
      </w:pPr>
      <w:r w:rsidRPr="00E26C8E">
        <w:rPr>
          <w:rFonts w:eastAsia="Times New Roman"/>
          <w:szCs w:val="20"/>
        </w:rPr>
        <w:t>•</w:t>
      </w:r>
      <w:r w:rsidRPr="00E26C8E">
        <w:rPr>
          <w:rFonts w:eastAsia="Times New Roman"/>
          <w:szCs w:val="20"/>
        </w:rPr>
        <w:tab/>
        <w:t>location of GDEs;</w:t>
      </w:r>
    </w:p>
    <w:p w:rsidR="00E26C8E" w:rsidRPr="00E26C8E" w:rsidRDefault="00E26C8E" w:rsidP="00E26C8E">
      <w:pPr>
        <w:spacing w:after="60"/>
        <w:ind w:left="2410" w:hanging="284"/>
        <w:rPr>
          <w:rFonts w:eastAsia="Times New Roman"/>
          <w:szCs w:val="20"/>
        </w:rPr>
      </w:pPr>
      <w:r w:rsidRPr="00E26C8E">
        <w:rPr>
          <w:rFonts w:eastAsia="Times New Roman"/>
          <w:szCs w:val="20"/>
        </w:rPr>
        <w:t>•</w:t>
      </w:r>
      <w:r w:rsidRPr="00E26C8E">
        <w:rPr>
          <w:rFonts w:eastAsia="Times New Roman"/>
          <w:szCs w:val="20"/>
        </w:rPr>
        <w:tab/>
        <w:t>interpreted faults (regional and tenement scale);</w:t>
      </w:r>
    </w:p>
    <w:p w:rsidR="00E26C8E" w:rsidRPr="00E26C8E" w:rsidRDefault="00E26C8E" w:rsidP="00E26C8E">
      <w:pPr>
        <w:spacing w:after="60"/>
        <w:ind w:left="2410" w:hanging="284"/>
        <w:rPr>
          <w:rFonts w:eastAsia="Times New Roman"/>
          <w:szCs w:val="20"/>
        </w:rPr>
      </w:pPr>
      <w:r w:rsidRPr="00E26C8E">
        <w:rPr>
          <w:rFonts w:eastAsia="Times New Roman"/>
          <w:szCs w:val="20"/>
        </w:rPr>
        <w:t>•</w:t>
      </w:r>
      <w:r w:rsidRPr="00E26C8E">
        <w:rPr>
          <w:rFonts w:eastAsia="Times New Roman"/>
          <w:szCs w:val="20"/>
        </w:rPr>
        <w:tab/>
        <w:t>mineralised zone (tenement scale);</w:t>
      </w:r>
    </w:p>
    <w:p w:rsidR="00E26C8E" w:rsidRPr="00E26C8E" w:rsidRDefault="00E26C8E" w:rsidP="00E26C8E">
      <w:pPr>
        <w:spacing w:after="60"/>
        <w:ind w:left="2410" w:hanging="284"/>
        <w:rPr>
          <w:rFonts w:eastAsia="Times New Roman"/>
          <w:szCs w:val="20"/>
        </w:rPr>
      </w:pPr>
      <w:r w:rsidRPr="00E26C8E">
        <w:rPr>
          <w:rFonts w:eastAsia="Times New Roman"/>
          <w:szCs w:val="20"/>
        </w:rPr>
        <w:t>•</w:t>
      </w:r>
      <w:r w:rsidRPr="00E26C8E">
        <w:rPr>
          <w:rFonts w:eastAsia="Times New Roman"/>
          <w:szCs w:val="20"/>
        </w:rPr>
        <w:tab/>
        <w:t>location of representative drill log sites from which geological information was obtained (regional and tenement scale); and</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location of representative monitoring bores from which baseline groundwater information was obtained</w:t>
      </w:r>
      <w:r w:rsidRPr="00E26C8E">
        <w:rPr>
          <w:rFonts w:eastAsia="Times New Roman"/>
          <w:b/>
          <w:szCs w:val="20"/>
        </w:rPr>
        <w:br w:type="page"/>
      </w:r>
    </w:p>
    <w:p w:rsidR="00E26C8E" w:rsidRPr="00E26C8E" w:rsidRDefault="00E26C8E" w:rsidP="00E26C8E">
      <w:pPr>
        <w:ind w:left="1418" w:hanging="567"/>
        <w:rPr>
          <w:rFonts w:eastAsia="Times New Roman"/>
          <w:b/>
          <w:szCs w:val="20"/>
        </w:rPr>
      </w:pPr>
      <w:r w:rsidRPr="00E26C8E">
        <w:rPr>
          <w:rFonts w:eastAsia="Times New Roman"/>
          <w:b/>
          <w:szCs w:val="20"/>
        </w:rPr>
        <w:t>5.2.2</w:t>
      </w:r>
      <w:r w:rsidRPr="00E26C8E">
        <w:rPr>
          <w:rFonts w:eastAsia="Times New Roman"/>
          <w:b/>
          <w:szCs w:val="20"/>
        </w:rPr>
        <w:tab/>
        <w:t>Cross-Sections required for Description of the Proposed Mining Operations (as per clause 3)</w:t>
      </w:r>
    </w:p>
    <w:p w:rsidR="00E26C8E" w:rsidRPr="00E26C8E" w:rsidRDefault="00E26C8E" w:rsidP="00E26C8E">
      <w:pPr>
        <w:ind w:left="2127" w:hanging="709"/>
        <w:rPr>
          <w:rFonts w:eastAsia="Times New Roman"/>
          <w:i/>
          <w:szCs w:val="20"/>
        </w:rPr>
      </w:pPr>
      <w:r w:rsidRPr="00E26C8E">
        <w:rPr>
          <w:rFonts w:eastAsia="Times New Roman"/>
          <w:i/>
          <w:szCs w:val="20"/>
        </w:rPr>
        <w:t>5.2.2.1</w:t>
      </w:r>
      <w:r w:rsidRPr="00E26C8E">
        <w:rPr>
          <w:rFonts w:eastAsia="Times New Roman"/>
          <w:i/>
          <w:szCs w:val="20"/>
        </w:rPr>
        <w:tab/>
        <w:t>Proposed Mining Operation Cross-Section(s) showing:</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natural surface;</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geological units showing aquifer systems, confining units and interpreted faults; and</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schematic of injection and production wells, liquid disposal wells and monitoring wells including screened intervals.</w:t>
      </w:r>
    </w:p>
    <w:p w:rsidR="00E26C8E" w:rsidRPr="00E26C8E" w:rsidRDefault="00E26C8E" w:rsidP="00E26C8E">
      <w:pPr>
        <w:ind w:left="2127" w:hanging="709"/>
        <w:rPr>
          <w:rFonts w:eastAsia="Times New Roman"/>
          <w:i/>
          <w:szCs w:val="20"/>
        </w:rPr>
      </w:pPr>
      <w:r w:rsidRPr="00E26C8E">
        <w:rPr>
          <w:rFonts w:eastAsia="Times New Roman"/>
          <w:i/>
          <w:szCs w:val="20"/>
        </w:rPr>
        <w:t>5.2.2.2</w:t>
      </w:r>
      <w:r w:rsidRPr="00E26C8E">
        <w:rPr>
          <w:rFonts w:eastAsia="Times New Roman"/>
          <w:i/>
          <w:szCs w:val="20"/>
        </w:rPr>
        <w:tab/>
        <w:t>Completion Cross Section(s) showing:</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natural surface;</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any infrastructure that will remain on site and will become the property and responsibility of the landowner;</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decommissioned wells;</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location of waste disposal areas; and</w:t>
      </w:r>
    </w:p>
    <w:p w:rsidR="00E26C8E" w:rsidRPr="00E26C8E" w:rsidRDefault="00E26C8E" w:rsidP="00E26C8E">
      <w:pPr>
        <w:ind w:left="2410" w:hanging="283"/>
        <w:rPr>
          <w:rFonts w:eastAsia="Times New Roman"/>
          <w:szCs w:val="20"/>
        </w:rPr>
      </w:pPr>
      <w:r w:rsidRPr="00E26C8E">
        <w:rPr>
          <w:rFonts w:eastAsia="Times New Roman"/>
          <w:szCs w:val="20"/>
        </w:rPr>
        <w:t>•</w:t>
      </w:r>
      <w:r w:rsidRPr="00E26C8E">
        <w:rPr>
          <w:rFonts w:eastAsia="Times New Roman"/>
          <w:szCs w:val="20"/>
        </w:rPr>
        <w:tab/>
        <w:t>predicted extent of residual mining fluids and liquid waste reinjected to aquifers.</w:t>
      </w:r>
    </w:p>
    <w:p w:rsidR="00E26C8E" w:rsidRPr="00E26C8E" w:rsidRDefault="00E26C8E" w:rsidP="00E26C8E">
      <w:pPr>
        <w:rPr>
          <w:rFonts w:eastAsia="Times New Roman"/>
          <w:b/>
          <w:szCs w:val="20"/>
        </w:rPr>
      </w:pPr>
      <w:r w:rsidRPr="00E26C8E">
        <w:rPr>
          <w:rFonts w:eastAsia="Times New Roman"/>
          <w:b/>
          <w:szCs w:val="20"/>
        </w:rPr>
        <w:t>ADDITIONAL INFORMATION TO ACCOMPANY APPLICATION</w:t>
      </w:r>
    </w:p>
    <w:p w:rsidR="00E26C8E" w:rsidRPr="00E26C8E" w:rsidRDefault="00E26C8E" w:rsidP="00E26C8E">
      <w:pPr>
        <w:ind w:left="142"/>
        <w:rPr>
          <w:rFonts w:eastAsia="Times New Roman"/>
          <w:szCs w:val="20"/>
        </w:rPr>
      </w:pPr>
      <w:r w:rsidRPr="00E26C8E">
        <w:rPr>
          <w:rFonts w:eastAsia="Times New Roman"/>
          <w:szCs w:val="20"/>
        </w:rPr>
        <w:t>An application for an ML and/or MPL must be accompanied by additional information as set out in regulations 30, 37 and 48 of the</w:t>
      </w:r>
      <w:r w:rsidRPr="00E26C8E">
        <w:rPr>
          <w:rFonts w:eastAsia="Times New Roman"/>
          <w:i/>
          <w:szCs w:val="20"/>
        </w:rPr>
        <w:t xml:space="preserve"> Mining Regulations 2020</w:t>
      </w:r>
      <w:r w:rsidRPr="00E26C8E">
        <w:rPr>
          <w:rFonts w:eastAsia="Times New Roman"/>
          <w:szCs w:val="20"/>
        </w:rPr>
        <w:t>, and must comply with the following determinations of this Terms of Reference as set out below:</w:t>
      </w:r>
    </w:p>
    <w:p w:rsidR="00E26C8E" w:rsidRPr="00E26C8E" w:rsidRDefault="00E26C8E" w:rsidP="00E26C8E">
      <w:pPr>
        <w:ind w:left="426" w:hanging="284"/>
        <w:rPr>
          <w:rFonts w:eastAsia="Times New Roman"/>
          <w:b/>
          <w:szCs w:val="20"/>
        </w:rPr>
      </w:pPr>
      <w:r w:rsidRPr="00E26C8E">
        <w:rPr>
          <w:rFonts w:eastAsia="Times New Roman"/>
          <w:b/>
          <w:szCs w:val="20"/>
        </w:rPr>
        <w:t>6.</w:t>
      </w:r>
      <w:r w:rsidRPr="00E26C8E">
        <w:rPr>
          <w:rFonts w:eastAsia="Times New Roman"/>
          <w:b/>
          <w:szCs w:val="20"/>
        </w:rPr>
        <w:tab/>
        <w:t>Reasonable prospect of access to land</w:t>
      </w:r>
    </w:p>
    <w:p w:rsidR="00E26C8E" w:rsidRPr="00E26C8E" w:rsidRDefault="00E26C8E" w:rsidP="00E26C8E">
      <w:pPr>
        <w:ind w:left="426"/>
        <w:rPr>
          <w:rFonts w:eastAsia="Times New Roman"/>
          <w:szCs w:val="20"/>
        </w:rPr>
      </w:pPr>
      <w:r w:rsidRPr="00E26C8E">
        <w:rPr>
          <w:rFonts w:eastAsia="Times New Roman"/>
          <w:szCs w:val="20"/>
        </w:rPr>
        <w:t>In preparing a statement under regulation 30(1)(e)(i) of the</w:t>
      </w:r>
      <w:r w:rsidRPr="00E26C8E">
        <w:rPr>
          <w:rFonts w:eastAsia="Times New Roman"/>
          <w:i/>
          <w:szCs w:val="20"/>
        </w:rPr>
        <w:t xml:space="preserve"> Mining Regulations 2020</w:t>
      </w:r>
      <w:r w:rsidRPr="00E26C8E">
        <w:rPr>
          <w:rFonts w:eastAsia="Times New Roman"/>
          <w:szCs w:val="20"/>
        </w:rPr>
        <w:t xml:space="preserve"> that demonstrates that there is a reasonable prospect that the land in respect of which an ML is sought could be effectively and efficiently mined, the Minister determines in accordance with regulation 30(2) of the</w:t>
      </w:r>
      <w:r w:rsidRPr="00E26C8E">
        <w:rPr>
          <w:rFonts w:eastAsia="Times New Roman"/>
          <w:i/>
          <w:szCs w:val="20"/>
        </w:rPr>
        <w:t xml:space="preserve"> Mining Regulations 2020</w:t>
      </w:r>
      <w:r w:rsidRPr="00E26C8E">
        <w:rPr>
          <w:rFonts w:eastAsia="Times New Roman"/>
          <w:szCs w:val="20"/>
        </w:rPr>
        <w:t xml:space="preserve"> that this statement must be supported by the following evidence:</w:t>
      </w:r>
    </w:p>
    <w:p w:rsidR="00E26C8E" w:rsidRPr="00E26C8E" w:rsidRDefault="00E26C8E" w:rsidP="00E26C8E">
      <w:pPr>
        <w:ind w:left="709" w:hanging="283"/>
        <w:rPr>
          <w:rFonts w:eastAsia="Times New Roman"/>
          <w:szCs w:val="20"/>
        </w:rPr>
      </w:pPr>
      <w:r w:rsidRPr="00E26C8E">
        <w:rPr>
          <w:rFonts w:eastAsia="Times New Roman"/>
          <w:szCs w:val="20"/>
        </w:rPr>
        <w:t>•</w:t>
      </w:r>
      <w:r w:rsidRPr="00E26C8E">
        <w:rPr>
          <w:rFonts w:eastAsia="Times New Roman"/>
          <w:szCs w:val="20"/>
        </w:rPr>
        <w:tab/>
        <w:t>A description of any waivers of exemption obtained, and/or information on the status of waivers of exemption yet to be negotiated/finalised under Section 9AA of the</w:t>
      </w:r>
      <w:r w:rsidRPr="00E26C8E">
        <w:rPr>
          <w:rFonts w:eastAsia="Times New Roman"/>
          <w:i/>
          <w:szCs w:val="20"/>
        </w:rPr>
        <w:t xml:space="preserve"> Mining Act 1971</w:t>
      </w:r>
      <w:r w:rsidRPr="00E26C8E">
        <w:rPr>
          <w:rFonts w:eastAsia="Times New Roman"/>
          <w:szCs w:val="20"/>
        </w:rPr>
        <w:t>; and</w:t>
      </w:r>
    </w:p>
    <w:p w:rsidR="00E26C8E" w:rsidRPr="00E26C8E" w:rsidRDefault="00E26C8E" w:rsidP="00E26C8E">
      <w:pPr>
        <w:ind w:left="709" w:hanging="283"/>
        <w:rPr>
          <w:rFonts w:eastAsia="Times New Roman"/>
          <w:szCs w:val="20"/>
        </w:rPr>
      </w:pPr>
      <w:r w:rsidRPr="00E26C8E">
        <w:rPr>
          <w:rFonts w:eastAsia="Times New Roman"/>
          <w:szCs w:val="20"/>
        </w:rPr>
        <w:t>•</w:t>
      </w:r>
      <w:r w:rsidRPr="00E26C8E">
        <w:rPr>
          <w:rFonts w:eastAsia="Times New Roman"/>
          <w:szCs w:val="20"/>
        </w:rPr>
        <w:tab/>
        <w:t>A description of any native title mining agreements obtained under the</w:t>
      </w:r>
      <w:r w:rsidRPr="00E26C8E">
        <w:rPr>
          <w:rFonts w:eastAsia="Times New Roman"/>
          <w:i/>
          <w:szCs w:val="20"/>
        </w:rPr>
        <w:t xml:space="preserve"> Mining Act 1971</w:t>
      </w:r>
      <w:r w:rsidRPr="00E26C8E">
        <w:rPr>
          <w:rFonts w:eastAsia="Times New Roman"/>
          <w:szCs w:val="20"/>
        </w:rPr>
        <w:t xml:space="preserve"> or </w:t>
      </w:r>
      <w:r w:rsidRPr="00E26C8E">
        <w:rPr>
          <w:rFonts w:eastAsia="Times New Roman"/>
          <w:i/>
          <w:szCs w:val="20"/>
        </w:rPr>
        <w:t xml:space="preserve">Indigenous Land Use Agreements (ILUA) under the Native Act 1993 (Cth) </w:t>
      </w:r>
      <w:r w:rsidRPr="00E26C8E">
        <w:rPr>
          <w:rFonts w:eastAsia="Times New Roman"/>
          <w:szCs w:val="20"/>
        </w:rPr>
        <w:t>and/or information on the status of waivers of exemption yet to be negotiated/finalised.</w:t>
      </w:r>
    </w:p>
    <w:p w:rsidR="00E26C8E" w:rsidRPr="00E26C8E" w:rsidRDefault="00E26C8E" w:rsidP="00E26C8E">
      <w:pPr>
        <w:ind w:left="284" w:hanging="284"/>
        <w:rPr>
          <w:rFonts w:eastAsia="Times New Roman"/>
          <w:b/>
          <w:szCs w:val="20"/>
        </w:rPr>
      </w:pPr>
      <w:r w:rsidRPr="00E26C8E">
        <w:rPr>
          <w:rFonts w:eastAsia="Times New Roman"/>
          <w:b/>
          <w:szCs w:val="20"/>
        </w:rPr>
        <w:t>7.</w:t>
      </w:r>
      <w:r w:rsidRPr="00E26C8E">
        <w:rPr>
          <w:rFonts w:eastAsia="Times New Roman"/>
          <w:b/>
          <w:szCs w:val="20"/>
        </w:rPr>
        <w:tab/>
        <w:t>Description of contributions to the economy</w:t>
      </w:r>
    </w:p>
    <w:p w:rsidR="00E26C8E" w:rsidRPr="00E26C8E" w:rsidRDefault="00E26C8E" w:rsidP="00E26C8E">
      <w:pPr>
        <w:ind w:left="284"/>
        <w:rPr>
          <w:rFonts w:eastAsia="Times New Roman"/>
          <w:szCs w:val="20"/>
        </w:rPr>
      </w:pPr>
      <w:r w:rsidRPr="00E26C8E">
        <w:rPr>
          <w:rFonts w:eastAsia="Times New Roman"/>
          <w:szCs w:val="20"/>
        </w:rPr>
        <w:t>For the purposes of regulation 30(1)(g) of the</w:t>
      </w:r>
      <w:r w:rsidRPr="00E26C8E">
        <w:rPr>
          <w:rFonts w:eastAsia="Times New Roman"/>
          <w:i/>
          <w:szCs w:val="20"/>
        </w:rPr>
        <w:t xml:space="preserve"> Mining Regulations 2020</w:t>
      </w:r>
      <w:r w:rsidRPr="00E26C8E">
        <w:rPr>
          <w:rFonts w:eastAsia="Times New Roman"/>
          <w:szCs w:val="20"/>
        </w:rPr>
        <w:t>, the Minister determines that the following information must accompany an application for an ML:</w:t>
      </w:r>
    </w:p>
    <w:p w:rsidR="00E26C8E" w:rsidRPr="00E26C8E" w:rsidRDefault="00E26C8E" w:rsidP="00E26C8E">
      <w:pPr>
        <w:ind w:left="709" w:hanging="283"/>
        <w:rPr>
          <w:rFonts w:eastAsia="Times New Roman"/>
          <w:szCs w:val="20"/>
        </w:rPr>
      </w:pPr>
      <w:r w:rsidRPr="00E26C8E">
        <w:rPr>
          <w:rFonts w:eastAsia="Times New Roman"/>
          <w:szCs w:val="20"/>
        </w:rPr>
        <w:t>•</w:t>
      </w:r>
      <w:r w:rsidRPr="00E26C8E">
        <w:rPr>
          <w:rFonts w:eastAsia="Times New Roman"/>
          <w:szCs w:val="20"/>
        </w:rPr>
        <w:tab/>
        <w:t>A description of the economic contributions of the proposed operations, including (but not limited to):</w:t>
      </w:r>
    </w:p>
    <w:p w:rsidR="00E26C8E" w:rsidRPr="00E26C8E" w:rsidRDefault="00E26C8E" w:rsidP="00E26C8E">
      <w:pPr>
        <w:ind w:left="709" w:hanging="283"/>
        <w:rPr>
          <w:rFonts w:eastAsia="Times New Roman"/>
          <w:szCs w:val="20"/>
        </w:rPr>
      </w:pPr>
      <w:r w:rsidRPr="00E26C8E">
        <w:rPr>
          <w:rFonts w:eastAsia="Times New Roman"/>
          <w:szCs w:val="20"/>
        </w:rPr>
        <w:t>•</w:t>
      </w:r>
      <w:r w:rsidRPr="00E26C8E">
        <w:rPr>
          <w:rFonts w:eastAsia="Times New Roman"/>
          <w:szCs w:val="20"/>
        </w:rPr>
        <w:tab/>
        <w:t>goods and services used in the local community, state and external to state;</w:t>
      </w:r>
    </w:p>
    <w:p w:rsidR="00E26C8E" w:rsidRPr="00E26C8E" w:rsidRDefault="00E26C8E" w:rsidP="00E26C8E">
      <w:pPr>
        <w:ind w:left="709" w:hanging="283"/>
        <w:rPr>
          <w:rFonts w:eastAsia="Times New Roman"/>
          <w:szCs w:val="20"/>
        </w:rPr>
      </w:pPr>
      <w:r w:rsidRPr="00E26C8E">
        <w:rPr>
          <w:rFonts w:eastAsia="Times New Roman"/>
          <w:szCs w:val="20"/>
        </w:rPr>
        <w:t>•</w:t>
      </w:r>
      <w:r w:rsidRPr="00E26C8E">
        <w:rPr>
          <w:rFonts w:eastAsia="Times New Roman"/>
          <w:szCs w:val="20"/>
        </w:rPr>
        <w:tab/>
        <w:t>wages and other employee benefits;</w:t>
      </w:r>
    </w:p>
    <w:p w:rsidR="00E26C8E" w:rsidRPr="00E26C8E" w:rsidRDefault="00E26C8E" w:rsidP="00E26C8E">
      <w:pPr>
        <w:ind w:left="709" w:hanging="283"/>
        <w:rPr>
          <w:rFonts w:eastAsia="Times New Roman"/>
          <w:szCs w:val="20"/>
        </w:rPr>
      </w:pPr>
      <w:r w:rsidRPr="00E26C8E">
        <w:rPr>
          <w:rFonts w:eastAsia="Times New Roman"/>
          <w:szCs w:val="20"/>
        </w:rPr>
        <w:t>•</w:t>
      </w:r>
      <w:r w:rsidRPr="00E26C8E">
        <w:rPr>
          <w:rFonts w:eastAsia="Times New Roman"/>
          <w:szCs w:val="20"/>
        </w:rPr>
        <w:tab/>
        <w:t>economic benefits derived from local employment;</w:t>
      </w:r>
    </w:p>
    <w:p w:rsidR="00E26C8E" w:rsidRPr="00E26C8E" w:rsidRDefault="00E26C8E" w:rsidP="00E26C8E">
      <w:pPr>
        <w:ind w:left="709" w:hanging="283"/>
        <w:rPr>
          <w:rFonts w:eastAsia="Times New Roman"/>
          <w:szCs w:val="20"/>
        </w:rPr>
      </w:pPr>
      <w:r w:rsidRPr="00E26C8E">
        <w:rPr>
          <w:rFonts w:eastAsia="Times New Roman"/>
          <w:szCs w:val="20"/>
        </w:rPr>
        <w:t>•</w:t>
      </w:r>
      <w:r w:rsidRPr="00E26C8E">
        <w:rPr>
          <w:rFonts w:eastAsia="Times New Roman"/>
          <w:szCs w:val="20"/>
        </w:rPr>
        <w:tab/>
        <w:t>approximate royalty payments and other direct state government taxes; and</w:t>
      </w:r>
    </w:p>
    <w:p w:rsidR="00E26C8E" w:rsidRPr="00E26C8E" w:rsidRDefault="00E26C8E" w:rsidP="00E26C8E">
      <w:pPr>
        <w:ind w:left="709" w:hanging="283"/>
        <w:rPr>
          <w:rFonts w:eastAsia="Times New Roman"/>
          <w:szCs w:val="20"/>
        </w:rPr>
      </w:pPr>
      <w:r w:rsidRPr="00E26C8E">
        <w:rPr>
          <w:rFonts w:eastAsia="Times New Roman"/>
          <w:szCs w:val="20"/>
        </w:rPr>
        <w:t>•</w:t>
      </w:r>
      <w:r w:rsidRPr="00E26C8E">
        <w:rPr>
          <w:rFonts w:eastAsia="Times New Roman"/>
          <w:szCs w:val="20"/>
        </w:rPr>
        <w:tab/>
        <w:t>any other potential economic contributions proposed during the development of the quarry, operation of the proposed quarry and post quarry completion.</w:t>
      </w:r>
    </w:p>
    <w:p w:rsidR="00E26C8E" w:rsidRPr="00E26C8E" w:rsidRDefault="00E26C8E" w:rsidP="00E26C8E">
      <w:pPr>
        <w:ind w:left="284" w:hanging="284"/>
        <w:rPr>
          <w:rFonts w:eastAsia="Times New Roman"/>
          <w:b/>
          <w:szCs w:val="20"/>
        </w:rPr>
      </w:pPr>
      <w:r w:rsidRPr="00E26C8E">
        <w:rPr>
          <w:rFonts w:eastAsia="Times New Roman"/>
          <w:b/>
          <w:szCs w:val="20"/>
        </w:rPr>
        <w:t>8.</w:t>
      </w:r>
      <w:r w:rsidRPr="00E26C8E">
        <w:rPr>
          <w:rFonts w:eastAsia="Times New Roman"/>
          <w:b/>
          <w:szCs w:val="20"/>
        </w:rPr>
        <w:tab/>
        <w:t>Reserves or Resources (or both)</w:t>
      </w:r>
    </w:p>
    <w:p w:rsidR="00E26C8E" w:rsidRPr="00E26C8E" w:rsidRDefault="00E26C8E" w:rsidP="00E26C8E">
      <w:pPr>
        <w:ind w:left="426"/>
        <w:rPr>
          <w:rFonts w:eastAsia="Times New Roman"/>
          <w:szCs w:val="20"/>
        </w:rPr>
      </w:pPr>
      <w:r w:rsidRPr="00E26C8E">
        <w:rPr>
          <w:rFonts w:eastAsia="Times New Roman"/>
          <w:szCs w:val="20"/>
        </w:rPr>
        <w:t>Provide:</w:t>
      </w:r>
    </w:p>
    <w:p w:rsidR="00E26C8E" w:rsidRPr="00E26C8E" w:rsidRDefault="00E26C8E" w:rsidP="00E26C8E">
      <w:pPr>
        <w:ind w:left="851" w:hanging="283"/>
        <w:rPr>
          <w:rFonts w:eastAsia="Times New Roman"/>
          <w:szCs w:val="20"/>
        </w:rPr>
      </w:pPr>
      <w:r w:rsidRPr="00E26C8E">
        <w:rPr>
          <w:rFonts w:eastAsia="Times New Roman"/>
          <w:szCs w:val="20"/>
        </w:rPr>
        <w:t>•</w:t>
      </w:r>
      <w:r w:rsidRPr="00E26C8E">
        <w:rPr>
          <w:rFonts w:eastAsia="Times New Roman"/>
          <w:szCs w:val="20"/>
        </w:rPr>
        <w:tab/>
        <w:t>a JORC compliant reserve or resource estimate (or both); and</w:t>
      </w:r>
    </w:p>
    <w:p w:rsidR="00E26C8E" w:rsidRPr="00E26C8E" w:rsidRDefault="00E26C8E" w:rsidP="00E26C8E">
      <w:pPr>
        <w:ind w:left="851" w:hanging="283"/>
        <w:rPr>
          <w:rFonts w:eastAsia="Times New Roman"/>
          <w:szCs w:val="20"/>
        </w:rPr>
      </w:pPr>
      <w:r w:rsidRPr="00E26C8E">
        <w:rPr>
          <w:rFonts w:eastAsia="Times New Roman"/>
          <w:szCs w:val="20"/>
        </w:rPr>
        <w:t>•</w:t>
      </w:r>
      <w:r w:rsidRPr="00E26C8E">
        <w:rPr>
          <w:rFonts w:eastAsia="Times New Roman"/>
          <w:szCs w:val="20"/>
        </w:rPr>
        <w:tab/>
        <w:t>the accompanying JORC Public Report and competent person statement;</w:t>
      </w:r>
    </w:p>
    <w:p w:rsidR="00E26C8E" w:rsidRPr="00E26C8E" w:rsidRDefault="00E26C8E" w:rsidP="00E26C8E">
      <w:pPr>
        <w:ind w:left="426"/>
        <w:rPr>
          <w:rFonts w:eastAsia="Times New Roman"/>
          <w:szCs w:val="20"/>
        </w:rPr>
      </w:pPr>
      <w:r w:rsidRPr="00E26C8E">
        <w:rPr>
          <w:rFonts w:eastAsia="Times New Roman"/>
          <w:szCs w:val="20"/>
        </w:rPr>
        <w:t>or (if a JORC compliant reserve or resource (or both) has not been reported)</w:t>
      </w:r>
    </w:p>
    <w:p w:rsidR="00E26C8E" w:rsidRPr="00E26C8E" w:rsidRDefault="00E26C8E" w:rsidP="00E26C8E">
      <w:pPr>
        <w:ind w:left="851" w:hanging="283"/>
        <w:rPr>
          <w:rFonts w:eastAsia="Times New Roman"/>
          <w:szCs w:val="20"/>
        </w:rPr>
      </w:pPr>
      <w:r w:rsidRPr="00E26C8E">
        <w:rPr>
          <w:rFonts w:eastAsia="Times New Roman"/>
          <w:szCs w:val="20"/>
        </w:rPr>
        <w:t>•</w:t>
      </w:r>
      <w:r w:rsidRPr="00E26C8E">
        <w:rPr>
          <w:rFonts w:eastAsia="Times New Roman"/>
          <w:szCs w:val="20"/>
        </w:rPr>
        <w:tab/>
        <w:t>a detailed estimate of the resource to be mined, the basis of this estimate, and evidence that demonstrates that the resource can be economically mined at current market prices.</w:t>
      </w:r>
    </w:p>
    <w:p w:rsidR="00E26C8E" w:rsidRPr="00E26C8E" w:rsidRDefault="00E26C8E" w:rsidP="00E26C8E">
      <w:pPr>
        <w:spacing w:after="0"/>
        <w:rPr>
          <w:rFonts w:eastAsia="Times New Roman"/>
          <w:szCs w:val="17"/>
        </w:rPr>
      </w:pPr>
      <w:r w:rsidRPr="00E26C8E">
        <w:rPr>
          <w:rFonts w:eastAsia="Times New Roman"/>
          <w:szCs w:val="17"/>
        </w:rPr>
        <w:t>Dated: 11 December 2020</w:t>
      </w:r>
    </w:p>
    <w:p w:rsidR="00E26C8E" w:rsidRPr="00E26C8E" w:rsidRDefault="00E26C8E" w:rsidP="00E26C8E">
      <w:pPr>
        <w:spacing w:after="0"/>
        <w:jc w:val="right"/>
        <w:rPr>
          <w:rFonts w:eastAsia="Times New Roman"/>
          <w:smallCaps/>
          <w:szCs w:val="20"/>
        </w:rPr>
      </w:pPr>
      <w:r w:rsidRPr="00E26C8E">
        <w:rPr>
          <w:rFonts w:eastAsia="Times New Roman"/>
          <w:smallCaps/>
          <w:szCs w:val="20"/>
        </w:rPr>
        <w:t>Hon. Daniel van Holst Pellekaan</w:t>
      </w:r>
    </w:p>
    <w:p w:rsidR="00E26C8E" w:rsidRPr="00E26C8E" w:rsidRDefault="00E26C8E" w:rsidP="00E26C8E">
      <w:pPr>
        <w:spacing w:after="0"/>
        <w:jc w:val="right"/>
        <w:rPr>
          <w:rFonts w:eastAsia="Times New Roman"/>
          <w:szCs w:val="17"/>
        </w:rPr>
      </w:pPr>
      <w:r w:rsidRPr="00E26C8E">
        <w:rPr>
          <w:rFonts w:eastAsia="Times New Roman"/>
          <w:szCs w:val="17"/>
        </w:rPr>
        <w:t>Minister for Energy and Mining</w:t>
      </w:r>
    </w:p>
    <w:p w:rsidR="00E26C8E" w:rsidRPr="00E26C8E" w:rsidRDefault="00E26C8E" w:rsidP="00E26C8E">
      <w:pPr>
        <w:pBdr>
          <w:top w:val="single" w:sz="4" w:space="1" w:color="auto"/>
        </w:pBdr>
        <w:spacing w:before="100" w:after="0" w:line="14" w:lineRule="exact"/>
        <w:jc w:val="center"/>
        <w:rPr>
          <w:rFonts w:eastAsia="Times New Roman"/>
          <w:szCs w:val="17"/>
        </w:rPr>
      </w:pPr>
    </w:p>
    <w:p w:rsidR="00E26C8E" w:rsidRPr="00E26C8E" w:rsidRDefault="00E26C8E" w:rsidP="00E26C8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E26C8E" w:rsidRPr="00E26C8E" w:rsidRDefault="00E26C8E" w:rsidP="00E26C8E">
      <w:pPr>
        <w:jc w:val="center"/>
        <w:rPr>
          <w:caps/>
          <w:szCs w:val="17"/>
        </w:rPr>
      </w:pPr>
      <w:r w:rsidRPr="00E26C8E">
        <w:rPr>
          <w:caps/>
          <w:szCs w:val="17"/>
        </w:rPr>
        <w:t>Mining Act 1971</w:t>
      </w:r>
    </w:p>
    <w:p w:rsidR="00E26C8E" w:rsidRPr="00E26C8E" w:rsidRDefault="00E26C8E" w:rsidP="00E26C8E">
      <w:pPr>
        <w:jc w:val="center"/>
        <w:rPr>
          <w:smallCaps/>
          <w:szCs w:val="17"/>
        </w:rPr>
      </w:pPr>
      <w:r w:rsidRPr="00E26C8E">
        <w:rPr>
          <w:smallCaps/>
          <w:szCs w:val="17"/>
        </w:rPr>
        <w:t>Section 56R</w:t>
      </w:r>
    </w:p>
    <w:p w:rsidR="00E26C8E" w:rsidRPr="00E26C8E" w:rsidRDefault="00E26C8E" w:rsidP="00E26C8E">
      <w:pPr>
        <w:jc w:val="center"/>
        <w:rPr>
          <w:i/>
          <w:szCs w:val="17"/>
        </w:rPr>
      </w:pPr>
      <w:r w:rsidRPr="00E26C8E">
        <w:rPr>
          <w:i/>
          <w:szCs w:val="17"/>
        </w:rPr>
        <w:t>Terms of Reference for a Change in Operations Application</w:t>
      </w:r>
    </w:p>
    <w:p w:rsidR="00E26C8E" w:rsidRPr="00E26C8E" w:rsidRDefault="00E26C8E" w:rsidP="00E26C8E">
      <w:pPr>
        <w:rPr>
          <w:rFonts w:eastAsia="Times New Roman"/>
          <w:szCs w:val="20"/>
        </w:rPr>
      </w:pPr>
      <w:r w:rsidRPr="00E26C8E">
        <w:rPr>
          <w:rFonts w:eastAsia="Times New Roman"/>
          <w:szCs w:val="20"/>
        </w:rPr>
        <w:t>An application for a change in operations under Part 8B Division 7 of the</w:t>
      </w:r>
      <w:r w:rsidRPr="00E26C8E">
        <w:rPr>
          <w:rFonts w:eastAsia="Times New Roman"/>
          <w:i/>
          <w:szCs w:val="20"/>
        </w:rPr>
        <w:t xml:space="preserve"> Mining Act 1971</w:t>
      </w:r>
      <w:r w:rsidRPr="00E26C8E">
        <w:rPr>
          <w:rFonts w:eastAsia="Times New Roman"/>
          <w:szCs w:val="20"/>
        </w:rPr>
        <w:t xml:space="preserve"> must:</w:t>
      </w:r>
    </w:p>
    <w:p w:rsidR="00E26C8E" w:rsidRPr="00E26C8E" w:rsidRDefault="00E26C8E" w:rsidP="00E26C8E">
      <w:pPr>
        <w:ind w:left="426" w:hanging="284"/>
        <w:rPr>
          <w:rFonts w:eastAsia="Times New Roman"/>
          <w:szCs w:val="20"/>
        </w:rPr>
      </w:pPr>
      <w:r w:rsidRPr="00E26C8E">
        <w:rPr>
          <w:rFonts w:eastAsia="Times New Roman"/>
          <w:szCs w:val="20"/>
        </w:rPr>
        <w:t>•</w:t>
      </w:r>
      <w:r w:rsidRPr="00E26C8E">
        <w:rPr>
          <w:rFonts w:eastAsia="Times New Roman"/>
          <w:szCs w:val="20"/>
        </w:rPr>
        <w:tab/>
        <w:t>comply with section 56R of the</w:t>
      </w:r>
      <w:r w:rsidRPr="00E26C8E">
        <w:rPr>
          <w:rFonts w:eastAsia="Times New Roman"/>
          <w:i/>
          <w:szCs w:val="20"/>
        </w:rPr>
        <w:t xml:space="preserve"> Mining Act 1971</w:t>
      </w:r>
      <w:r w:rsidRPr="00E26C8E">
        <w:rPr>
          <w:rFonts w:eastAsia="Times New Roman"/>
          <w:szCs w:val="20"/>
        </w:rPr>
        <w:t>, regulation 55 of the</w:t>
      </w:r>
      <w:r w:rsidRPr="00E26C8E">
        <w:rPr>
          <w:rFonts w:eastAsia="Times New Roman"/>
          <w:i/>
          <w:szCs w:val="20"/>
        </w:rPr>
        <w:t xml:space="preserve"> Mining Regulations 2020</w:t>
      </w:r>
      <w:r w:rsidRPr="00E26C8E">
        <w:rPr>
          <w:rFonts w:eastAsia="Times New Roman"/>
          <w:szCs w:val="20"/>
        </w:rPr>
        <w:t xml:space="preserve"> and any determinations set out in this Terms of Reference</w:t>
      </w:r>
    </w:p>
    <w:p w:rsidR="00E26C8E" w:rsidRPr="00E26C8E" w:rsidRDefault="00E26C8E" w:rsidP="00E26C8E">
      <w:pPr>
        <w:ind w:left="426" w:hanging="284"/>
        <w:rPr>
          <w:rFonts w:eastAsia="Times New Roman"/>
          <w:szCs w:val="20"/>
        </w:rPr>
      </w:pPr>
      <w:r w:rsidRPr="00E26C8E">
        <w:rPr>
          <w:rFonts w:eastAsia="Times New Roman"/>
          <w:szCs w:val="20"/>
        </w:rPr>
        <w:t>•</w:t>
      </w:r>
      <w:r w:rsidRPr="00E26C8E">
        <w:rPr>
          <w:rFonts w:eastAsia="Times New Roman"/>
          <w:szCs w:val="20"/>
        </w:rPr>
        <w:tab/>
        <w:t>be accompanied by a declaration of accuracy that complies with regulation 84 of the</w:t>
      </w:r>
      <w:r w:rsidRPr="00E26C8E">
        <w:rPr>
          <w:rFonts w:eastAsia="Times New Roman"/>
          <w:i/>
          <w:szCs w:val="20"/>
        </w:rPr>
        <w:t xml:space="preserve"> Mining Regulations 2020</w:t>
      </w:r>
    </w:p>
    <w:p w:rsidR="00E26C8E" w:rsidRPr="00E26C8E" w:rsidRDefault="00E26C8E" w:rsidP="00E26C8E">
      <w:pPr>
        <w:ind w:left="426" w:hanging="284"/>
        <w:rPr>
          <w:rFonts w:eastAsia="Times New Roman"/>
          <w:szCs w:val="20"/>
        </w:rPr>
      </w:pPr>
      <w:r w:rsidRPr="00E26C8E">
        <w:rPr>
          <w:rFonts w:eastAsia="Times New Roman"/>
          <w:szCs w:val="20"/>
        </w:rPr>
        <w:t>•</w:t>
      </w:r>
      <w:r w:rsidRPr="00E26C8E">
        <w:rPr>
          <w:rFonts w:eastAsia="Times New Roman"/>
          <w:szCs w:val="20"/>
        </w:rPr>
        <w:tab/>
        <w:t xml:space="preserve">be accompanied by a statement in accordance with regulation 55(1)(c) of the </w:t>
      </w:r>
      <w:r w:rsidRPr="00E26C8E">
        <w:rPr>
          <w:rFonts w:eastAsia="Times New Roman"/>
          <w:i/>
          <w:szCs w:val="20"/>
        </w:rPr>
        <w:t>Mining Regulations 2020</w:t>
      </w:r>
      <w:r w:rsidRPr="00E26C8E">
        <w:rPr>
          <w:rFonts w:eastAsia="Times New Roman"/>
          <w:szCs w:val="20"/>
        </w:rPr>
        <w:t>; and</w:t>
      </w:r>
    </w:p>
    <w:p w:rsidR="00E26C8E" w:rsidRPr="00E26C8E" w:rsidRDefault="00E26C8E" w:rsidP="00E26C8E">
      <w:pPr>
        <w:ind w:left="426" w:hanging="284"/>
        <w:rPr>
          <w:rFonts w:eastAsia="Times New Roman"/>
          <w:szCs w:val="20"/>
        </w:rPr>
      </w:pPr>
      <w:r w:rsidRPr="00E26C8E">
        <w:rPr>
          <w:rFonts w:eastAsia="Times New Roman"/>
          <w:szCs w:val="20"/>
        </w:rPr>
        <w:t>•</w:t>
      </w:r>
      <w:r w:rsidRPr="00E26C8E">
        <w:rPr>
          <w:rFonts w:eastAsia="Times New Roman"/>
          <w:szCs w:val="20"/>
        </w:rPr>
        <w:tab/>
        <w:t>be accompanied by the relevant application fee.</w:t>
      </w:r>
    </w:p>
    <w:p w:rsidR="00E26C8E" w:rsidRPr="00E26C8E" w:rsidRDefault="00E26C8E" w:rsidP="00E26C8E">
      <w:pPr>
        <w:rPr>
          <w:rFonts w:eastAsia="Times New Roman"/>
          <w:b/>
          <w:szCs w:val="20"/>
        </w:rPr>
      </w:pPr>
      <w:r w:rsidRPr="00E26C8E">
        <w:rPr>
          <w:rFonts w:eastAsia="Times New Roman"/>
          <w:b/>
          <w:szCs w:val="20"/>
        </w:rPr>
        <w:t>FORM OF THE CHANGE IN OPERATIONS APPLICATION</w:t>
      </w:r>
    </w:p>
    <w:p w:rsidR="00E26C8E" w:rsidRPr="00E26C8E" w:rsidRDefault="00E26C8E" w:rsidP="00E26C8E">
      <w:pPr>
        <w:ind w:left="142"/>
        <w:rPr>
          <w:rFonts w:eastAsia="Times New Roman"/>
          <w:szCs w:val="20"/>
        </w:rPr>
      </w:pPr>
      <w:r w:rsidRPr="00E26C8E">
        <w:rPr>
          <w:rFonts w:eastAsia="Times New Roman"/>
          <w:szCs w:val="20"/>
        </w:rPr>
        <w:t>In accordance with section 56R(1)(a) of the</w:t>
      </w:r>
      <w:r w:rsidRPr="00E26C8E">
        <w:rPr>
          <w:rFonts w:eastAsia="Times New Roman"/>
          <w:i/>
          <w:szCs w:val="20"/>
        </w:rPr>
        <w:t xml:space="preserve"> Mining Act 1971</w:t>
      </w:r>
      <w:r w:rsidRPr="00E26C8E">
        <w:rPr>
          <w:rFonts w:eastAsia="Times New Roman"/>
          <w:szCs w:val="20"/>
        </w:rPr>
        <w:t xml:space="preserve"> an application for a change in operations must be made in the form and contain such information as set out in this Terms of Reference, unless otherwise specified by the Director of Mines or an authorised officer.</w:t>
      </w:r>
    </w:p>
    <w:p w:rsidR="00E26C8E" w:rsidRPr="00E26C8E" w:rsidRDefault="00E26C8E" w:rsidP="00E26C8E">
      <w:pPr>
        <w:spacing w:after="0" w:line="240" w:lineRule="auto"/>
        <w:jc w:val="left"/>
        <w:rPr>
          <w:rFonts w:eastAsia="Times New Roman"/>
          <w:szCs w:val="20"/>
        </w:rPr>
      </w:pPr>
      <w:r w:rsidRPr="00E26C8E">
        <w:rPr>
          <w:rFonts w:eastAsia="Times New Roman"/>
          <w:szCs w:val="20"/>
        </w:rPr>
        <w:br w:type="page"/>
      </w:r>
    </w:p>
    <w:p w:rsidR="00E26C8E" w:rsidRPr="00E26C8E" w:rsidRDefault="00E26C8E" w:rsidP="00E26C8E">
      <w:pPr>
        <w:ind w:left="142"/>
        <w:rPr>
          <w:rFonts w:eastAsia="Times New Roman"/>
          <w:szCs w:val="20"/>
        </w:rPr>
      </w:pPr>
      <w:r w:rsidRPr="00E26C8E">
        <w:rPr>
          <w:rFonts w:eastAsia="Times New Roman"/>
          <w:szCs w:val="20"/>
        </w:rPr>
        <w:t>For the purposes of section 56R(1)(a) of the</w:t>
      </w:r>
      <w:r w:rsidRPr="00E26C8E">
        <w:rPr>
          <w:rFonts w:eastAsia="Times New Roman"/>
          <w:i/>
          <w:szCs w:val="20"/>
        </w:rPr>
        <w:t xml:space="preserve"> Mining Act 1971</w:t>
      </w:r>
      <w:r w:rsidRPr="00E26C8E">
        <w:rPr>
          <w:rFonts w:eastAsia="Times New Roman"/>
          <w:szCs w:val="20"/>
        </w:rPr>
        <w:t>, it is determined that an application for a change in operations must contain the information as follows:</w:t>
      </w:r>
    </w:p>
    <w:p w:rsidR="00E26C8E" w:rsidRPr="00E26C8E" w:rsidRDefault="00E26C8E" w:rsidP="00E26C8E">
      <w:pPr>
        <w:ind w:left="567" w:hanging="283"/>
        <w:rPr>
          <w:rFonts w:eastAsia="Times New Roman"/>
          <w:szCs w:val="20"/>
        </w:rPr>
      </w:pPr>
      <w:r w:rsidRPr="00E26C8E">
        <w:rPr>
          <w:rFonts w:eastAsia="Times New Roman"/>
          <w:szCs w:val="20"/>
        </w:rPr>
        <w:t>•</w:t>
      </w:r>
      <w:r w:rsidRPr="00E26C8E">
        <w:rPr>
          <w:rFonts w:eastAsia="Times New Roman"/>
          <w:szCs w:val="20"/>
        </w:rPr>
        <w:tab/>
        <w:t>Applicant name(s) (company and/or individual)</w:t>
      </w:r>
    </w:p>
    <w:p w:rsidR="00E26C8E" w:rsidRPr="00E26C8E" w:rsidRDefault="00E26C8E" w:rsidP="00E26C8E">
      <w:pPr>
        <w:ind w:left="567" w:hanging="283"/>
        <w:rPr>
          <w:rFonts w:eastAsia="Times New Roman"/>
          <w:szCs w:val="20"/>
        </w:rPr>
      </w:pPr>
      <w:r w:rsidRPr="00E26C8E">
        <w:rPr>
          <w:rFonts w:eastAsia="Times New Roman"/>
          <w:szCs w:val="20"/>
        </w:rPr>
        <w:t>•</w:t>
      </w:r>
      <w:r w:rsidRPr="00E26C8E">
        <w:rPr>
          <w:rFonts w:eastAsia="Times New Roman"/>
          <w:szCs w:val="20"/>
        </w:rPr>
        <w:tab/>
        <w:t>Applicant contact details including:</w:t>
      </w:r>
    </w:p>
    <w:p w:rsidR="00E26C8E" w:rsidRPr="00E26C8E" w:rsidRDefault="00E26C8E" w:rsidP="00E26C8E">
      <w:pPr>
        <w:ind w:left="851" w:hanging="284"/>
        <w:rPr>
          <w:rFonts w:eastAsia="Times New Roman"/>
          <w:szCs w:val="20"/>
        </w:rPr>
      </w:pPr>
      <w:r w:rsidRPr="00E26C8E">
        <w:rPr>
          <w:rFonts w:eastAsia="Times New Roman"/>
          <w:szCs w:val="20"/>
        </w:rPr>
        <w:t>◦</w:t>
      </w:r>
      <w:r w:rsidRPr="00E26C8E">
        <w:rPr>
          <w:rFonts w:eastAsia="Times New Roman"/>
          <w:szCs w:val="20"/>
        </w:rPr>
        <w:tab/>
        <w:t>postal address</w:t>
      </w:r>
    </w:p>
    <w:p w:rsidR="00E26C8E" w:rsidRPr="00E26C8E" w:rsidRDefault="00E26C8E" w:rsidP="00E26C8E">
      <w:pPr>
        <w:ind w:left="851" w:hanging="284"/>
        <w:rPr>
          <w:rFonts w:eastAsia="Times New Roman"/>
          <w:szCs w:val="20"/>
        </w:rPr>
      </w:pPr>
      <w:r w:rsidRPr="00E26C8E">
        <w:rPr>
          <w:rFonts w:eastAsia="Times New Roman"/>
          <w:szCs w:val="20"/>
        </w:rPr>
        <w:t>◦</w:t>
      </w:r>
      <w:r w:rsidRPr="00E26C8E">
        <w:rPr>
          <w:rFonts w:eastAsia="Times New Roman"/>
          <w:szCs w:val="20"/>
        </w:rPr>
        <w:tab/>
        <w:t>email</w:t>
      </w:r>
    </w:p>
    <w:p w:rsidR="00E26C8E" w:rsidRPr="00E26C8E" w:rsidRDefault="00E26C8E" w:rsidP="00E26C8E">
      <w:pPr>
        <w:ind w:left="851" w:hanging="284"/>
        <w:rPr>
          <w:rFonts w:eastAsia="Times New Roman"/>
          <w:szCs w:val="20"/>
        </w:rPr>
      </w:pPr>
      <w:r w:rsidRPr="00E26C8E">
        <w:rPr>
          <w:rFonts w:eastAsia="Times New Roman"/>
          <w:szCs w:val="20"/>
        </w:rPr>
        <w:t>◦</w:t>
      </w:r>
      <w:r w:rsidRPr="00E26C8E">
        <w:rPr>
          <w:rFonts w:eastAsia="Times New Roman"/>
          <w:szCs w:val="20"/>
        </w:rPr>
        <w:tab/>
        <w:t>phone number(s)</w:t>
      </w:r>
    </w:p>
    <w:p w:rsidR="00E26C8E" w:rsidRPr="00E26C8E" w:rsidRDefault="00E26C8E" w:rsidP="00E26C8E">
      <w:pPr>
        <w:ind w:left="567" w:hanging="283"/>
        <w:rPr>
          <w:rFonts w:eastAsia="Times New Roman"/>
          <w:szCs w:val="20"/>
        </w:rPr>
      </w:pPr>
      <w:r w:rsidRPr="00E26C8E">
        <w:rPr>
          <w:rFonts w:eastAsia="Times New Roman"/>
          <w:szCs w:val="20"/>
        </w:rPr>
        <w:t>•</w:t>
      </w:r>
      <w:r w:rsidRPr="00E26C8E">
        <w:rPr>
          <w:rFonts w:eastAsia="Times New Roman"/>
          <w:szCs w:val="20"/>
        </w:rPr>
        <w:tab/>
        <w:t>Primary tenement the change applies to</w:t>
      </w:r>
    </w:p>
    <w:p w:rsidR="00E26C8E" w:rsidRPr="00E26C8E" w:rsidRDefault="00E26C8E" w:rsidP="00E26C8E">
      <w:pPr>
        <w:ind w:left="567" w:hanging="283"/>
        <w:rPr>
          <w:rFonts w:eastAsia="Times New Roman"/>
          <w:szCs w:val="20"/>
        </w:rPr>
      </w:pPr>
      <w:r w:rsidRPr="00E26C8E">
        <w:rPr>
          <w:rFonts w:eastAsia="Times New Roman"/>
          <w:szCs w:val="20"/>
        </w:rPr>
        <w:t>•</w:t>
      </w:r>
      <w:r w:rsidRPr="00E26C8E">
        <w:rPr>
          <w:rFonts w:eastAsia="Times New Roman"/>
          <w:szCs w:val="20"/>
        </w:rPr>
        <w:tab/>
        <w:t>Statement of whether the application relates to a change in the following:</w:t>
      </w:r>
    </w:p>
    <w:p w:rsidR="00E26C8E" w:rsidRPr="00E26C8E" w:rsidRDefault="00E26C8E" w:rsidP="00E26C8E">
      <w:pPr>
        <w:ind w:left="851" w:hanging="284"/>
        <w:rPr>
          <w:rFonts w:eastAsia="Times New Roman"/>
          <w:szCs w:val="20"/>
        </w:rPr>
      </w:pPr>
      <w:r w:rsidRPr="00E26C8E">
        <w:rPr>
          <w:rFonts w:eastAsia="Times New Roman"/>
          <w:szCs w:val="20"/>
        </w:rPr>
        <w:t>◦</w:t>
      </w:r>
      <w:r w:rsidRPr="00E26C8E">
        <w:rPr>
          <w:rFonts w:eastAsia="Times New Roman"/>
          <w:szCs w:val="20"/>
        </w:rPr>
        <w:tab/>
        <w:t>Authorised operations; and/or</w:t>
      </w:r>
    </w:p>
    <w:p w:rsidR="00E26C8E" w:rsidRPr="00E26C8E" w:rsidRDefault="00E26C8E" w:rsidP="00E26C8E">
      <w:pPr>
        <w:ind w:left="851" w:hanging="284"/>
        <w:rPr>
          <w:rFonts w:eastAsia="Times New Roman"/>
          <w:szCs w:val="20"/>
        </w:rPr>
      </w:pPr>
      <w:r w:rsidRPr="00E26C8E">
        <w:rPr>
          <w:rFonts w:eastAsia="Times New Roman"/>
          <w:szCs w:val="20"/>
        </w:rPr>
        <w:t>◦</w:t>
      </w:r>
      <w:r w:rsidRPr="00E26C8E">
        <w:rPr>
          <w:rFonts w:eastAsia="Times New Roman"/>
          <w:szCs w:val="20"/>
        </w:rPr>
        <w:tab/>
        <w:t>Mineral intended to be recovered; and/or</w:t>
      </w:r>
    </w:p>
    <w:p w:rsidR="00E26C8E" w:rsidRPr="00E26C8E" w:rsidRDefault="00E26C8E" w:rsidP="00E26C8E">
      <w:pPr>
        <w:ind w:left="851" w:hanging="284"/>
        <w:rPr>
          <w:rFonts w:eastAsia="Times New Roman"/>
          <w:szCs w:val="20"/>
        </w:rPr>
      </w:pPr>
      <w:r w:rsidRPr="00E26C8E">
        <w:rPr>
          <w:rFonts w:eastAsia="Times New Roman"/>
          <w:szCs w:val="20"/>
        </w:rPr>
        <w:t>◦</w:t>
      </w:r>
      <w:r w:rsidRPr="00E26C8E">
        <w:rPr>
          <w:rFonts w:eastAsia="Times New Roman"/>
          <w:szCs w:val="20"/>
        </w:rPr>
        <w:tab/>
        <w:t>Ability of the tenement holder to achieve a particular outcome of change in criteria to be adopted; and/or</w:t>
      </w:r>
    </w:p>
    <w:p w:rsidR="00E26C8E" w:rsidRPr="00E26C8E" w:rsidRDefault="00E26C8E" w:rsidP="00E26C8E">
      <w:pPr>
        <w:ind w:left="851" w:hanging="284"/>
        <w:rPr>
          <w:rFonts w:eastAsia="Times New Roman"/>
          <w:szCs w:val="20"/>
        </w:rPr>
      </w:pPr>
      <w:r w:rsidRPr="00E26C8E">
        <w:rPr>
          <w:rFonts w:eastAsia="Times New Roman"/>
          <w:szCs w:val="20"/>
        </w:rPr>
        <w:t>◦</w:t>
      </w:r>
      <w:r w:rsidRPr="00E26C8E">
        <w:rPr>
          <w:rFonts w:eastAsia="Times New Roman"/>
          <w:szCs w:val="20"/>
        </w:rPr>
        <w:tab/>
        <w:t>Terms and/or conditions of the tenement.</w:t>
      </w:r>
    </w:p>
    <w:p w:rsidR="00E26C8E" w:rsidRPr="00E26C8E" w:rsidRDefault="00E26C8E" w:rsidP="00E26C8E">
      <w:pPr>
        <w:ind w:left="142"/>
        <w:rPr>
          <w:rFonts w:eastAsia="Times New Roman"/>
          <w:szCs w:val="20"/>
        </w:rPr>
      </w:pPr>
      <w:r w:rsidRPr="00E26C8E">
        <w:rPr>
          <w:rFonts w:eastAsia="Times New Roman"/>
          <w:szCs w:val="20"/>
        </w:rPr>
        <w:t>An application for a change in operations must, in accordance with section56(R)(b)(i) of the</w:t>
      </w:r>
      <w:r w:rsidRPr="00E26C8E">
        <w:rPr>
          <w:rFonts w:eastAsia="Times New Roman"/>
          <w:i/>
          <w:szCs w:val="20"/>
        </w:rPr>
        <w:t xml:space="preserve"> Mining Act 1971</w:t>
      </w:r>
      <w:r w:rsidRPr="00E26C8E">
        <w:rPr>
          <w:rFonts w:eastAsia="Times New Roman"/>
          <w:szCs w:val="20"/>
        </w:rPr>
        <w:t>, be in the following form, unless otherwise specified by the Director of Mines or other authorised officer:</w:t>
      </w:r>
    </w:p>
    <w:p w:rsidR="00E26C8E" w:rsidRPr="00E26C8E" w:rsidRDefault="00E26C8E" w:rsidP="00E26C8E">
      <w:pPr>
        <w:ind w:left="567" w:hanging="283"/>
        <w:rPr>
          <w:rFonts w:eastAsia="Times New Roman"/>
          <w:szCs w:val="20"/>
        </w:rPr>
      </w:pPr>
      <w:r w:rsidRPr="00E26C8E">
        <w:rPr>
          <w:rFonts w:eastAsia="Times New Roman"/>
          <w:szCs w:val="20"/>
        </w:rPr>
        <w:t>•</w:t>
      </w:r>
      <w:r w:rsidRPr="00E26C8E">
        <w:rPr>
          <w:rFonts w:eastAsia="Times New Roman"/>
          <w:szCs w:val="20"/>
        </w:rPr>
        <w:tab/>
        <w:t>An electronic version must be submitted in accordance with regulation 88 of the</w:t>
      </w:r>
      <w:r w:rsidRPr="00E26C8E">
        <w:rPr>
          <w:rFonts w:eastAsia="Times New Roman"/>
          <w:i/>
          <w:szCs w:val="20"/>
        </w:rPr>
        <w:t xml:space="preserve"> Mining Regulations 2020</w:t>
      </w:r>
      <w:r w:rsidRPr="00E26C8E">
        <w:rPr>
          <w:rFonts w:eastAsia="Times New Roman"/>
          <w:szCs w:val="20"/>
        </w:rPr>
        <w:t>.</w:t>
      </w:r>
    </w:p>
    <w:p w:rsidR="00E26C8E" w:rsidRPr="00E26C8E" w:rsidRDefault="00E26C8E" w:rsidP="00E26C8E">
      <w:pPr>
        <w:ind w:left="567" w:hanging="283"/>
        <w:rPr>
          <w:rFonts w:eastAsia="Times New Roman"/>
          <w:szCs w:val="20"/>
        </w:rPr>
      </w:pPr>
      <w:r w:rsidRPr="00E26C8E">
        <w:rPr>
          <w:rFonts w:eastAsia="Times New Roman"/>
          <w:szCs w:val="20"/>
        </w:rPr>
        <w:t>•</w:t>
      </w:r>
      <w:r w:rsidRPr="00E26C8E">
        <w:rPr>
          <w:rFonts w:eastAsia="Times New Roman"/>
          <w:szCs w:val="20"/>
        </w:rPr>
        <w:tab/>
        <w:t>Each page, plan or other separate sheet must include the tenement number(s), date of the application submission and sequential page numbering.</w:t>
      </w:r>
    </w:p>
    <w:p w:rsidR="00E26C8E" w:rsidRPr="00E26C8E" w:rsidRDefault="00E26C8E" w:rsidP="00E26C8E">
      <w:pPr>
        <w:ind w:left="567" w:hanging="283"/>
        <w:rPr>
          <w:rFonts w:eastAsia="Times New Roman"/>
          <w:szCs w:val="20"/>
        </w:rPr>
      </w:pPr>
      <w:r w:rsidRPr="00E26C8E">
        <w:rPr>
          <w:rFonts w:eastAsia="Times New Roman"/>
          <w:szCs w:val="20"/>
        </w:rPr>
        <w:t>•</w:t>
      </w:r>
      <w:r w:rsidRPr="00E26C8E">
        <w:rPr>
          <w:rFonts w:eastAsia="Times New Roman"/>
          <w:szCs w:val="20"/>
        </w:rPr>
        <w:tab/>
        <w:t>The electronic version must be submitted in one single Acrobat PDF file or, if requested by the Director of Mines or an authorised officer, as Microsoft Word-compatible files.</w:t>
      </w:r>
    </w:p>
    <w:p w:rsidR="00E26C8E" w:rsidRPr="00E26C8E" w:rsidRDefault="00E26C8E" w:rsidP="00E26C8E">
      <w:pPr>
        <w:rPr>
          <w:rFonts w:eastAsia="Times New Roman"/>
          <w:b/>
          <w:szCs w:val="20"/>
        </w:rPr>
      </w:pPr>
      <w:r w:rsidRPr="00E26C8E">
        <w:rPr>
          <w:rFonts w:eastAsia="Times New Roman"/>
          <w:b/>
          <w:szCs w:val="20"/>
        </w:rPr>
        <w:t>PROPOSAL</w:t>
      </w:r>
    </w:p>
    <w:p w:rsidR="00E26C8E" w:rsidRPr="00E26C8E" w:rsidRDefault="00E26C8E" w:rsidP="00E26C8E">
      <w:pPr>
        <w:ind w:left="142"/>
        <w:rPr>
          <w:rFonts w:eastAsia="Times New Roman"/>
          <w:szCs w:val="20"/>
        </w:rPr>
      </w:pPr>
      <w:r w:rsidRPr="00E26C8E">
        <w:rPr>
          <w:rFonts w:eastAsia="Times New Roman"/>
          <w:szCs w:val="20"/>
        </w:rPr>
        <w:t>A proposal for a change in operations must comply with sections 56(R)(b)(i) of the</w:t>
      </w:r>
      <w:r w:rsidRPr="00E26C8E">
        <w:rPr>
          <w:rFonts w:eastAsia="Times New Roman"/>
          <w:i/>
          <w:szCs w:val="20"/>
        </w:rPr>
        <w:t xml:space="preserve"> Mining Act 1971</w:t>
      </w:r>
      <w:r w:rsidRPr="00E26C8E">
        <w:rPr>
          <w:rFonts w:eastAsia="Times New Roman"/>
          <w:szCs w:val="20"/>
        </w:rPr>
        <w:t xml:space="preserve"> and regulations 55 and 56 of the</w:t>
      </w:r>
      <w:r w:rsidRPr="00E26C8E">
        <w:rPr>
          <w:rFonts w:eastAsia="Times New Roman"/>
          <w:i/>
          <w:szCs w:val="20"/>
        </w:rPr>
        <w:t xml:space="preserve"> Mining Regulations 2020</w:t>
      </w:r>
      <w:r w:rsidRPr="00E26C8E">
        <w:rPr>
          <w:rFonts w:eastAsia="Times New Roman"/>
          <w:szCs w:val="20"/>
        </w:rPr>
        <w:t>, and must comply with the following determinations of this Terms of Reference as set out below:</w:t>
      </w:r>
    </w:p>
    <w:p w:rsidR="00E26C8E" w:rsidRPr="00E26C8E" w:rsidRDefault="00E26C8E" w:rsidP="00E26C8E">
      <w:pPr>
        <w:ind w:left="426" w:hanging="284"/>
        <w:rPr>
          <w:rFonts w:eastAsia="Times New Roman"/>
          <w:b/>
          <w:szCs w:val="20"/>
        </w:rPr>
      </w:pPr>
      <w:r w:rsidRPr="00E26C8E">
        <w:rPr>
          <w:rFonts w:eastAsia="Times New Roman"/>
          <w:b/>
          <w:szCs w:val="20"/>
        </w:rPr>
        <w:t>1.</w:t>
      </w:r>
      <w:r w:rsidRPr="00E26C8E">
        <w:rPr>
          <w:rFonts w:eastAsia="Times New Roman"/>
          <w:b/>
          <w:szCs w:val="20"/>
        </w:rPr>
        <w:tab/>
        <w:t>PURPOSE AND REASON FOR THE CHANGE</w:t>
      </w:r>
    </w:p>
    <w:p w:rsidR="00E26C8E" w:rsidRPr="00E26C8E" w:rsidRDefault="00E26C8E" w:rsidP="00E26C8E">
      <w:pPr>
        <w:ind w:left="426"/>
        <w:rPr>
          <w:rFonts w:eastAsia="Times New Roman"/>
          <w:szCs w:val="20"/>
        </w:rPr>
      </w:pPr>
      <w:r w:rsidRPr="00E26C8E">
        <w:rPr>
          <w:rFonts w:eastAsia="Times New Roman"/>
          <w:szCs w:val="20"/>
        </w:rPr>
        <w:t>Provide a statement specifying whether the proposed change is:</w:t>
      </w:r>
    </w:p>
    <w:p w:rsidR="00E26C8E" w:rsidRPr="00E26C8E" w:rsidRDefault="00E26C8E" w:rsidP="00E26C8E">
      <w:pPr>
        <w:ind w:left="851" w:hanging="425"/>
        <w:rPr>
          <w:rFonts w:eastAsia="Times New Roman"/>
          <w:szCs w:val="20"/>
        </w:rPr>
      </w:pPr>
      <w:r w:rsidRPr="00E26C8E">
        <w:rPr>
          <w:rFonts w:eastAsia="Times New Roman"/>
          <w:szCs w:val="20"/>
        </w:rPr>
        <w:t>1.1</w:t>
      </w:r>
      <w:r w:rsidRPr="00E26C8E">
        <w:rPr>
          <w:rFonts w:eastAsia="Times New Roman"/>
          <w:szCs w:val="20"/>
        </w:rPr>
        <w:tab/>
        <w:t>a change to the authorised operations to be carried out under the tenement, and/or;</w:t>
      </w:r>
    </w:p>
    <w:p w:rsidR="00E26C8E" w:rsidRPr="00E26C8E" w:rsidRDefault="00E26C8E" w:rsidP="00E26C8E">
      <w:pPr>
        <w:ind w:left="851" w:hanging="425"/>
        <w:rPr>
          <w:rFonts w:eastAsia="Times New Roman"/>
          <w:szCs w:val="20"/>
        </w:rPr>
      </w:pPr>
      <w:r w:rsidRPr="00E26C8E">
        <w:rPr>
          <w:rFonts w:eastAsia="Times New Roman"/>
          <w:szCs w:val="20"/>
        </w:rPr>
        <w:t>1.2</w:t>
      </w:r>
      <w:r w:rsidRPr="00E26C8E">
        <w:rPr>
          <w:rFonts w:eastAsia="Times New Roman"/>
          <w:szCs w:val="20"/>
        </w:rPr>
        <w:tab/>
        <w:t>a change in the mineral that is intended to be recovered; and/or</w:t>
      </w:r>
    </w:p>
    <w:p w:rsidR="00E26C8E" w:rsidRPr="00E26C8E" w:rsidRDefault="00E26C8E" w:rsidP="00E26C8E">
      <w:pPr>
        <w:ind w:left="851" w:hanging="425"/>
        <w:rPr>
          <w:rFonts w:eastAsia="Times New Roman"/>
          <w:szCs w:val="20"/>
        </w:rPr>
      </w:pPr>
      <w:r w:rsidRPr="00E26C8E">
        <w:rPr>
          <w:rFonts w:eastAsia="Times New Roman"/>
          <w:szCs w:val="20"/>
        </w:rPr>
        <w:t>1.3</w:t>
      </w:r>
      <w:r w:rsidRPr="00E26C8E">
        <w:rPr>
          <w:rFonts w:eastAsia="Times New Roman"/>
          <w:szCs w:val="20"/>
        </w:rPr>
        <w:tab/>
        <w:t>a change that may reduce the ability of the tenement holder to achieve a particular outcome, including an environmental outcome, and/or;</w:t>
      </w:r>
    </w:p>
    <w:p w:rsidR="00E26C8E" w:rsidRPr="00E26C8E" w:rsidRDefault="00E26C8E" w:rsidP="00E26C8E">
      <w:pPr>
        <w:ind w:left="851" w:hanging="425"/>
        <w:rPr>
          <w:rFonts w:eastAsia="Times New Roman"/>
          <w:szCs w:val="20"/>
        </w:rPr>
      </w:pPr>
      <w:r w:rsidRPr="00E26C8E">
        <w:rPr>
          <w:rFonts w:eastAsia="Times New Roman"/>
          <w:szCs w:val="20"/>
        </w:rPr>
        <w:t>1.4</w:t>
      </w:r>
      <w:r w:rsidRPr="00E26C8E">
        <w:rPr>
          <w:rFonts w:eastAsia="Times New Roman"/>
          <w:szCs w:val="20"/>
        </w:rPr>
        <w:tab/>
        <w:t>a change to the criteria to be adopted to measure a particular outcome; and/or</w:t>
      </w:r>
    </w:p>
    <w:p w:rsidR="00E26C8E" w:rsidRPr="00E26C8E" w:rsidRDefault="00E26C8E" w:rsidP="00E26C8E">
      <w:pPr>
        <w:ind w:left="851" w:hanging="425"/>
        <w:rPr>
          <w:rFonts w:eastAsia="Times New Roman"/>
          <w:szCs w:val="20"/>
        </w:rPr>
      </w:pPr>
      <w:r w:rsidRPr="00E26C8E">
        <w:rPr>
          <w:rFonts w:eastAsia="Times New Roman"/>
          <w:szCs w:val="20"/>
        </w:rPr>
        <w:t>1.5</w:t>
      </w:r>
      <w:r w:rsidRPr="00E26C8E">
        <w:rPr>
          <w:rFonts w:eastAsia="Times New Roman"/>
          <w:szCs w:val="20"/>
        </w:rPr>
        <w:tab/>
        <w:t>a change to the terms or conditions of the tenement.</w:t>
      </w:r>
    </w:p>
    <w:p w:rsidR="00E26C8E" w:rsidRPr="00E26C8E" w:rsidRDefault="00E26C8E" w:rsidP="00E26C8E">
      <w:pPr>
        <w:ind w:left="426"/>
        <w:rPr>
          <w:rFonts w:eastAsia="Times New Roman"/>
          <w:szCs w:val="20"/>
        </w:rPr>
      </w:pPr>
      <w:r w:rsidRPr="00E26C8E">
        <w:rPr>
          <w:rFonts w:eastAsia="Times New Roman"/>
          <w:szCs w:val="20"/>
        </w:rPr>
        <w:t>Describe the reasons why the proposed changes in operations are required.</w:t>
      </w:r>
    </w:p>
    <w:p w:rsidR="00E26C8E" w:rsidRPr="00E26C8E" w:rsidRDefault="00E26C8E" w:rsidP="00E26C8E">
      <w:pPr>
        <w:ind w:left="426"/>
        <w:rPr>
          <w:rFonts w:eastAsia="Times New Roman"/>
          <w:szCs w:val="20"/>
        </w:rPr>
      </w:pPr>
      <w:r w:rsidRPr="00E26C8E">
        <w:rPr>
          <w:rFonts w:eastAsia="Times New Roman"/>
          <w:szCs w:val="20"/>
        </w:rPr>
        <w:t>If the purpose relates to clause 1.2, 1.3, 1.4 or 1.5 above, provide a detailed description of the proposed change.</w:t>
      </w:r>
    </w:p>
    <w:p w:rsidR="00E26C8E" w:rsidRPr="00E26C8E" w:rsidRDefault="00E26C8E" w:rsidP="00E26C8E">
      <w:pPr>
        <w:ind w:left="426" w:hanging="284"/>
        <w:rPr>
          <w:rFonts w:eastAsia="Times New Roman"/>
          <w:b/>
          <w:szCs w:val="20"/>
        </w:rPr>
      </w:pPr>
      <w:r w:rsidRPr="00E26C8E">
        <w:rPr>
          <w:rFonts w:eastAsia="Times New Roman"/>
          <w:b/>
          <w:szCs w:val="20"/>
        </w:rPr>
        <w:t>2.</w:t>
      </w:r>
      <w:r w:rsidRPr="00E26C8E">
        <w:rPr>
          <w:rFonts w:eastAsia="Times New Roman"/>
          <w:b/>
          <w:szCs w:val="20"/>
        </w:rPr>
        <w:tab/>
        <w:t>CHANGE TO AUTHORISED OPERATIONS</w:t>
      </w:r>
    </w:p>
    <w:p w:rsidR="00E26C8E" w:rsidRPr="00E26C8E" w:rsidRDefault="00E26C8E" w:rsidP="00E26C8E">
      <w:pPr>
        <w:ind w:left="426"/>
        <w:rPr>
          <w:rFonts w:eastAsia="Times New Roman"/>
          <w:szCs w:val="20"/>
        </w:rPr>
      </w:pPr>
      <w:r w:rsidRPr="00E26C8E">
        <w:rPr>
          <w:rFonts w:eastAsia="Times New Roman"/>
          <w:szCs w:val="20"/>
        </w:rPr>
        <w:t>If the purpose requires a change to the authorised operations to be carried out under the tenement (as per clause 1.1 above), then provide the information set out in section 2.1 to 2.2 below.</w:t>
      </w:r>
    </w:p>
    <w:p w:rsidR="00E26C8E" w:rsidRPr="00E26C8E" w:rsidRDefault="00E26C8E" w:rsidP="00E26C8E">
      <w:pPr>
        <w:ind w:left="851" w:hanging="425"/>
        <w:rPr>
          <w:rFonts w:eastAsia="Times New Roman"/>
          <w:b/>
          <w:szCs w:val="20"/>
        </w:rPr>
      </w:pPr>
      <w:r w:rsidRPr="00E26C8E">
        <w:rPr>
          <w:rFonts w:eastAsia="Times New Roman"/>
          <w:b/>
          <w:szCs w:val="20"/>
        </w:rPr>
        <w:t>2.1</w:t>
      </w:r>
      <w:r w:rsidRPr="00E26C8E">
        <w:rPr>
          <w:rFonts w:eastAsia="Times New Roman"/>
          <w:b/>
          <w:szCs w:val="20"/>
        </w:rPr>
        <w:tab/>
        <w:t>Description of Change to Authorised Operations</w:t>
      </w:r>
    </w:p>
    <w:p w:rsidR="00E26C8E" w:rsidRPr="00E26C8E" w:rsidRDefault="00E26C8E" w:rsidP="00E26C8E">
      <w:pPr>
        <w:ind w:left="851"/>
        <w:rPr>
          <w:rFonts w:eastAsia="Times New Roman"/>
          <w:szCs w:val="20"/>
        </w:rPr>
      </w:pPr>
      <w:r w:rsidRPr="00E26C8E">
        <w:rPr>
          <w:rFonts w:eastAsia="Times New Roman"/>
          <w:szCs w:val="20"/>
        </w:rPr>
        <w:t>In setting out any change in relation to the environmental impacts of the proposed authorised operations in accordance with regulation 55(1)(b)(i) of the</w:t>
      </w:r>
      <w:r w:rsidRPr="00E26C8E">
        <w:rPr>
          <w:rFonts w:eastAsia="Times New Roman"/>
          <w:i/>
          <w:szCs w:val="20"/>
        </w:rPr>
        <w:t xml:space="preserve"> Mining Regulations 2020</w:t>
      </w:r>
      <w:r w:rsidRPr="00E26C8E">
        <w:rPr>
          <w:rFonts w:eastAsia="Times New Roman"/>
          <w:szCs w:val="20"/>
        </w:rPr>
        <w:t>, the Minister determines in accordance with regulation 55(4)(e) of the</w:t>
      </w:r>
      <w:r w:rsidRPr="00E26C8E">
        <w:rPr>
          <w:rFonts w:eastAsia="Times New Roman"/>
          <w:i/>
          <w:szCs w:val="20"/>
        </w:rPr>
        <w:t xml:space="preserve"> Mining Regulations 2020</w:t>
      </w:r>
      <w:r w:rsidRPr="00E26C8E">
        <w:rPr>
          <w:rFonts w:eastAsia="Times New Roman"/>
          <w:szCs w:val="20"/>
        </w:rPr>
        <w:t xml:space="preserve"> that a proposal must include the following:</w:t>
      </w:r>
    </w:p>
    <w:p w:rsidR="00E26C8E" w:rsidRPr="00E26C8E" w:rsidRDefault="00E26C8E" w:rsidP="00E26C8E">
      <w:pPr>
        <w:ind w:left="1418" w:hanging="567"/>
        <w:rPr>
          <w:rFonts w:eastAsia="Times New Roman"/>
          <w:i/>
          <w:szCs w:val="20"/>
        </w:rPr>
      </w:pPr>
      <w:r w:rsidRPr="00E26C8E">
        <w:rPr>
          <w:rFonts w:eastAsia="Times New Roman"/>
          <w:i/>
          <w:szCs w:val="20"/>
        </w:rPr>
        <w:t>2.1.1</w:t>
      </w:r>
      <w:r w:rsidRPr="00E26C8E">
        <w:rPr>
          <w:rFonts w:eastAsia="Times New Roman"/>
          <w:i/>
          <w:szCs w:val="20"/>
        </w:rPr>
        <w:tab/>
        <w:t>Describe all elements of the proposed change in operations.</w:t>
      </w:r>
    </w:p>
    <w:p w:rsidR="00E26C8E" w:rsidRPr="00E26C8E" w:rsidRDefault="00E26C8E" w:rsidP="00E26C8E">
      <w:pPr>
        <w:ind w:left="1418"/>
        <w:rPr>
          <w:rFonts w:eastAsia="Times New Roman"/>
          <w:szCs w:val="20"/>
        </w:rPr>
      </w:pPr>
      <w:r w:rsidRPr="00E26C8E">
        <w:rPr>
          <w:rFonts w:eastAsia="Times New Roman"/>
          <w:szCs w:val="20"/>
        </w:rPr>
        <w:t>A proposal must include a description of the proposed change in operations and address each of the elements listed in the following Terms of Reference to the extent that they apply to the proposed change in authorised operations:</w:t>
      </w:r>
    </w:p>
    <w:p w:rsidR="00E26C8E" w:rsidRPr="00E26C8E" w:rsidRDefault="00E26C8E" w:rsidP="00E26C8E">
      <w:pPr>
        <w:ind w:left="1701" w:hanging="284"/>
        <w:rPr>
          <w:rFonts w:eastAsia="Times New Roman"/>
          <w:szCs w:val="20"/>
        </w:rPr>
      </w:pPr>
      <w:r w:rsidRPr="00E26C8E">
        <w:rPr>
          <w:rFonts w:eastAsia="Times New Roman"/>
          <w:szCs w:val="20"/>
        </w:rPr>
        <w:t>•</w:t>
      </w:r>
      <w:r w:rsidRPr="00E26C8E">
        <w:rPr>
          <w:rFonts w:eastAsia="Times New Roman"/>
          <w:szCs w:val="20"/>
        </w:rPr>
        <w:tab/>
        <w:t>For metallic and industrials minerals: Terms of Reference TOR 005 Clause 2—Description of Operations.</w:t>
      </w:r>
    </w:p>
    <w:p w:rsidR="00E26C8E" w:rsidRPr="00E26C8E" w:rsidRDefault="00E26C8E" w:rsidP="00E26C8E">
      <w:pPr>
        <w:ind w:left="1701" w:hanging="284"/>
        <w:rPr>
          <w:rFonts w:eastAsia="Times New Roman"/>
          <w:szCs w:val="20"/>
        </w:rPr>
      </w:pPr>
      <w:r w:rsidRPr="00E26C8E">
        <w:rPr>
          <w:rFonts w:eastAsia="Times New Roman"/>
          <w:szCs w:val="20"/>
        </w:rPr>
        <w:t>•</w:t>
      </w:r>
      <w:r w:rsidRPr="00E26C8E">
        <w:rPr>
          <w:rFonts w:eastAsia="Times New Roman"/>
          <w:szCs w:val="20"/>
        </w:rPr>
        <w:tab/>
        <w:t>For extractive minerals: Terms of Reference TOR 002 Clause 2—Description of Operations.</w:t>
      </w:r>
    </w:p>
    <w:p w:rsidR="00E26C8E" w:rsidRPr="00E26C8E" w:rsidRDefault="00E26C8E" w:rsidP="00E26C8E">
      <w:pPr>
        <w:ind w:left="1701" w:hanging="284"/>
        <w:rPr>
          <w:rFonts w:eastAsia="Times New Roman"/>
          <w:szCs w:val="20"/>
        </w:rPr>
      </w:pPr>
      <w:r w:rsidRPr="00E26C8E">
        <w:rPr>
          <w:rFonts w:eastAsia="Times New Roman"/>
          <w:szCs w:val="20"/>
        </w:rPr>
        <w:t>•</w:t>
      </w:r>
      <w:r w:rsidRPr="00E26C8E">
        <w:rPr>
          <w:rFonts w:eastAsia="Times New Roman"/>
          <w:szCs w:val="20"/>
        </w:rPr>
        <w:tab/>
        <w:t>For uranium in situ recovery operations: Terms of Reference TOR 010 Clause 2—Description of Operations.</w:t>
      </w:r>
    </w:p>
    <w:p w:rsidR="00E26C8E" w:rsidRPr="00E26C8E" w:rsidRDefault="00E26C8E" w:rsidP="00E26C8E">
      <w:pPr>
        <w:ind w:left="1701"/>
        <w:rPr>
          <w:rFonts w:eastAsia="Times New Roman"/>
          <w:szCs w:val="20"/>
        </w:rPr>
      </w:pPr>
      <w:r w:rsidRPr="00E26C8E">
        <w:rPr>
          <w:rFonts w:eastAsia="Times New Roman"/>
          <w:szCs w:val="20"/>
        </w:rPr>
        <w:t>For retention leases:</w:t>
      </w:r>
    </w:p>
    <w:p w:rsidR="00E26C8E" w:rsidRPr="00E26C8E" w:rsidRDefault="00E26C8E" w:rsidP="00E26C8E">
      <w:pPr>
        <w:ind w:left="1701" w:hanging="284"/>
        <w:rPr>
          <w:rFonts w:eastAsia="Times New Roman"/>
          <w:szCs w:val="20"/>
        </w:rPr>
      </w:pPr>
      <w:r w:rsidRPr="00E26C8E">
        <w:rPr>
          <w:rFonts w:eastAsia="Times New Roman"/>
          <w:szCs w:val="20"/>
        </w:rPr>
        <w:t>•</w:t>
      </w:r>
      <w:r w:rsidRPr="00E26C8E">
        <w:rPr>
          <w:rFonts w:eastAsia="Times New Roman"/>
          <w:szCs w:val="20"/>
        </w:rPr>
        <w:tab/>
        <w:t>Describe the change to authorised operations.</w:t>
      </w:r>
    </w:p>
    <w:p w:rsidR="00E26C8E" w:rsidRPr="00E26C8E" w:rsidRDefault="00E26C8E" w:rsidP="00E26C8E">
      <w:pPr>
        <w:ind w:left="1701" w:hanging="284"/>
        <w:rPr>
          <w:rFonts w:eastAsia="Times New Roman"/>
          <w:szCs w:val="20"/>
        </w:rPr>
      </w:pPr>
      <w:r w:rsidRPr="00E26C8E">
        <w:rPr>
          <w:rFonts w:eastAsia="Times New Roman"/>
          <w:szCs w:val="20"/>
        </w:rPr>
        <w:t>•</w:t>
      </w:r>
      <w:r w:rsidRPr="00E26C8E">
        <w:rPr>
          <w:rFonts w:eastAsia="Times New Roman"/>
          <w:szCs w:val="20"/>
        </w:rPr>
        <w:tab/>
        <w:t>Provide a statement demonstrating that the operations and/or steps proposed are sufficient investigations to ensure the tenement holder can be in a position to make an application for a mining lease.</w:t>
      </w:r>
    </w:p>
    <w:p w:rsidR="00E26C8E" w:rsidRPr="00E26C8E" w:rsidRDefault="00E26C8E" w:rsidP="00E26C8E">
      <w:pPr>
        <w:ind w:left="1701" w:hanging="284"/>
        <w:rPr>
          <w:rFonts w:eastAsia="Times New Roman"/>
          <w:szCs w:val="20"/>
        </w:rPr>
      </w:pPr>
      <w:r w:rsidRPr="00E26C8E">
        <w:rPr>
          <w:rFonts w:eastAsia="Times New Roman"/>
          <w:szCs w:val="20"/>
        </w:rPr>
        <w:t>•</w:t>
      </w:r>
      <w:r w:rsidRPr="00E26C8E">
        <w:rPr>
          <w:rFonts w:eastAsia="Times New Roman"/>
          <w:szCs w:val="20"/>
        </w:rPr>
        <w:tab/>
        <w:t>Provide a schedule for undertaking the above described operations and/or steps up to a maximum term of five years.</w:t>
      </w:r>
    </w:p>
    <w:p w:rsidR="00E26C8E" w:rsidRPr="00E26C8E" w:rsidRDefault="00E26C8E" w:rsidP="00E26C8E">
      <w:pPr>
        <w:ind w:left="1418" w:hanging="567"/>
        <w:rPr>
          <w:rFonts w:eastAsia="Times New Roman"/>
          <w:i/>
          <w:szCs w:val="20"/>
        </w:rPr>
      </w:pPr>
      <w:r w:rsidRPr="00E26C8E">
        <w:rPr>
          <w:rFonts w:eastAsia="Times New Roman"/>
          <w:i/>
          <w:szCs w:val="20"/>
        </w:rPr>
        <w:t>2.1.2</w:t>
      </w:r>
      <w:r w:rsidRPr="00E26C8E">
        <w:rPr>
          <w:rFonts w:eastAsia="Times New Roman"/>
          <w:i/>
          <w:szCs w:val="20"/>
        </w:rPr>
        <w:tab/>
        <w:t>Maps, plans and cross-sections</w:t>
      </w:r>
    </w:p>
    <w:p w:rsidR="00E26C8E" w:rsidRPr="00E26C8E" w:rsidRDefault="00E26C8E" w:rsidP="00E26C8E">
      <w:pPr>
        <w:ind w:left="1276"/>
        <w:rPr>
          <w:rFonts w:eastAsia="Times New Roman"/>
          <w:szCs w:val="20"/>
        </w:rPr>
      </w:pPr>
      <w:r w:rsidRPr="00E26C8E">
        <w:rPr>
          <w:rFonts w:eastAsia="Times New Roman"/>
          <w:szCs w:val="20"/>
        </w:rPr>
        <w:t>Provide maps, plans and cross-sections relevant to the change in operations. The maps, plans and cross-sections must include the elements described in the following Terms of Reference, which are applicable to the proposed change in authorised operations:</w:t>
      </w:r>
    </w:p>
    <w:p w:rsidR="00E26C8E" w:rsidRPr="00E26C8E" w:rsidRDefault="00E26C8E" w:rsidP="00E26C8E">
      <w:pPr>
        <w:ind w:left="1560" w:hanging="284"/>
        <w:rPr>
          <w:rFonts w:eastAsia="Times New Roman"/>
          <w:szCs w:val="20"/>
        </w:rPr>
      </w:pPr>
      <w:r w:rsidRPr="00E26C8E">
        <w:rPr>
          <w:rFonts w:eastAsia="Times New Roman"/>
          <w:szCs w:val="20"/>
        </w:rPr>
        <w:t>•</w:t>
      </w:r>
      <w:r w:rsidRPr="00E26C8E">
        <w:rPr>
          <w:rFonts w:eastAsia="Times New Roman"/>
          <w:szCs w:val="20"/>
        </w:rPr>
        <w:tab/>
        <w:t>For metallic and industrials minerals: Terms of Reference TOR 005 Clause 5—Maps, Plans and Cross-sections.</w:t>
      </w:r>
    </w:p>
    <w:p w:rsidR="00E26C8E" w:rsidRPr="00E26C8E" w:rsidRDefault="00E26C8E" w:rsidP="00E26C8E">
      <w:pPr>
        <w:ind w:left="1560" w:hanging="284"/>
        <w:rPr>
          <w:rFonts w:eastAsia="Times New Roman"/>
          <w:szCs w:val="20"/>
        </w:rPr>
      </w:pPr>
      <w:r w:rsidRPr="00E26C8E">
        <w:rPr>
          <w:rFonts w:eastAsia="Times New Roman"/>
          <w:szCs w:val="20"/>
        </w:rPr>
        <w:t>•</w:t>
      </w:r>
      <w:r w:rsidRPr="00E26C8E">
        <w:rPr>
          <w:rFonts w:eastAsia="Times New Roman"/>
          <w:szCs w:val="20"/>
        </w:rPr>
        <w:tab/>
        <w:t>For extractive minerals: Terms of Reference TOR 002 Clause 5—Maps and Cross-sections.</w:t>
      </w:r>
    </w:p>
    <w:p w:rsidR="00E26C8E" w:rsidRPr="00E26C8E" w:rsidRDefault="00E26C8E" w:rsidP="00E26C8E">
      <w:pPr>
        <w:ind w:left="1560" w:hanging="284"/>
        <w:rPr>
          <w:rFonts w:eastAsia="Times New Roman"/>
          <w:szCs w:val="20"/>
        </w:rPr>
      </w:pPr>
      <w:r w:rsidRPr="00E26C8E">
        <w:rPr>
          <w:rFonts w:eastAsia="Times New Roman"/>
          <w:szCs w:val="20"/>
        </w:rPr>
        <w:t>•</w:t>
      </w:r>
      <w:r w:rsidRPr="00E26C8E">
        <w:rPr>
          <w:rFonts w:eastAsia="Times New Roman"/>
          <w:szCs w:val="20"/>
        </w:rPr>
        <w:tab/>
        <w:t>For uranium in situ recovery operations: Terms of Reference TOR 010 Clause 5—Maps and Cross-sections.</w:t>
      </w:r>
    </w:p>
    <w:p w:rsidR="00E26C8E" w:rsidRPr="00E26C8E" w:rsidRDefault="00E26C8E" w:rsidP="00E26C8E">
      <w:pPr>
        <w:spacing w:after="0" w:line="240" w:lineRule="auto"/>
        <w:jc w:val="left"/>
        <w:rPr>
          <w:rFonts w:eastAsia="Times New Roman"/>
          <w:szCs w:val="20"/>
        </w:rPr>
      </w:pPr>
      <w:r w:rsidRPr="00E26C8E">
        <w:rPr>
          <w:rFonts w:eastAsia="Times New Roman"/>
          <w:szCs w:val="20"/>
        </w:rPr>
        <w:br w:type="page"/>
      </w:r>
    </w:p>
    <w:p w:rsidR="00E26C8E" w:rsidRPr="00E26C8E" w:rsidRDefault="00E26C8E" w:rsidP="00E26C8E">
      <w:pPr>
        <w:ind w:left="1276"/>
        <w:rPr>
          <w:rFonts w:eastAsia="Times New Roman"/>
          <w:szCs w:val="20"/>
        </w:rPr>
      </w:pPr>
      <w:r w:rsidRPr="00E26C8E">
        <w:rPr>
          <w:rFonts w:eastAsia="Times New Roman"/>
          <w:szCs w:val="20"/>
        </w:rPr>
        <w:t>For retention leases, provide appropriate maps, plans and cross-sections relevant to supporting the change to authorised operations.</w:t>
      </w:r>
    </w:p>
    <w:p w:rsidR="00E26C8E" w:rsidRPr="00E26C8E" w:rsidRDefault="00E26C8E" w:rsidP="00E26C8E">
      <w:pPr>
        <w:ind w:left="1418" w:hanging="567"/>
        <w:rPr>
          <w:rFonts w:eastAsia="Times New Roman"/>
          <w:i/>
          <w:szCs w:val="20"/>
        </w:rPr>
      </w:pPr>
      <w:r w:rsidRPr="00E26C8E">
        <w:rPr>
          <w:rFonts w:eastAsia="Times New Roman"/>
          <w:i/>
          <w:szCs w:val="20"/>
        </w:rPr>
        <w:t>2.1.3</w:t>
      </w:r>
      <w:r w:rsidRPr="00E26C8E">
        <w:rPr>
          <w:rFonts w:eastAsia="Times New Roman"/>
          <w:i/>
          <w:szCs w:val="20"/>
        </w:rPr>
        <w:tab/>
        <w:t>Scope of proposed change to authorised operations</w:t>
      </w:r>
    </w:p>
    <w:p w:rsidR="00E26C8E" w:rsidRPr="00E26C8E" w:rsidRDefault="00E26C8E" w:rsidP="00E26C8E">
      <w:pPr>
        <w:ind w:left="1276"/>
        <w:rPr>
          <w:rFonts w:eastAsia="Times New Roman"/>
          <w:szCs w:val="20"/>
        </w:rPr>
      </w:pPr>
      <w:r w:rsidRPr="00E26C8E">
        <w:rPr>
          <w:rFonts w:eastAsia="Times New Roman"/>
          <w:szCs w:val="20"/>
        </w:rPr>
        <w:t>Provide an analysis of the key differences between the existing authorised operations and the proposed changed authorised operations, and provide an assessment of the significance of the differences and/or changes.</w:t>
      </w:r>
    </w:p>
    <w:p w:rsidR="00E26C8E" w:rsidRPr="00E26C8E" w:rsidRDefault="00E26C8E" w:rsidP="00E26C8E">
      <w:pPr>
        <w:ind w:left="1418" w:hanging="567"/>
        <w:rPr>
          <w:rFonts w:eastAsia="Times New Roman"/>
          <w:i/>
          <w:szCs w:val="20"/>
        </w:rPr>
      </w:pPr>
      <w:r w:rsidRPr="00E26C8E">
        <w:rPr>
          <w:rFonts w:eastAsia="Times New Roman"/>
          <w:i/>
          <w:szCs w:val="20"/>
        </w:rPr>
        <w:t>2.1.4</w:t>
      </w:r>
      <w:r w:rsidRPr="00E26C8E">
        <w:rPr>
          <w:rFonts w:eastAsia="Times New Roman"/>
          <w:i/>
          <w:szCs w:val="20"/>
        </w:rPr>
        <w:tab/>
        <w:t>Assessment of alternatives</w:t>
      </w:r>
    </w:p>
    <w:p w:rsidR="00E26C8E" w:rsidRPr="00E26C8E" w:rsidRDefault="00E26C8E" w:rsidP="00E26C8E">
      <w:pPr>
        <w:ind w:left="1276"/>
        <w:rPr>
          <w:rFonts w:eastAsia="Times New Roman"/>
          <w:szCs w:val="20"/>
        </w:rPr>
      </w:pPr>
      <w:r w:rsidRPr="00E26C8E">
        <w:rPr>
          <w:rFonts w:eastAsia="Times New Roman"/>
          <w:szCs w:val="20"/>
        </w:rPr>
        <w:t>Describe the alternative approaches and options that were considered when determining the proposed change to authorised operations.</w:t>
      </w:r>
    </w:p>
    <w:p w:rsidR="00E26C8E" w:rsidRPr="00E26C8E" w:rsidRDefault="00E26C8E" w:rsidP="00E26C8E">
      <w:pPr>
        <w:ind w:left="1276"/>
        <w:rPr>
          <w:rFonts w:eastAsia="Times New Roman"/>
          <w:szCs w:val="20"/>
        </w:rPr>
      </w:pPr>
      <w:r w:rsidRPr="00E26C8E">
        <w:rPr>
          <w:rFonts w:eastAsia="Times New Roman"/>
          <w:szCs w:val="20"/>
        </w:rPr>
        <w:t>Describe the consequence of not undertaking the proposed change to authorised operations.</w:t>
      </w:r>
    </w:p>
    <w:p w:rsidR="00E26C8E" w:rsidRPr="00E26C8E" w:rsidRDefault="00E26C8E" w:rsidP="00E26C8E">
      <w:pPr>
        <w:ind w:left="851" w:hanging="425"/>
        <w:rPr>
          <w:rFonts w:eastAsia="Times New Roman"/>
          <w:b/>
          <w:szCs w:val="20"/>
        </w:rPr>
      </w:pPr>
      <w:r w:rsidRPr="00E26C8E">
        <w:rPr>
          <w:rFonts w:eastAsia="Times New Roman"/>
          <w:b/>
          <w:szCs w:val="20"/>
        </w:rPr>
        <w:t>2.2</w:t>
      </w:r>
      <w:r w:rsidRPr="00E26C8E">
        <w:rPr>
          <w:rFonts w:eastAsia="Times New Roman"/>
          <w:b/>
          <w:szCs w:val="20"/>
        </w:rPr>
        <w:tab/>
        <w:t>Assessment of Changes to Environmental Impacts</w:t>
      </w:r>
    </w:p>
    <w:p w:rsidR="00E26C8E" w:rsidRPr="00E26C8E" w:rsidRDefault="00E26C8E" w:rsidP="00E26C8E">
      <w:pPr>
        <w:ind w:left="851"/>
        <w:rPr>
          <w:rFonts w:eastAsia="Times New Roman"/>
          <w:szCs w:val="20"/>
        </w:rPr>
      </w:pPr>
      <w:r w:rsidRPr="00E26C8E">
        <w:rPr>
          <w:rFonts w:eastAsia="Times New Roman"/>
          <w:szCs w:val="20"/>
        </w:rPr>
        <w:t>In setting out any change in relation to the environmental impacts, measures, environmental outcomes and criteria of the proposed authorised operations in accordance with regulation 55(1)(b) of the</w:t>
      </w:r>
      <w:r w:rsidRPr="00E26C8E">
        <w:rPr>
          <w:rFonts w:eastAsia="Times New Roman"/>
          <w:i/>
          <w:szCs w:val="20"/>
        </w:rPr>
        <w:t xml:space="preserve"> Mining Regulations 2020</w:t>
      </w:r>
      <w:r w:rsidRPr="00E26C8E">
        <w:rPr>
          <w:rFonts w:eastAsia="Times New Roman"/>
          <w:szCs w:val="20"/>
        </w:rPr>
        <w:t>, the Minister determines in accordance with regulation 55(4)(e) of the</w:t>
      </w:r>
      <w:r w:rsidRPr="00E26C8E">
        <w:rPr>
          <w:rFonts w:eastAsia="Times New Roman"/>
          <w:i/>
          <w:szCs w:val="20"/>
        </w:rPr>
        <w:t xml:space="preserve"> Mining Regulations 2020</w:t>
      </w:r>
      <w:r w:rsidRPr="00E26C8E">
        <w:rPr>
          <w:rFonts w:eastAsia="Times New Roman"/>
          <w:szCs w:val="20"/>
        </w:rPr>
        <w:t xml:space="preserve"> that a proposal must include the following:</w:t>
      </w:r>
    </w:p>
    <w:p w:rsidR="00E26C8E" w:rsidRPr="00E26C8E" w:rsidRDefault="00E26C8E" w:rsidP="00E26C8E">
      <w:pPr>
        <w:ind w:left="1418" w:hanging="567"/>
        <w:rPr>
          <w:rFonts w:eastAsia="Times New Roman"/>
          <w:i/>
          <w:szCs w:val="20"/>
        </w:rPr>
      </w:pPr>
      <w:r w:rsidRPr="00E26C8E">
        <w:rPr>
          <w:rFonts w:eastAsia="Times New Roman"/>
          <w:i/>
          <w:szCs w:val="20"/>
        </w:rPr>
        <w:t>2.2.1</w:t>
      </w:r>
      <w:r w:rsidRPr="00E26C8E">
        <w:rPr>
          <w:rFonts w:eastAsia="Times New Roman"/>
          <w:i/>
          <w:szCs w:val="20"/>
        </w:rPr>
        <w:tab/>
        <w:t>Changes to environmental impacts of the authorised operations</w:t>
      </w:r>
    </w:p>
    <w:p w:rsidR="00E26C8E" w:rsidRPr="00E26C8E" w:rsidRDefault="00E26C8E" w:rsidP="00E26C8E">
      <w:pPr>
        <w:ind w:left="1418"/>
        <w:rPr>
          <w:rFonts w:eastAsia="Times New Roman"/>
          <w:szCs w:val="20"/>
        </w:rPr>
      </w:pPr>
      <w:r w:rsidRPr="00E26C8E">
        <w:rPr>
          <w:rFonts w:eastAsia="Times New Roman"/>
          <w:szCs w:val="20"/>
        </w:rPr>
        <w:t>Describe potential impact events the proposed change in operations might have on the environment. The impact assessment must consider each phase of the proposed operations (construction, operation, rehabilitation/closure and post completion).</w:t>
      </w:r>
    </w:p>
    <w:p w:rsidR="00E26C8E" w:rsidRPr="00E26C8E" w:rsidRDefault="00E26C8E" w:rsidP="00E26C8E">
      <w:pPr>
        <w:ind w:left="1418"/>
        <w:rPr>
          <w:rFonts w:eastAsia="Times New Roman"/>
          <w:szCs w:val="20"/>
        </w:rPr>
      </w:pPr>
      <w:r w:rsidRPr="00E26C8E">
        <w:rPr>
          <w:rFonts w:eastAsia="Times New Roman"/>
          <w:szCs w:val="20"/>
        </w:rPr>
        <w:t>Describe whether the potential environmental impacts identified are additional to or different from those impacts identified in the initial application for a lease or license.</w:t>
      </w:r>
    </w:p>
    <w:p w:rsidR="00E26C8E" w:rsidRPr="00E26C8E" w:rsidRDefault="00E26C8E" w:rsidP="00E26C8E">
      <w:pPr>
        <w:ind w:left="1418" w:hanging="567"/>
        <w:rPr>
          <w:rFonts w:eastAsia="Times New Roman"/>
          <w:i/>
          <w:szCs w:val="20"/>
        </w:rPr>
      </w:pPr>
      <w:r w:rsidRPr="00E26C8E">
        <w:rPr>
          <w:rFonts w:eastAsia="Times New Roman"/>
          <w:i/>
          <w:szCs w:val="20"/>
        </w:rPr>
        <w:t>2.2.2</w:t>
      </w:r>
      <w:r w:rsidRPr="00E26C8E">
        <w:rPr>
          <w:rFonts w:eastAsia="Times New Roman"/>
          <w:i/>
          <w:szCs w:val="20"/>
        </w:rPr>
        <w:tab/>
        <w:t>Control strategies</w:t>
      </w:r>
    </w:p>
    <w:p w:rsidR="00E26C8E" w:rsidRPr="00E26C8E" w:rsidRDefault="00E26C8E" w:rsidP="00E26C8E">
      <w:pPr>
        <w:ind w:left="1418"/>
        <w:rPr>
          <w:rFonts w:eastAsia="Times New Roman"/>
          <w:szCs w:val="20"/>
        </w:rPr>
      </w:pPr>
      <w:r w:rsidRPr="00E26C8E">
        <w:rPr>
          <w:rFonts w:eastAsia="Times New Roman"/>
          <w:szCs w:val="20"/>
        </w:rPr>
        <w:t>Describe the measures proposed to manage, limit or remedy each additional or different impact. Demonstrate that the measures proposed are commensurate with the potential impacts, achieve compliance with other applicable statutory requirements and promote progressive rehabilitation.</w:t>
      </w:r>
    </w:p>
    <w:p w:rsidR="00E26C8E" w:rsidRPr="00E26C8E" w:rsidRDefault="00E26C8E" w:rsidP="00E26C8E">
      <w:pPr>
        <w:ind w:left="1418" w:hanging="567"/>
        <w:rPr>
          <w:rFonts w:eastAsia="Times New Roman"/>
          <w:i/>
          <w:szCs w:val="20"/>
        </w:rPr>
      </w:pPr>
      <w:r w:rsidRPr="00E26C8E">
        <w:rPr>
          <w:rFonts w:eastAsia="Times New Roman"/>
          <w:i/>
          <w:szCs w:val="20"/>
        </w:rPr>
        <w:t>2.2.3</w:t>
      </w:r>
      <w:r w:rsidRPr="00E26C8E">
        <w:rPr>
          <w:rFonts w:eastAsia="Times New Roman"/>
          <w:i/>
          <w:szCs w:val="20"/>
        </w:rPr>
        <w:tab/>
        <w:t>Description of uncertainty</w:t>
      </w:r>
    </w:p>
    <w:p w:rsidR="00E26C8E" w:rsidRPr="00E26C8E" w:rsidRDefault="00E26C8E" w:rsidP="00E26C8E">
      <w:pPr>
        <w:ind w:left="1418"/>
        <w:rPr>
          <w:rFonts w:eastAsia="Times New Roman"/>
          <w:szCs w:val="20"/>
        </w:rPr>
      </w:pPr>
      <w:r w:rsidRPr="00E26C8E">
        <w:rPr>
          <w:rFonts w:eastAsia="Times New Roman"/>
          <w:szCs w:val="20"/>
        </w:rPr>
        <w:t>Describe any significant degree of uncertainty pertaining to the impact assessment and effectiveness of control strategies, including (but not limited to) lack of site-specific information, limitations on modelling and quality of data. Describe any assumptions connected with the identified uncertainty.</w:t>
      </w:r>
    </w:p>
    <w:p w:rsidR="00E26C8E" w:rsidRPr="00E26C8E" w:rsidRDefault="00E26C8E" w:rsidP="00E26C8E">
      <w:pPr>
        <w:ind w:left="1418"/>
        <w:rPr>
          <w:rFonts w:eastAsia="Times New Roman"/>
          <w:szCs w:val="20"/>
        </w:rPr>
      </w:pPr>
      <w:r w:rsidRPr="00E26C8E">
        <w:rPr>
          <w:rFonts w:eastAsia="Times New Roman"/>
          <w:szCs w:val="20"/>
        </w:rPr>
        <w:t>So far as is relevant, identify the sensitivity to change of any assumption that has been made and assess:</w:t>
      </w:r>
    </w:p>
    <w:p w:rsidR="00E26C8E" w:rsidRPr="00E26C8E" w:rsidRDefault="00E26C8E" w:rsidP="00E26C8E">
      <w:pPr>
        <w:ind w:left="1701" w:hanging="284"/>
        <w:rPr>
          <w:rFonts w:eastAsia="Times New Roman"/>
          <w:szCs w:val="20"/>
        </w:rPr>
      </w:pPr>
      <w:r w:rsidRPr="00E26C8E">
        <w:rPr>
          <w:rFonts w:eastAsia="Times New Roman"/>
          <w:szCs w:val="20"/>
        </w:rPr>
        <w:t>•</w:t>
      </w:r>
      <w:r w:rsidRPr="00E26C8E">
        <w:rPr>
          <w:rFonts w:eastAsia="Times New Roman"/>
          <w:szCs w:val="20"/>
        </w:rPr>
        <w:tab/>
        <w:t>whether a change in assumption may result in a new environmental impact</w:t>
      </w:r>
    </w:p>
    <w:p w:rsidR="00E26C8E" w:rsidRPr="00E26C8E" w:rsidRDefault="00E26C8E" w:rsidP="00E26C8E">
      <w:pPr>
        <w:ind w:left="1701" w:hanging="284"/>
        <w:rPr>
          <w:rFonts w:eastAsia="Times New Roman"/>
          <w:szCs w:val="20"/>
        </w:rPr>
      </w:pPr>
      <w:r w:rsidRPr="00E26C8E">
        <w:rPr>
          <w:rFonts w:eastAsia="Times New Roman"/>
          <w:szCs w:val="20"/>
        </w:rPr>
        <w:t>•</w:t>
      </w:r>
      <w:r w:rsidRPr="00E26C8E">
        <w:rPr>
          <w:rFonts w:eastAsia="Times New Roman"/>
          <w:szCs w:val="20"/>
        </w:rPr>
        <w:tab/>
        <w:t>the likelihood of an outcome not being achieved if an assumption is later found to be incorrect.</w:t>
      </w:r>
    </w:p>
    <w:p w:rsidR="00E26C8E" w:rsidRPr="00E26C8E" w:rsidRDefault="00E26C8E" w:rsidP="00E26C8E">
      <w:pPr>
        <w:ind w:left="1418" w:hanging="567"/>
        <w:rPr>
          <w:rFonts w:eastAsia="Times New Roman"/>
          <w:i/>
          <w:szCs w:val="20"/>
        </w:rPr>
      </w:pPr>
      <w:r w:rsidRPr="00E26C8E">
        <w:rPr>
          <w:rFonts w:eastAsia="Times New Roman"/>
          <w:i/>
          <w:szCs w:val="20"/>
        </w:rPr>
        <w:t>2.2.4</w:t>
      </w:r>
      <w:r w:rsidRPr="00E26C8E">
        <w:rPr>
          <w:rFonts w:eastAsia="Times New Roman"/>
          <w:i/>
          <w:szCs w:val="20"/>
        </w:rPr>
        <w:tab/>
        <w:t>Assessment of environmental outcomes</w:t>
      </w:r>
    </w:p>
    <w:p w:rsidR="00E26C8E" w:rsidRPr="00E26C8E" w:rsidRDefault="00E26C8E" w:rsidP="00E26C8E">
      <w:pPr>
        <w:ind w:left="1418"/>
        <w:rPr>
          <w:rFonts w:eastAsia="Times New Roman"/>
          <w:szCs w:val="20"/>
        </w:rPr>
      </w:pPr>
      <w:r w:rsidRPr="00E26C8E">
        <w:rPr>
          <w:rFonts w:eastAsia="Times New Roman"/>
          <w:szCs w:val="20"/>
        </w:rPr>
        <w:t>Provide an assessment of whether the existing environmental outcomes, as included in the lease/licence and/or the currently approved PEPR, are appropriate or if new or modified environmental outcomes are required.</w:t>
      </w:r>
    </w:p>
    <w:p w:rsidR="00E26C8E" w:rsidRPr="00E26C8E" w:rsidRDefault="00E26C8E" w:rsidP="00E26C8E">
      <w:pPr>
        <w:ind w:left="1418"/>
        <w:rPr>
          <w:rFonts w:eastAsia="Times New Roman"/>
          <w:szCs w:val="20"/>
        </w:rPr>
      </w:pPr>
      <w:r w:rsidRPr="00E26C8E">
        <w:rPr>
          <w:rFonts w:eastAsia="Times New Roman"/>
          <w:szCs w:val="20"/>
        </w:rPr>
        <w:t>Where modified outcomes are required, provide a statement of the proposed modified environmental outcome(s), which describes the likely consequence of the expected impact on the environment by the proposed operations, subsequent to the implementation of the control strategies described in clause 2.2.2.</w:t>
      </w:r>
    </w:p>
    <w:p w:rsidR="00E26C8E" w:rsidRPr="00E26C8E" w:rsidRDefault="00E26C8E" w:rsidP="00E26C8E">
      <w:pPr>
        <w:ind w:left="1418" w:hanging="567"/>
        <w:rPr>
          <w:rFonts w:eastAsia="Times New Roman"/>
          <w:i/>
          <w:szCs w:val="20"/>
        </w:rPr>
      </w:pPr>
      <w:r w:rsidRPr="00E26C8E">
        <w:rPr>
          <w:rFonts w:eastAsia="Times New Roman"/>
          <w:i/>
          <w:szCs w:val="20"/>
        </w:rPr>
        <w:t>2.2.5</w:t>
      </w:r>
      <w:r w:rsidRPr="00E26C8E">
        <w:rPr>
          <w:rFonts w:eastAsia="Times New Roman"/>
          <w:i/>
          <w:szCs w:val="20"/>
        </w:rPr>
        <w:tab/>
        <w:t>Changes to criteria</w:t>
      </w:r>
    </w:p>
    <w:p w:rsidR="00E26C8E" w:rsidRPr="00E26C8E" w:rsidRDefault="00E26C8E" w:rsidP="00E26C8E">
      <w:pPr>
        <w:ind w:left="1418"/>
        <w:rPr>
          <w:rFonts w:eastAsia="Times New Roman"/>
          <w:szCs w:val="20"/>
        </w:rPr>
      </w:pPr>
      <w:r w:rsidRPr="00E26C8E">
        <w:rPr>
          <w:rFonts w:eastAsia="Times New Roman"/>
          <w:szCs w:val="20"/>
        </w:rPr>
        <w:t>Provide a description of any changes to the criteria to be adopted to measure the existing or modified environmental outcomes. For any proposed changes to criteria, include details about any change to the five elements of criteria set out in Regulation 55(2).</w:t>
      </w:r>
    </w:p>
    <w:p w:rsidR="00E26C8E" w:rsidRPr="00E26C8E" w:rsidRDefault="00E26C8E" w:rsidP="00E26C8E">
      <w:pPr>
        <w:ind w:left="1418"/>
        <w:rPr>
          <w:rFonts w:eastAsia="Times New Roman"/>
          <w:szCs w:val="20"/>
        </w:rPr>
      </w:pPr>
      <w:r w:rsidRPr="00E26C8E">
        <w:rPr>
          <w:rFonts w:eastAsia="Times New Roman"/>
          <w:szCs w:val="20"/>
        </w:rPr>
        <w:t>Where appropriate, use recognised industry standards, codes of practice or legislative provisions from other Acts as part of the criteria.</w:t>
      </w:r>
    </w:p>
    <w:p w:rsidR="00E26C8E" w:rsidRPr="00E26C8E" w:rsidRDefault="00E26C8E" w:rsidP="00E26C8E">
      <w:pPr>
        <w:ind w:left="426" w:hanging="284"/>
        <w:rPr>
          <w:rFonts w:eastAsia="Times New Roman"/>
          <w:b/>
          <w:szCs w:val="20"/>
        </w:rPr>
      </w:pPr>
      <w:r w:rsidRPr="00E26C8E">
        <w:rPr>
          <w:rFonts w:eastAsia="Times New Roman"/>
          <w:b/>
          <w:szCs w:val="20"/>
        </w:rPr>
        <w:t>3.</w:t>
      </w:r>
      <w:r w:rsidRPr="00E26C8E">
        <w:rPr>
          <w:rFonts w:eastAsia="Times New Roman"/>
          <w:b/>
          <w:szCs w:val="20"/>
        </w:rPr>
        <w:tab/>
        <w:t>EFFECTIVE AND EFFICIENT MINING (MINING LEASES ONLY)</w:t>
      </w:r>
    </w:p>
    <w:p w:rsidR="00E26C8E" w:rsidRPr="00E26C8E" w:rsidRDefault="00E26C8E" w:rsidP="00E26C8E">
      <w:pPr>
        <w:ind w:left="426"/>
        <w:rPr>
          <w:rFonts w:eastAsia="Times New Roman"/>
          <w:szCs w:val="20"/>
        </w:rPr>
      </w:pPr>
      <w:r w:rsidRPr="00E26C8E">
        <w:rPr>
          <w:rFonts w:eastAsia="Times New Roman"/>
          <w:szCs w:val="20"/>
        </w:rPr>
        <w:t>In preparing a statement in accordance with regulation 55(1)(c)(i) of the</w:t>
      </w:r>
      <w:r w:rsidRPr="00E26C8E">
        <w:rPr>
          <w:rFonts w:eastAsia="Times New Roman"/>
          <w:i/>
          <w:szCs w:val="20"/>
        </w:rPr>
        <w:t xml:space="preserve"> Mining Regulations 2020</w:t>
      </w:r>
      <w:r w:rsidRPr="00E26C8E">
        <w:rPr>
          <w:rFonts w:eastAsia="Times New Roman"/>
          <w:szCs w:val="20"/>
        </w:rPr>
        <w:t xml:space="preserve"> that demonstrates that the change will not adversely affect the ability of the tenement holder to ensure that land comprised in the tenement can be effectively and efficiently mined, the Minister determines in accordance with regulation 55(4)(e) of the</w:t>
      </w:r>
      <w:r w:rsidRPr="00E26C8E">
        <w:rPr>
          <w:rFonts w:eastAsia="Times New Roman"/>
          <w:i/>
          <w:szCs w:val="20"/>
        </w:rPr>
        <w:t xml:space="preserve"> Mining Regulations 2020</w:t>
      </w:r>
      <w:r w:rsidRPr="00E26C8E">
        <w:rPr>
          <w:rFonts w:eastAsia="Times New Roman"/>
          <w:szCs w:val="20"/>
        </w:rPr>
        <w:t xml:space="preserve"> that the statement must be supported by the following evidence:</w:t>
      </w:r>
    </w:p>
    <w:p w:rsidR="00E26C8E" w:rsidRPr="00E26C8E" w:rsidRDefault="00E26C8E" w:rsidP="00E26C8E">
      <w:pPr>
        <w:ind w:left="851" w:hanging="425"/>
        <w:rPr>
          <w:rFonts w:eastAsia="Times New Roman"/>
          <w:b/>
          <w:szCs w:val="20"/>
        </w:rPr>
      </w:pPr>
      <w:r w:rsidRPr="00E26C8E">
        <w:rPr>
          <w:rFonts w:eastAsia="Times New Roman"/>
          <w:b/>
          <w:szCs w:val="20"/>
        </w:rPr>
        <w:t>3.1</w:t>
      </w:r>
      <w:r w:rsidRPr="00E26C8E">
        <w:rPr>
          <w:rFonts w:eastAsia="Times New Roman"/>
          <w:b/>
          <w:szCs w:val="20"/>
        </w:rPr>
        <w:tab/>
        <w:t>Reserves or resources (or both)</w:t>
      </w:r>
    </w:p>
    <w:p w:rsidR="00E26C8E" w:rsidRPr="00E26C8E" w:rsidRDefault="00E26C8E" w:rsidP="00E26C8E">
      <w:pPr>
        <w:ind w:left="851"/>
        <w:rPr>
          <w:rFonts w:eastAsia="Times New Roman"/>
          <w:szCs w:val="20"/>
        </w:rPr>
      </w:pPr>
      <w:r w:rsidRPr="00E26C8E">
        <w:rPr>
          <w:rFonts w:eastAsia="Times New Roman"/>
          <w:szCs w:val="20"/>
        </w:rPr>
        <w:t>If the change involves the extraction of minerals that are not currently authorised, for those minerals provide:</w:t>
      </w:r>
    </w:p>
    <w:p w:rsidR="00E26C8E" w:rsidRPr="00E26C8E" w:rsidRDefault="00E26C8E" w:rsidP="00E26C8E">
      <w:pPr>
        <w:ind w:left="1134" w:hanging="284"/>
        <w:rPr>
          <w:rFonts w:eastAsia="Times New Roman"/>
          <w:szCs w:val="20"/>
        </w:rPr>
      </w:pPr>
      <w:r w:rsidRPr="00E26C8E">
        <w:rPr>
          <w:rFonts w:eastAsia="Times New Roman"/>
          <w:szCs w:val="20"/>
        </w:rPr>
        <w:t>•</w:t>
      </w:r>
      <w:r w:rsidRPr="00E26C8E">
        <w:rPr>
          <w:rFonts w:eastAsia="Times New Roman"/>
          <w:szCs w:val="20"/>
        </w:rPr>
        <w:tab/>
        <w:t>a JORC-compliant reserve or resource estimate (or both)</w:t>
      </w:r>
    </w:p>
    <w:p w:rsidR="00E26C8E" w:rsidRPr="00E26C8E" w:rsidRDefault="00E26C8E" w:rsidP="00E26C8E">
      <w:pPr>
        <w:ind w:left="1134" w:hanging="284"/>
        <w:rPr>
          <w:rFonts w:eastAsia="Times New Roman"/>
          <w:szCs w:val="20"/>
        </w:rPr>
      </w:pPr>
      <w:r w:rsidRPr="00E26C8E">
        <w:rPr>
          <w:rFonts w:eastAsia="Times New Roman"/>
          <w:szCs w:val="20"/>
        </w:rPr>
        <w:t>•</w:t>
      </w:r>
      <w:r w:rsidRPr="00E26C8E">
        <w:rPr>
          <w:rFonts w:eastAsia="Times New Roman"/>
          <w:szCs w:val="20"/>
        </w:rPr>
        <w:tab/>
        <w:t>the accompanying JORC Public Report and competent person statement.</w:t>
      </w:r>
    </w:p>
    <w:p w:rsidR="00E26C8E" w:rsidRPr="00E26C8E" w:rsidRDefault="00E26C8E" w:rsidP="00E26C8E">
      <w:pPr>
        <w:ind w:left="851"/>
        <w:rPr>
          <w:rFonts w:eastAsia="Times New Roman"/>
          <w:szCs w:val="20"/>
        </w:rPr>
      </w:pPr>
      <w:r w:rsidRPr="00E26C8E">
        <w:rPr>
          <w:rFonts w:eastAsia="Times New Roman"/>
          <w:szCs w:val="20"/>
        </w:rPr>
        <w:t>If a JORC-compliant reserve or resource (or both) has not been reported provide:</w:t>
      </w:r>
    </w:p>
    <w:p w:rsidR="00E26C8E" w:rsidRPr="00E26C8E" w:rsidRDefault="00E26C8E" w:rsidP="00E26C8E">
      <w:pPr>
        <w:ind w:left="1134" w:hanging="284"/>
        <w:rPr>
          <w:rFonts w:eastAsia="Times New Roman"/>
          <w:szCs w:val="20"/>
        </w:rPr>
      </w:pPr>
      <w:r w:rsidRPr="00E26C8E">
        <w:rPr>
          <w:rFonts w:eastAsia="Times New Roman"/>
          <w:szCs w:val="20"/>
        </w:rPr>
        <w:t>•</w:t>
      </w:r>
      <w:r w:rsidRPr="00E26C8E">
        <w:rPr>
          <w:rFonts w:eastAsia="Times New Roman"/>
          <w:szCs w:val="20"/>
        </w:rPr>
        <w:tab/>
        <w:t>a detailed estimate of the resource to be mined, the basis of this estimate, and evidence that demonstrates that the resource can be economically mined at current market prices.</w:t>
      </w:r>
    </w:p>
    <w:p w:rsidR="00E26C8E" w:rsidRPr="00E26C8E" w:rsidRDefault="00E26C8E" w:rsidP="00E26C8E">
      <w:pPr>
        <w:ind w:left="851" w:hanging="425"/>
        <w:rPr>
          <w:rFonts w:eastAsia="Times New Roman"/>
          <w:b/>
          <w:szCs w:val="20"/>
        </w:rPr>
      </w:pPr>
      <w:r w:rsidRPr="00E26C8E">
        <w:rPr>
          <w:rFonts w:eastAsia="Times New Roman"/>
          <w:b/>
          <w:szCs w:val="20"/>
        </w:rPr>
        <w:t>3.2</w:t>
      </w:r>
      <w:r w:rsidRPr="00E26C8E">
        <w:rPr>
          <w:rFonts w:eastAsia="Times New Roman"/>
          <w:b/>
          <w:szCs w:val="20"/>
        </w:rPr>
        <w:tab/>
        <w:t>Reasonable prospect of access to land</w:t>
      </w:r>
    </w:p>
    <w:p w:rsidR="00E26C8E" w:rsidRPr="00E26C8E" w:rsidRDefault="00E26C8E" w:rsidP="00E26C8E">
      <w:pPr>
        <w:ind w:left="851"/>
        <w:rPr>
          <w:rFonts w:eastAsia="Times New Roman"/>
          <w:szCs w:val="20"/>
        </w:rPr>
      </w:pPr>
      <w:r w:rsidRPr="00E26C8E">
        <w:rPr>
          <w:rFonts w:eastAsia="Times New Roman"/>
          <w:szCs w:val="20"/>
        </w:rPr>
        <w:t>So far as is relevant to the proposed changes to authorised operations, provide the following evidence:</w:t>
      </w:r>
    </w:p>
    <w:p w:rsidR="00E26C8E" w:rsidRPr="00E26C8E" w:rsidRDefault="00E26C8E" w:rsidP="00E26C8E">
      <w:pPr>
        <w:ind w:left="1134" w:hanging="284"/>
        <w:rPr>
          <w:rFonts w:eastAsia="Times New Roman"/>
          <w:szCs w:val="20"/>
        </w:rPr>
      </w:pPr>
      <w:r w:rsidRPr="00E26C8E">
        <w:rPr>
          <w:rFonts w:eastAsia="Times New Roman"/>
          <w:szCs w:val="20"/>
        </w:rPr>
        <w:t>•</w:t>
      </w:r>
      <w:r w:rsidRPr="00E26C8E">
        <w:rPr>
          <w:rFonts w:eastAsia="Times New Roman"/>
          <w:szCs w:val="20"/>
        </w:rPr>
        <w:tab/>
        <w:t>A statement that demonstrates that any waivers of exemption under Section 9AA of the</w:t>
      </w:r>
      <w:r w:rsidRPr="00E26C8E">
        <w:rPr>
          <w:rFonts w:eastAsia="Times New Roman"/>
          <w:i/>
          <w:szCs w:val="20"/>
        </w:rPr>
        <w:t xml:space="preserve"> Mining Act 1971</w:t>
      </w:r>
      <w:r w:rsidRPr="00E26C8E">
        <w:rPr>
          <w:rFonts w:eastAsia="Times New Roman"/>
          <w:szCs w:val="20"/>
        </w:rPr>
        <w:t xml:space="preserve"> required for the proposed changes have been obtained, or there is a reasonable prospect that they can be; and</w:t>
      </w:r>
    </w:p>
    <w:p w:rsidR="00E26C8E" w:rsidRPr="00E26C8E" w:rsidRDefault="00E26C8E" w:rsidP="00E26C8E">
      <w:pPr>
        <w:ind w:left="1134" w:hanging="284"/>
        <w:rPr>
          <w:rFonts w:eastAsia="Times New Roman"/>
          <w:szCs w:val="20"/>
        </w:rPr>
      </w:pPr>
      <w:r w:rsidRPr="00E26C8E">
        <w:rPr>
          <w:rFonts w:eastAsia="Times New Roman"/>
          <w:szCs w:val="20"/>
        </w:rPr>
        <w:t>•</w:t>
      </w:r>
      <w:r w:rsidRPr="00E26C8E">
        <w:rPr>
          <w:rFonts w:eastAsia="Times New Roman"/>
          <w:szCs w:val="20"/>
        </w:rPr>
        <w:tab/>
        <w:t>A statement that demonstrates how the proposed changes relate to any native title mining agreements obtained under the</w:t>
      </w:r>
      <w:r w:rsidRPr="00E26C8E">
        <w:rPr>
          <w:rFonts w:eastAsia="Times New Roman"/>
          <w:i/>
          <w:szCs w:val="20"/>
        </w:rPr>
        <w:t xml:space="preserve"> Mining Act 1971</w:t>
      </w:r>
      <w:r w:rsidRPr="00E26C8E">
        <w:rPr>
          <w:rFonts w:eastAsia="Times New Roman"/>
          <w:szCs w:val="20"/>
        </w:rPr>
        <w:t xml:space="preserve"> or Indigenous Land Use Agreements (ILUA) under the </w:t>
      </w:r>
      <w:r w:rsidRPr="00E26C8E">
        <w:rPr>
          <w:rFonts w:eastAsia="Times New Roman"/>
          <w:i/>
          <w:szCs w:val="20"/>
        </w:rPr>
        <w:t>Native Title Act 1993 (Cth)</w:t>
      </w:r>
      <w:r w:rsidRPr="00E26C8E">
        <w:rPr>
          <w:rFonts w:eastAsia="Times New Roman"/>
          <w:szCs w:val="20"/>
        </w:rPr>
        <w:t>.</w:t>
      </w:r>
    </w:p>
    <w:p w:rsidR="00E26C8E" w:rsidRPr="00E26C8E" w:rsidRDefault="00E26C8E" w:rsidP="00E26C8E">
      <w:pPr>
        <w:spacing w:after="0" w:line="240" w:lineRule="auto"/>
        <w:jc w:val="left"/>
        <w:rPr>
          <w:rFonts w:eastAsia="Times New Roman"/>
          <w:b/>
          <w:szCs w:val="20"/>
        </w:rPr>
      </w:pPr>
      <w:r w:rsidRPr="00E26C8E">
        <w:rPr>
          <w:rFonts w:eastAsia="Times New Roman"/>
          <w:b/>
          <w:szCs w:val="20"/>
        </w:rPr>
        <w:br w:type="page"/>
      </w:r>
    </w:p>
    <w:p w:rsidR="00E26C8E" w:rsidRPr="00E26C8E" w:rsidRDefault="00E26C8E" w:rsidP="00E26C8E">
      <w:pPr>
        <w:ind w:left="426" w:hanging="284"/>
        <w:rPr>
          <w:rFonts w:eastAsia="Times New Roman"/>
          <w:b/>
          <w:szCs w:val="20"/>
        </w:rPr>
      </w:pPr>
      <w:r w:rsidRPr="00E26C8E">
        <w:rPr>
          <w:rFonts w:eastAsia="Times New Roman"/>
          <w:b/>
          <w:szCs w:val="20"/>
        </w:rPr>
        <w:t>4.</w:t>
      </w:r>
      <w:r w:rsidRPr="00E26C8E">
        <w:rPr>
          <w:rFonts w:eastAsia="Times New Roman"/>
          <w:b/>
          <w:szCs w:val="20"/>
        </w:rPr>
        <w:tab/>
        <w:t>ASSESSMENT OF LEASE AND/OR LICENCE TERMS/CONDITIONS AND THE ACT</w:t>
      </w:r>
    </w:p>
    <w:p w:rsidR="00E26C8E" w:rsidRPr="00E26C8E" w:rsidRDefault="00E26C8E" w:rsidP="00E26C8E">
      <w:pPr>
        <w:ind w:left="426"/>
        <w:rPr>
          <w:rFonts w:eastAsia="Times New Roman"/>
          <w:szCs w:val="20"/>
        </w:rPr>
      </w:pPr>
      <w:r w:rsidRPr="00E26C8E">
        <w:rPr>
          <w:rFonts w:eastAsia="Times New Roman"/>
          <w:szCs w:val="20"/>
        </w:rPr>
        <w:t>In preparing a statement in accordance with regulation 55(1)(c)(iii) of the</w:t>
      </w:r>
      <w:r w:rsidRPr="00E26C8E">
        <w:rPr>
          <w:rFonts w:eastAsia="Times New Roman"/>
          <w:i/>
          <w:szCs w:val="20"/>
        </w:rPr>
        <w:t xml:space="preserve"> Mining Regulations 2020</w:t>
      </w:r>
      <w:r w:rsidRPr="00E26C8E">
        <w:rPr>
          <w:rFonts w:eastAsia="Times New Roman"/>
          <w:szCs w:val="20"/>
        </w:rPr>
        <w:t xml:space="preserve"> that demonstrates that the change will not adversely affect the ability of the tenement holder to comply with the other requirements of the Act, the Minister determines in accordance with regulation 55(4)(e) of the</w:t>
      </w:r>
      <w:r w:rsidRPr="00E26C8E">
        <w:rPr>
          <w:rFonts w:eastAsia="Times New Roman"/>
          <w:i/>
          <w:szCs w:val="20"/>
        </w:rPr>
        <w:t xml:space="preserve"> Mining Regulations 2020</w:t>
      </w:r>
      <w:r w:rsidRPr="00E26C8E">
        <w:rPr>
          <w:rFonts w:eastAsia="Times New Roman"/>
          <w:szCs w:val="20"/>
        </w:rPr>
        <w:t xml:space="preserve"> that the statement must be supported by the following evidence:</w:t>
      </w:r>
    </w:p>
    <w:p w:rsidR="00E26C8E" w:rsidRPr="00E26C8E" w:rsidRDefault="00E26C8E" w:rsidP="00E26C8E">
      <w:pPr>
        <w:ind w:left="709" w:hanging="284"/>
        <w:rPr>
          <w:rFonts w:eastAsia="Times New Roman"/>
          <w:szCs w:val="20"/>
        </w:rPr>
      </w:pPr>
      <w:r w:rsidRPr="00E26C8E">
        <w:rPr>
          <w:rFonts w:eastAsia="Times New Roman"/>
          <w:szCs w:val="20"/>
        </w:rPr>
        <w:t>•</w:t>
      </w:r>
      <w:r w:rsidRPr="00E26C8E">
        <w:rPr>
          <w:rFonts w:eastAsia="Times New Roman"/>
          <w:szCs w:val="20"/>
        </w:rPr>
        <w:tab/>
        <w:t>With the exception of any proposed changes to lease and/or licence terms and conditions (as per clause 1.3), provide an assessment that demonstrates the proposed change in operations would be compliant with the terms and conditions of the lease/licence.</w:t>
      </w:r>
    </w:p>
    <w:p w:rsidR="00E26C8E" w:rsidRPr="00E26C8E" w:rsidRDefault="00E26C8E" w:rsidP="00E26C8E">
      <w:pPr>
        <w:spacing w:after="0"/>
        <w:rPr>
          <w:rFonts w:eastAsia="Times New Roman"/>
          <w:szCs w:val="17"/>
        </w:rPr>
      </w:pPr>
      <w:r w:rsidRPr="00E26C8E">
        <w:rPr>
          <w:rFonts w:eastAsia="Times New Roman"/>
          <w:szCs w:val="17"/>
        </w:rPr>
        <w:t>Dated: 11 December 2020</w:t>
      </w:r>
    </w:p>
    <w:p w:rsidR="00E26C8E" w:rsidRPr="00E26C8E" w:rsidRDefault="00E26C8E" w:rsidP="00E26C8E">
      <w:pPr>
        <w:spacing w:after="0"/>
        <w:jc w:val="right"/>
        <w:rPr>
          <w:rFonts w:eastAsia="Times New Roman"/>
          <w:smallCaps/>
          <w:szCs w:val="20"/>
        </w:rPr>
      </w:pPr>
      <w:r w:rsidRPr="00E26C8E">
        <w:rPr>
          <w:rFonts w:eastAsia="Times New Roman"/>
          <w:smallCaps/>
          <w:szCs w:val="20"/>
        </w:rPr>
        <w:t>Hon. Daniel van Holst Pellekaan</w:t>
      </w:r>
    </w:p>
    <w:p w:rsidR="00E26C8E" w:rsidRPr="00E26C8E" w:rsidRDefault="00E26C8E" w:rsidP="00E26C8E">
      <w:pPr>
        <w:spacing w:after="0"/>
        <w:jc w:val="right"/>
        <w:rPr>
          <w:rFonts w:eastAsia="Times New Roman"/>
          <w:szCs w:val="17"/>
        </w:rPr>
      </w:pPr>
      <w:r w:rsidRPr="00E26C8E">
        <w:rPr>
          <w:rFonts w:eastAsia="Times New Roman"/>
          <w:szCs w:val="17"/>
        </w:rPr>
        <w:t>Minister for Energy and Mining</w:t>
      </w:r>
    </w:p>
    <w:p w:rsidR="00E26C8E" w:rsidRPr="00E26C8E" w:rsidRDefault="00E26C8E" w:rsidP="00E26C8E">
      <w:pPr>
        <w:pBdr>
          <w:top w:val="single" w:sz="4" w:space="1" w:color="auto"/>
        </w:pBdr>
        <w:spacing w:before="100" w:after="0" w:line="14" w:lineRule="exact"/>
        <w:jc w:val="center"/>
        <w:rPr>
          <w:rFonts w:eastAsia="Times New Roman"/>
          <w:szCs w:val="17"/>
        </w:rPr>
      </w:pPr>
    </w:p>
    <w:p w:rsidR="00E26C8E" w:rsidRPr="00E26C8E" w:rsidRDefault="00E26C8E" w:rsidP="00E26C8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E26C8E" w:rsidRPr="00E26C8E" w:rsidRDefault="00E26C8E" w:rsidP="00E26C8E">
      <w:pPr>
        <w:jc w:val="center"/>
        <w:rPr>
          <w:caps/>
          <w:szCs w:val="17"/>
        </w:rPr>
      </w:pPr>
      <w:r w:rsidRPr="00E26C8E">
        <w:rPr>
          <w:caps/>
          <w:szCs w:val="17"/>
        </w:rPr>
        <w:t>Mining Act 1971</w:t>
      </w:r>
    </w:p>
    <w:p w:rsidR="00E26C8E" w:rsidRPr="00E26C8E" w:rsidRDefault="00E26C8E" w:rsidP="00E26C8E">
      <w:pPr>
        <w:jc w:val="center"/>
        <w:rPr>
          <w:smallCaps/>
          <w:szCs w:val="17"/>
        </w:rPr>
      </w:pPr>
      <w:r w:rsidRPr="00E26C8E">
        <w:rPr>
          <w:smallCaps/>
          <w:szCs w:val="17"/>
        </w:rPr>
        <w:t>Part 10A</w:t>
      </w:r>
    </w:p>
    <w:p w:rsidR="00E26C8E" w:rsidRPr="00E26C8E" w:rsidRDefault="00E26C8E" w:rsidP="00E26C8E">
      <w:pPr>
        <w:jc w:val="center"/>
        <w:rPr>
          <w:i/>
          <w:szCs w:val="17"/>
        </w:rPr>
      </w:pPr>
      <w:r w:rsidRPr="00E26C8E">
        <w:rPr>
          <w:i/>
          <w:szCs w:val="17"/>
        </w:rPr>
        <w:t>Terms of Reference for Mineral Exploration PEPRS</w:t>
      </w:r>
    </w:p>
    <w:p w:rsidR="00E26C8E" w:rsidRPr="00E26C8E" w:rsidRDefault="00E26C8E" w:rsidP="00E26C8E">
      <w:pPr>
        <w:rPr>
          <w:rFonts w:eastAsia="Times New Roman"/>
          <w:szCs w:val="17"/>
        </w:rPr>
      </w:pPr>
      <w:r w:rsidRPr="00E26C8E">
        <w:rPr>
          <w:rFonts w:eastAsia="Times New Roman"/>
          <w:szCs w:val="17"/>
        </w:rPr>
        <w:t>A Program for Environment Protection and Rehabilitation (PEPR) under Part 10A of the</w:t>
      </w:r>
      <w:r w:rsidRPr="00E26C8E">
        <w:rPr>
          <w:rFonts w:eastAsia="Times New Roman"/>
          <w:i/>
          <w:szCs w:val="17"/>
        </w:rPr>
        <w:t xml:space="preserve"> Mining Act 1971</w:t>
      </w:r>
      <w:r w:rsidRPr="00E26C8E">
        <w:rPr>
          <w:rFonts w:eastAsia="Times New Roman"/>
          <w:szCs w:val="17"/>
        </w:rPr>
        <w:t xml:space="preserve"> for the conduct of exploration operations on an Exploration Licence (EL), Mineral Claim (MC) or a Retention Lease (RL) must:</w:t>
      </w:r>
    </w:p>
    <w:p w:rsidR="00E26C8E" w:rsidRPr="00E26C8E" w:rsidRDefault="00E26C8E" w:rsidP="00E26C8E">
      <w:pPr>
        <w:ind w:left="426" w:hanging="284"/>
        <w:rPr>
          <w:rFonts w:eastAsia="Times New Roman"/>
          <w:szCs w:val="17"/>
        </w:rPr>
      </w:pPr>
      <w:r w:rsidRPr="00E26C8E">
        <w:rPr>
          <w:rFonts w:eastAsia="Times New Roman"/>
          <w:szCs w:val="17"/>
        </w:rPr>
        <w:t>•</w:t>
      </w:r>
      <w:r w:rsidRPr="00E26C8E">
        <w:rPr>
          <w:rFonts w:eastAsia="Times New Roman"/>
          <w:szCs w:val="17"/>
        </w:rPr>
        <w:tab/>
        <w:t>comply with sections 70B and 70C of the</w:t>
      </w:r>
      <w:r w:rsidRPr="00E26C8E">
        <w:rPr>
          <w:rFonts w:eastAsia="Times New Roman"/>
          <w:i/>
          <w:szCs w:val="17"/>
        </w:rPr>
        <w:t xml:space="preserve"> Mining Act 1971</w:t>
      </w:r>
      <w:r w:rsidRPr="00E26C8E">
        <w:rPr>
          <w:rFonts w:eastAsia="Times New Roman"/>
          <w:szCs w:val="17"/>
        </w:rPr>
        <w:t>, regulations 63, 64 and 66 of the</w:t>
      </w:r>
      <w:r w:rsidRPr="00E26C8E">
        <w:rPr>
          <w:rFonts w:eastAsia="Times New Roman"/>
          <w:i/>
          <w:szCs w:val="17"/>
        </w:rPr>
        <w:t xml:space="preserve"> Mining Regulations 2020</w:t>
      </w:r>
      <w:r w:rsidRPr="00E26C8E">
        <w:rPr>
          <w:rFonts w:eastAsia="Times New Roman"/>
          <w:szCs w:val="17"/>
        </w:rPr>
        <w:t xml:space="preserve"> and any determinations set out in this Terms of Reference</w:t>
      </w:r>
    </w:p>
    <w:p w:rsidR="00E26C8E" w:rsidRPr="00E26C8E" w:rsidRDefault="00E26C8E" w:rsidP="00E26C8E">
      <w:pPr>
        <w:ind w:left="426" w:hanging="284"/>
        <w:rPr>
          <w:rFonts w:eastAsia="Times New Roman"/>
          <w:szCs w:val="17"/>
        </w:rPr>
      </w:pPr>
      <w:r w:rsidRPr="00E26C8E">
        <w:rPr>
          <w:rFonts w:eastAsia="Times New Roman"/>
          <w:szCs w:val="17"/>
        </w:rPr>
        <w:t>•</w:t>
      </w:r>
      <w:r w:rsidRPr="00E26C8E">
        <w:rPr>
          <w:rFonts w:eastAsia="Times New Roman"/>
          <w:szCs w:val="17"/>
        </w:rPr>
        <w:tab/>
        <w:t>be accompanied by a declaration of accuracy that complies with regulation 84 of the</w:t>
      </w:r>
      <w:r w:rsidRPr="00E26C8E">
        <w:rPr>
          <w:rFonts w:eastAsia="Times New Roman"/>
          <w:i/>
          <w:szCs w:val="17"/>
        </w:rPr>
        <w:t xml:space="preserve"> Mining Regulations 2020</w:t>
      </w:r>
      <w:r w:rsidRPr="00E26C8E">
        <w:rPr>
          <w:rFonts w:eastAsia="Times New Roman"/>
          <w:szCs w:val="17"/>
        </w:rPr>
        <w:t>; and</w:t>
      </w:r>
    </w:p>
    <w:p w:rsidR="00E26C8E" w:rsidRPr="00E26C8E" w:rsidRDefault="00E26C8E" w:rsidP="00E26C8E">
      <w:pPr>
        <w:ind w:left="426" w:hanging="284"/>
        <w:rPr>
          <w:rFonts w:eastAsia="Times New Roman"/>
          <w:szCs w:val="17"/>
        </w:rPr>
      </w:pPr>
      <w:r w:rsidRPr="00E26C8E">
        <w:rPr>
          <w:rFonts w:eastAsia="Times New Roman"/>
          <w:szCs w:val="17"/>
        </w:rPr>
        <w:t>•</w:t>
      </w:r>
      <w:r w:rsidRPr="00E26C8E">
        <w:rPr>
          <w:rFonts w:eastAsia="Times New Roman"/>
          <w:szCs w:val="17"/>
        </w:rPr>
        <w:tab/>
        <w:t>be accompanied by the relevant application fee.</w:t>
      </w:r>
    </w:p>
    <w:p w:rsidR="00E26C8E" w:rsidRPr="00E26C8E" w:rsidRDefault="00E26C8E" w:rsidP="00E26C8E">
      <w:pPr>
        <w:rPr>
          <w:rFonts w:eastAsia="Times New Roman"/>
          <w:b/>
          <w:szCs w:val="17"/>
        </w:rPr>
      </w:pPr>
      <w:r w:rsidRPr="00E26C8E">
        <w:rPr>
          <w:rFonts w:eastAsia="Times New Roman"/>
          <w:b/>
          <w:szCs w:val="17"/>
        </w:rPr>
        <w:t>FORM OF APPLICATION</w:t>
      </w:r>
    </w:p>
    <w:p w:rsidR="00E26C8E" w:rsidRPr="00E26C8E" w:rsidRDefault="00E26C8E" w:rsidP="00E26C8E">
      <w:pPr>
        <w:ind w:left="142"/>
        <w:rPr>
          <w:rFonts w:eastAsia="Times New Roman"/>
          <w:szCs w:val="17"/>
        </w:rPr>
      </w:pPr>
      <w:r w:rsidRPr="00E26C8E">
        <w:rPr>
          <w:rFonts w:eastAsia="Times New Roman"/>
          <w:szCs w:val="17"/>
        </w:rPr>
        <w:t>An application for an Exploration PEPR must in accordance with section 70B(4a) be in the following form, unless otherwise specified by the Director of Mines or an authorised officer:</w:t>
      </w:r>
    </w:p>
    <w:p w:rsidR="00E26C8E" w:rsidRPr="00E26C8E" w:rsidRDefault="00E26C8E" w:rsidP="00E26C8E">
      <w:pPr>
        <w:ind w:left="567" w:hanging="283"/>
        <w:rPr>
          <w:rFonts w:eastAsia="Times New Roman"/>
          <w:szCs w:val="17"/>
        </w:rPr>
      </w:pPr>
      <w:r w:rsidRPr="00E26C8E">
        <w:rPr>
          <w:rFonts w:eastAsia="Times New Roman"/>
          <w:szCs w:val="17"/>
        </w:rPr>
        <w:t>•</w:t>
      </w:r>
      <w:r w:rsidRPr="00E26C8E">
        <w:rPr>
          <w:rFonts w:eastAsia="Times New Roman"/>
          <w:szCs w:val="17"/>
        </w:rPr>
        <w:tab/>
        <w:t xml:space="preserve">An electronic version of the PEPR must be submitted using the exploration PEPR template(s) provided on the DEM Minerals website: </w:t>
      </w:r>
      <w:hyperlink r:id="rId131" w:history="1">
        <w:r w:rsidRPr="00E26C8E">
          <w:rPr>
            <w:rFonts w:eastAsia="Times New Roman"/>
            <w:color w:val="0000FF"/>
            <w:szCs w:val="17"/>
            <w:u w:val="single"/>
          </w:rPr>
          <w:t>www.energymining.sa.gov.au</w:t>
        </w:r>
      </w:hyperlink>
      <w:r w:rsidRPr="00E26C8E">
        <w:rPr>
          <w:rFonts w:eastAsia="Times New Roman"/>
          <w:szCs w:val="17"/>
        </w:rPr>
        <w:t>.</w:t>
      </w:r>
    </w:p>
    <w:p w:rsidR="00E26C8E" w:rsidRPr="00E26C8E" w:rsidRDefault="00E26C8E" w:rsidP="00E26C8E">
      <w:pPr>
        <w:ind w:left="567" w:hanging="283"/>
        <w:rPr>
          <w:rFonts w:eastAsia="Times New Roman"/>
          <w:szCs w:val="17"/>
        </w:rPr>
      </w:pPr>
      <w:r w:rsidRPr="00E26C8E">
        <w:rPr>
          <w:rFonts w:eastAsia="Times New Roman"/>
          <w:szCs w:val="17"/>
        </w:rPr>
        <w:t>•</w:t>
      </w:r>
      <w:r w:rsidRPr="00E26C8E">
        <w:rPr>
          <w:rFonts w:eastAsia="Times New Roman"/>
          <w:szCs w:val="17"/>
        </w:rPr>
        <w:tab/>
        <w:t>The electronic version must be submitted online through the DEM website.</w:t>
      </w:r>
    </w:p>
    <w:p w:rsidR="00E26C8E" w:rsidRPr="00E26C8E" w:rsidRDefault="00E26C8E" w:rsidP="00E26C8E">
      <w:pPr>
        <w:ind w:left="567" w:hanging="283"/>
        <w:rPr>
          <w:rFonts w:eastAsia="Times New Roman"/>
          <w:szCs w:val="17"/>
        </w:rPr>
      </w:pPr>
      <w:r w:rsidRPr="00E26C8E">
        <w:rPr>
          <w:rFonts w:eastAsia="Times New Roman"/>
          <w:szCs w:val="17"/>
        </w:rPr>
        <w:t>•</w:t>
      </w:r>
      <w:r w:rsidRPr="00E26C8E">
        <w:rPr>
          <w:rFonts w:eastAsia="Times New Roman"/>
          <w:szCs w:val="17"/>
        </w:rPr>
        <w:tab/>
        <w:t>The electronic version must be submitted in one single Acrobat PDF file.</w:t>
      </w:r>
    </w:p>
    <w:p w:rsidR="00E26C8E" w:rsidRPr="00E26C8E" w:rsidRDefault="00E26C8E" w:rsidP="00E26C8E">
      <w:pPr>
        <w:ind w:left="567" w:hanging="283"/>
        <w:rPr>
          <w:rFonts w:eastAsia="Times New Roman"/>
          <w:szCs w:val="17"/>
        </w:rPr>
      </w:pPr>
      <w:r w:rsidRPr="00E26C8E">
        <w:rPr>
          <w:rFonts w:eastAsia="Times New Roman"/>
          <w:szCs w:val="17"/>
        </w:rPr>
        <w:t>•</w:t>
      </w:r>
      <w:r w:rsidRPr="00E26C8E">
        <w:rPr>
          <w:rFonts w:eastAsia="Times New Roman"/>
          <w:szCs w:val="17"/>
        </w:rPr>
        <w:tab/>
        <w:t>Microsoft Word-compatible files must be submitted if requested by the Director of Mines (or delegate), or other authorised officers.</w:t>
      </w:r>
    </w:p>
    <w:p w:rsidR="00E26C8E" w:rsidRPr="00E26C8E" w:rsidRDefault="00E26C8E" w:rsidP="00E26C8E">
      <w:pPr>
        <w:ind w:left="567" w:hanging="283"/>
        <w:rPr>
          <w:rFonts w:eastAsia="Times New Roman"/>
          <w:szCs w:val="17"/>
        </w:rPr>
      </w:pPr>
      <w:r w:rsidRPr="00E26C8E">
        <w:rPr>
          <w:rFonts w:eastAsia="Times New Roman"/>
          <w:szCs w:val="17"/>
        </w:rPr>
        <w:t>•</w:t>
      </w:r>
      <w:r w:rsidRPr="00E26C8E">
        <w:rPr>
          <w:rFonts w:eastAsia="Times New Roman"/>
          <w:szCs w:val="17"/>
        </w:rPr>
        <w:tab/>
        <w:t>The PEPR can be submitted by email or hard copy if requested by the Director of Mines, or other authorised officers.</w:t>
      </w:r>
    </w:p>
    <w:p w:rsidR="00E26C8E" w:rsidRPr="00E26C8E" w:rsidRDefault="00E26C8E" w:rsidP="00E26C8E">
      <w:pPr>
        <w:ind w:left="142"/>
        <w:rPr>
          <w:rFonts w:eastAsia="Times New Roman"/>
          <w:szCs w:val="17"/>
        </w:rPr>
      </w:pPr>
      <w:r w:rsidRPr="00E26C8E">
        <w:rPr>
          <w:rFonts w:eastAsia="Times New Roman"/>
          <w:szCs w:val="17"/>
        </w:rPr>
        <w:t>If the PEPR being submitted is a review of an approved PEPR, provide a description or summary of all content changes made to the submitted PEPR.</w:t>
      </w:r>
    </w:p>
    <w:p w:rsidR="00E26C8E" w:rsidRPr="00E26C8E" w:rsidRDefault="00E26C8E" w:rsidP="00E26C8E">
      <w:pPr>
        <w:rPr>
          <w:rFonts w:eastAsia="Times New Roman"/>
          <w:b/>
          <w:szCs w:val="17"/>
        </w:rPr>
      </w:pPr>
      <w:r w:rsidRPr="00E26C8E">
        <w:rPr>
          <w:rFonts w:eastAsia="Times New Roman"/>
          <w:b/>
          <w:szCs w:val="17"/>
        </w:rPr>
        <w:t>PEPR</w:t>
      </w:r>
    </w:p>
    <w:p w:rsidR="00E26C8E" w:rsidRPr="00E26C8E" w:rsidRDefault="00E26C8E" w:rsidP="00E26C8E">
      <w:pPr>
        <w:ind w:left="142"/>
        <w:rPr>
          <w:rFonts w:eastAsia="Times New Roman"/>
          <w:szCs w:val="17"/>
        </w:rPr>
      </w:pPr>
      <w:r w:rsidRPr="00E26C8E">
        <w:rPr>
          <w:rFonts w:eastAsia="Times New Roman"/>
          <w:szCs w:val="17"/>
        </w:rPr>
        <w:t>An exploration PEPR must comply with sections 70B and 70C of the</w:t>
      </w:r>
      <w:r w:rsidRPr="00E26C8E">
        <w:rPr>
          <w:rFonts w:eastAsia="Times New Roman"/>
          <w:i/>
          <w:szCs w:val="17"/>
        </w:rPr>
        <w:t xml:space="preserve"> Mining Act 1971</w:t>
      </w:r>
      <w:r w:rsidRPr="00E26C8E">
        <w:rPr>
          <w:rFonts w:eastAsia="Times New Roman"/>
          <w:szCs w:val="17"/>
        </w:rPr>
        <w:t>, and regulations 63, 64 and 66 of the</w:t>
      </w:r>
      <w:r w:rsidRPr="00E26C8E">
        <w:rPr>
          <w:rFonts w:eastAsia="Times New Roman"/>
          <w:i/>
          <w:szCs w:val="17"/>
        </w:rPr>
        <w:t xml:space="preserve"> Mining Regulations 2020</w:t>
      </w:r>
      <w:r w:rsidRPr="00E26C8E">
        <w:rPr>
          <w:rFonts w:eastAsia="Times New Roman"/>
          <w:szCs w:val="17"/>
        </w:rPr>
        <w:t>, and must comply with the following determinations of this Terms of Reference as set out below:</w:t>
      </w:r>
    </w:p>
    <w:p w:rsidR="00E26C8E" w:rsidRPr="00E26C8E" w:rsidRDefault="00E26C8E" w:rsidP="00E26C8E">
      <w:pPr>
        <w:ind w:left="426" w:hanging="284"/>
        <w:rPr>
          <w:rFonts w:eastAsia="Times New Roman"/>
          <w:b/>
          <w:szCs w:val="17"/>
        </w:rPr>
      </w:pPr>
      <w:r w:rsidRPr="00E26C8E">
        <w:rPr>
          <w:rFonts w:eastAsia="Times New Roman"/>
          <w:b/>
          <w:szCs w:val="17"/>
        </w:rPr>
        <w:t>1.</w:t>
      </w:r>
      <w:r w:rsidRPr="00E26C8E">
        <w:rPr>
          <w:rFonts w:eastAsia="Times New Roman"/>
          <w:b/>
          <w:szCs w:val="17"/>
        </w:rPr>
        <w:tab/>
        <w:t>GENERAL INFORMATION</w:t>
      </w:r>
    </w:p>
    <w:p w:rsidR="00E26C8E" w:rsidRPr="00E26C8E" w:rsidRDefault="00E26C8E" w:rsidP="00E26C8E">
      <w:pPr>
        <w:ind w:left="426"/>
        <w:rPr>
          <w:rFonts w:eastAsia="Times New Roman"/>
          <w:szCs w:val="17"/>
        </w:rPr>
      </w:pPr>
      <w:r w:rsidRPr="00E26C8E">
        <w:rPr>
          <w:rFonts w:eastAsia="Times New Roman"/>
          <w:szCs w:val="17"/>
        </w:rPr>
        <w:t>Provide general details of the proposal including:</w:t>
      </w:r>
    </w:p>
    <w:p w:rsidR="00E26C8E" w:rsidRPr="00E26C8E" w:rsidRDefault="00E26C8E" w:rsidP="00E26C8E">
      <w:pPr>
        <w:ind w:left="709" w:hanging="283"/>
        <w:rPr>
          <w:rFonts w:eastAsia="Times New Roman"/>
          <w:szCs w:val="17"/>
        </w:rPr>
      </w:pPr>
      <w:r w:rsidRPr="00E26C8E">
        <w:rPr>
          <w:rFonts w:eastAsia="Times New Roman"/>
          <w:szCs w:val="17"/>
        </w:rPr>
        <w:t>•</w:t>
      </w:r>
      <w:r w:rsidRPr="00E26C8E">
        <w:rPr>
          <w:rFonts w:eastAsia="Times New Roman"/>
          <w:szCs w:val="17"/>
        </w:rPr>
        <w:tab/>
        <w:t>tenement number(s)</w:t>
      </w:r>
    </w:p>
    <w:p w:rsidR="00E26C8E" w:rsidRPr="00E26C8E" w:rsidRDefault="00E26C8E" w:rsidP="00E26C8E">
      <w:pPr>
        <w:ind w:left="709" w:hanging="283"/>
        <w:rPr>
          <w:rFonts w:eastAsia="Times New Roman"/>
          <w:szCs w:val="17"/>
        </w:rPr>
      </w:pPr>
      <w:r w:rsidRPr="00E26C8E">
        <w:rPr>
          <w:rFonts w:eastAsia="Times New Roman"/>
          <w:szCs w:val="17"/>
        </w:rPr>
        <w:t>•</w:t>
      </w:r>
      <w:r w:rsidRPr="00E26C8E">
        <w:rPr>
          <w:rFonts w:eastAsia="Times New Roman"/>
          <w:szCs w:val="17"/>
        </w:rPr>
        <w:tab/>
        <w:t>tenement holder(s) name</w:t>
      </w:r>
    </w:p>
    <w:p w:rsidR="00E26C8E" w:rsidRPr="00E26C8E" w:rsidRDefault="00E26C8E" w:rsidP="00E26C8E">
      <w:pPr>
        <w:ind w:left="709" w:hanging="283"/>
        <w:rPr>
          <w:rFonts w:eastAsia="Times New Roman"/>
          <w:szCs w:val="17"/>
        </w:rPr>
      </w:pPr>
      <w:r w:rsidRPr="00E26C8E">
        <w:rPr>
          <w:rFonts w:eastAsia="Times New Roman"/>
          <w:szCs w:val="17"/>
        </w:rPr>
        <w:t>•</w:t>
      </w:r>
      <w:r w:rsidRPr="00E26C8E">
        <w:rPr>
          <w:rFonts w:eastAsia="Times New Roman"/>
          <w:szCs w:val="17"/>
        </w:rPr>
        <w:tab/>
        <w:t>operating company (name, address and contact details)</w:t>
      </w:r>
    </w:p>
    <w:p w:rsidR="00E26C8E" w:rsidRPr="00E26C8E" w:rsidRDefault="00E26C8E" w:rsidP="00E26C8E">
      <w:pPr>
        <w:ind w:left="709" w:hanging="283"/>
        <w:rPr>
          <w:rFonts w:eastAsia="Times New Roman"/>
          <w:szCs w:val="17"/>
        </w:rPr>
      </w:pPr>
      <w:r w:rsidRPr="00E26C8E">
        <w:rPr>
          <w:rFonts w:eastAsia="Times New Roman"/>
          <w:szCs w:val="17"/>
        </w:rPr>
        <w:t>•</w:t>
      </w:r>
      <w:r w:rsidRPr="00E26C8E">
        <w:rPr>
          <w:rFonts w:eastAsia="Times New Roman"/>
          <w:szCs w:val="17"/>
        </w:rPr>
        <w:tab/>
        <w:t>the duration of the proposed operations (up to 12 months, or exceeding 12 months (ongoing))</w:t>
      </w:r>
    </w:p>
    <w:p w:rsidR="00E26C8E" w:rsidRPr="00E26C8E" w:rsidRDefault="00E26C8E" w:rsidP="00E26C8E">
      <w:pPr>
        <w:ind w:left="709" w:hanging="283"/>
        <w:rPr>
          <w:rFonts w:eastAsia="Times New Roman"/>
          <w:szCs w:val="17"/>
        </w:rPr>
      </w:pPr>
      <w:r w:rsidRPr="00E26C8E">
        <w:rPr>
          <w:rFonts w:eastAsia="Times New Roman"/>
          <w:szCs w:val="17"/>
        </w:rPr>
        <w:t>•</w:t>
      </w:r>
      <w:r w:rsidRPr="00E26C8E">
        <w:rPr>
          <w:rFonts w:eastAsia="Times New Roman"/>
          <w:szCs w:val="17"/>
        </w:rPr>
        <w:tab/>
        <w:t>contact person(s) - phone, email, qualifications/job title - responsible for preparation of the PEPR and person(s), or contractor if applicable, in charge of field supervision and implementing compliance monitoring requirements, including details of experience, qualifications etc</w:t>
      </w:r>
    </w:p>
    <w:p w:rsidR="00E26C8E" w:rsidRPr="00E26C8E" w:rsidRDefault="00E26C8E" w:rsidP="00E26C8E">
      <w:pPr>
        <w:ind w:left="709" w:hanging="283"/>
        <w:rPr>
          <w:rFonts w:eastAsia="Times New Roman"/>
          <w:szCs w:val="17"/>
        </w:rPr>
      </w:pPr>
      <w:r w:rsidRPr="00E26C8E">
        <w:rPr>
          <w:rFonts w:eastAsia="Times New Roman"/>
          <w:szCs w:val="17"/>
        </w:rPr>
        <w:t>•</w:t>
      </w:r>
      <w:r w:rsidRPr="00E26C8E">
        <w:rPr>
          <w:rFonts w:eastAsia="Times New Roman"/>
          <w:szCs w:val="17"/>
        </w:rPr>
        <w:tab/>
        <w:t>proposed start and end dates of the program for operations with a limited duration—eg 12 months</w:t>
      </w:r>
    </w:p>
    <w:p w:rsidR="00E26C8E" w:rsidRPr="00E26C8E" w:rsidRDefault="00E26C8E" w:rsidP="00E26C8E">
      <w:pPr>
        <w:ind w:left="709" w:hanging="283"/>
        <w:rPr>
          <w:rFonts w:eastAsia="Times New Roman"/>
          <w:szCs w:val="17"/>
        </w:rPr>
      </w:pPr>
      <w:r w:rsidRPr="00E26C8E">
        <w:rPr>
          <w:rFonts w:eastAsia="Times New Roman"/>
          <w:szCs w:val="17"/>
        </w:rPr>
        <w:t>•</w:t>
      </w:r>
      <w:r w:rsidRPr="00E26C8E">
        <w:rPr>
          <w:rFonts w:eastAsia="Times New Roman"/>
          <w:szCs w:val="17"/>
        </w:rPr>
        <w:tab/>
        <w:t>location details of the proposed program, including a general locality plan indicating the proposed activity in relation to tenement and landowner boundaries, and areas with environmental classifications or sensitivities</w:t>
      </w:r>
    </w:p>
    <w:p w:rsidR="00E26C8E" w:rsidRPr="00E26C8E" w:rsidRDefault="00E26C8E" w:rsidP="00E26C8E">
      <w:pPr>
        <w:ind w:left="709" w:hanging="283"/>
        <w:rPr>
          <w:rFonts w:eastAsia="Times New Roman"/>
          <w:szCs w:val="17"/>
        </w:rPr>
      </w:pPr>
      <w:r w:rsidRPr="00E26C8E">
        <w:rPr>
          <w:rFonts w:eastAsia="Times New Roman"/>
          <w:szCs w:val="17"/>
        </w:rPr>
        <w:t>•</w:t>
      </w:r>
      <w:r w:rsidRPr="00E26C8E">
        <w:rPr>
          <w:rFonts w:eastAsia="Times New Roman"/>
          <w:szCs w:val="17"/>
        </w:rPr>
        <w:tab/>
        <w:t>1:250 000 scale map sheet(s)</w:t>
      </w:r>
    </w:p>
    <w:p w:rsidR="00E26C8E" w:rsidRPr="00E26C8E" w:rsidRDefault="00E26C8E" w:rsidP="00E26C8E">
      <w:pPr>
        <w:ind w:left="709" w:hanging="283"/>
        <w:rPr>
          <w:rFonts w:eastAsia="Times New Roman"/>
          <w:szCs w:val="17"/>
        </w:rPr>
      </w:pPr>
      <w:r w:rsidRPr="00E26C8E">
        <w:rPr>
          <w:rFonts w:eastAsia="Times New Roman"/>
          <w:szCs w:val="17"/>
        </w:rPr>
        <w:t>•</w:t>
      </w:r>
      <w:r w:rsidRPr="00E26C8E">
        <w:rPr>
          <w:rFonts w:eastAsia="Times New Roman"/>
          <w:szCs w:val="17"/>
        </w:rPr>
        <w:tab/>
        <w:t>A concise description of the proposed program, including the type of operations proposed, commodity type and mineralisation model.</w:t>
      </w:r>
    </w:p>
    <w:p w:rsidR="00E26C8E" w:rsidRPr="00E26C8E" w:rsidRDefault="00E26C8E" w:rsidP="00E26C8E">
      <w:pPr>
        <w:ind w:left="426" w:hanging="284"/>
        <w:rPr>
          <w:rFonts w:eastAsia="Times New Roman"/>
          <w:b/>
          <w:szCs w:val="17"/>
        </w:rPr>
      </w:pPr>
      <w:r w:rsidRPr="00E26C8E">
        <w:rPr>
          <w:rFonts w:eastAsia="Times New Roman"/>
          <w:b/>
          <w:szCs w:val="17"/>
        </w:rPr>
        <w:t>2.</w:t>
      </w:r>
      <w:r w:rsidRPr="00E26C8E">
        <w:rPr>
          <w:rFonts w:eastAsia="Times New Roman"/>
          <w:b/>
          <w:szCs w:val="17"/>
        </w:rPr>
        <w:tab/>
        <w:t>CONSULTATION</w:t>
      </w:r>
    </w:p>
    <w:p w:rsidR="00E26C8E" w:rsidRPr="00E26C8E" w:rsidRDefault="00E26C8E" w:rsidP="00E26C8E">
      <w:pPr>
        <w:ind w:left="426"/>
        <w:rPr>
          <w:rFonts w:eastAsia="Times New Roman"/>
          <w:szCs w:val="17"/>
        </w:rPr>
      </w:pPr>
      <w:r w:rsidRPr="00E26C8E">
        <w:rPr>
          <w:rFonts w:eastAsia="Times New Roman"/>
          <w:szCs w:val="17"/>
        </w:rPr>
        <w:t>In setting out the result of the consultation undertaken in connection with the proposed operations in accordance with regulation 64 of the</w:t>
      </w:r>
      <w:r w:rsidRPr="00E26C8E">
        <w:rPr>
          <w:rFonts w:eastAsia="Times New Roman"/>
          <w:i/>
          <w:szCs w:val="17"/>
        </w:rPr>
        <w:t xml:space="preserve"> Mining Regulations 2020</w:t>
      </w:r>
      <w:r w:rsidRPr="00E26C8E">
        <w:rPr>
          <w:rFonts w:eastAsia="Times New Roman"/>
          <w:szCs w:val="17"/>
        </w:rPr>
        <w:t>, the Minister determines in accordance with regulation 63(1)(e) of the</w:t>
      </w:r>
      <w:r w:rsidRPr="00E26C8E">
        <w:rPr>
          <w:rFonts w:eastAsia="Times New Roman"/>
          <w:i/>
          <w:szCs w:val="17"/>
        </w:rPr>
        <w:t xml:space="preserve"> Mining Regulations 2020</w:t>
      </w:r>
      <w:r w:rsidRPr="00E26C8E">
        <w:rPr>
          <w:rFonts w:eastAsia="Times New Roman"/>
          <w:szCs w:val="17"/>
        </w:rPr>
        <w:t xml:space="preserve"> that a PEPR must include:</w:t>
      </w:r>
    </w:p>
    <w:p w:rsidR="00E26C8E" w:rsidRPr="00E26C8E" w:rsidRDefault="00E26C8E" w:rsidP="00E26C8E">
      <w:pPr>
        <w:ind w:left="709" w:hanging="283"/>
        <w:rPr>
          <w:rFonts w:eastAsia="Times New Roman"/>
          <w:szCs w:val="17"/>
        </w:rPr>
      </w:pPr>
      <w:r w:rsidRPr="00E26C8E">
        <w:rPr>
          <w:rFonts w:eastAsia="Times New Roman"/>
          <w:szCs w:val="17"/>
        </w:rPr>
        <w:t>•</w:t>
      </w:r>
      <w:r w:rsidRPr="00E26C8E">
        <w:rPr>
          <w:rFonts w:eastAsia="Times New Roman"/>
          <w:szCs w:val="17"/>
        </w:rPr>
        <w:tab/>
        <w:t>a summary of the individual or group of similarly affected persons</w:t>
      </w:r>
    </w:p>
    <w:p w:rsidR="00E26C8E" w:rsidRPr="00E26C8E" w:rsidRDefault="00E26C8E" w:rsidP="00E26C8E">
      <w:pPr>
        <w:ind w:left="709" w:hanging="283"/>
        <w:rPr>
          <w:rFonts w:eastAsia="Times New Roman"/>
          <w:szCs w:val="17"/>
        </w:rPr>
      </w:pPr>
      <w:r w:rsidRPr="00E26C8E">
        <w:rPr>
          <w:rFonts w:eastAsia="Times New Roman"/>
          <w:szCs w:val="17"/>
        </w:rPr>
        <w:t>•</w:t>
      </w:r>
      <w:r w:rsidRPr="00E26C8E">
        <w:rPr>
          <w:rFonts w:eastAsia="Times New Roman"/>
          <w:szCs w:val="17"/>
        </w:rPr>
        <w:tab/>
        <w:t>type of interested or affected party (resident, council, government agency etc)</w:t>
      </w:r>
    </w:p>
    <w:p w:rsidR="00E26C8E" w:rsidRPr="00E26C8E" w:rsidRDefault="00E26C8E" w:rsidP="00E26C8E">
      <w:pPr>
        <w:ind w:left="709" w:hanging="283"/>
        <w:rPr>
          <w:rFonts w:eastAsia="Times New Roman"/>
          <w:szCs w:val="17"/>
        </w:rPr>
      </w:pPr>
      <w:r w:rsidRPr="00E26C8E">
        <w:rPr>
          <w:rFonts w:eastAsia="Times New Roman"/>
          <w:szCs w:val="17"/>
        </w:rPr>
        <w:t>•</w:t>
      </w:r>
      <w:r w:rsidRPr="00E26C8E">
        <w:rPr>
          <w:rFonts w:eastAsia="Times New Roman"/>
          <w:szCs w:val="17"/>
        </w:rPr>
        <w:tab/>
        <w:t>if any individual or group of similar affected persons were not able to be consulted, what steps were taken to consult with them</w:t>
      </w:r>
    </w:p>
    <w:p w:rsidR="00E26C8E" w:rsidRPr="00E26C8E" w:rsidRDefault="00E26C8E" w:rsidP="00E26C8E">
      <w:pPr>
        <w:ind w:left="709" w:hanging="283"/>
        <w:rPr>
          <w:rFonts w:eastAsia="Times New Roman"/>
          <w:szCs w:val="17"/>
        </w:rPr>
      </w:pPr>
      <w:r w:rsidRPr="00E26C8E">
        <w:rPr>
          <w:rFonts w:eastAsia="Times New Roman"/>
          <w:szCs w:val="17"/>
        </w:rPr>
        <w:t>•</w:t>
      </w:r>
      <w:r w:rsidRPr="00E26C8E">
        <w:rPr>
          <w:rFonts w:eastAsia="Times New Roman"/>
          <w:szCs w:val="17"/>
        </w:rPr>
        <w:tab/>
        <w:t>any applicable exempt land under Section 9 of the</w:t>
      </w:r>
      <w:r w:rsidRPr="00E26C8E">
        <w:rPr>
          <w:rFonts w:eastAsia="Times New Roman"/>
          <w:i/>
          <w:szCs w:val="17"/>
        </w:rPr>
        <w:t xml:space="preserve"> Mining Act 1971</w:t>
      </w:r>
      <w:r w:rsidRPr="00E26C8E">
        <w:rPr>
          <w:rFonts w:eastAsia="Times New Roman"/>
          <w:szCs w:val="17"/>
        </w:rPr>
        <w:t>, and any waivers of exemption obtained, and/or information on the status of waivers of exemption yet to be negotiated or finalised under Section 9AA of the</w:t>
      </w:r>
      <w:r w:rsidRPr="00E26C8E">
        <w:rPr>
          <w:rFonts w:eastAsia="Times New Roman"/>
          <w:i/>
          <w:szCs w:val="17"/>
        </w:rPr>
        <w:t xml:space="preserve"> Mining Act 1971</w:t>
      </w:r>
      <w:r w:rsidRPr="00E26C8E">
        <w:rPr>
          <w:rFonts w:eastAsia="Times New Roman"/>
          <w:szCs w:val="17"/>
        </w:rPr>
        <w:t>; and</w:t>
      </w:r>
    </w:p>
    <w:p w:rsidR="00E26C8E" w:rsidRPr="00E26C8E" w:rsidRDefault="00E26C8E" w:rsidP="00E26C8E">
      <w:pPr>
        <w:ind w:left="709" w:hanging="283"/>
        <w:rPr>
          <w:rFonts w:eastAsia="Times New Roman"/>
          <w:szCs w:val="17"/>
        </w:rPr>
      </w:pPr>
      <w:r w:rsidRPr="00E26C8E">
        <w:rPr>
          <w:rFonts w:eastAsia="Times New Roman"/>
          <w:szCs w:val="17"/>
        </w:rPr>
        <w:t>•</w:t>
      </w:r>
      <w:r w:rsidRPr="00E26C8E">
        <w:rPr>
          <w:rFonts w:eastAsia="Times New Roman"/>
          <w:szCs w:val="17"/>
        </w:rPr>
        <w:tab/>
        <w:t>any additional land access approvals/permits required to conduct the proposed exploration program.</w:t>
      </w:r>
    </w:p>
    <w:p w:rsidR="00E26C8E" w:rsidRPr="00E26C8E" w:rsidRDefault="00E26C8E" w:rsidP="00E26C8E">
      <w:pPr>
        <w:spacing w:after="0" w:line="240" w:lineRule="auto"/>
        <w:jc w:val="left"/>
        <w:rPr>
          <w:rFonts w:eastAsia="Times New Roman"/>
          <w:szCs w:val="17"/>
        </w:rPr>
      </w:pPr>
      <w:r w:rsidRPr="00E26C8E">
        <w:rPr>
          <w:rFonts w:eastAsia="Times New Roman"/>
          <w:szCs w:val="17"/>
        </w:rPr>
        <w:br w:type="page"/>
      </w:r>
    </w:p>
    <w:p w:rsidR="00E26C8E" w:rsidRPr="00E26C8E" w:rsidRDefault="00E26C8E" w:rsidP="00E26C8E">
      <w:pPr>
        <w:ind w:left="426"/>
        <w:rPr>
          <w:rFonts w:eastAsia="Times New Roman"/>
          <w:szCs w:val="17"/>
        </w:rPr>
      </w:pPr>
      <w:r w:rsidRPr="00E26C8E">
        <w:rPr>
          <w:rFonts w:eastAsia="Times New Roman"/>
          <w:szCs w:val="17"/>
        </w:rPr>
        <w:t>The results of the consultation undertaken with those identified stakeholders, including:</w:t>
      </w:r>
    </w:p>
    <w:p w:rsidR="00E26C8E" w:rsidRPr="00E26C8E" w:rsidRDefault="00E26C8E" w:rsidP="00E26C8E">
      <w:pPr>
        <w:ind w:left="709" w:hanging="283"/>
        <w:rPr>
          <w:rFonts w:eastAsia="Times New Roman"/>
          <w:szCs w:val="17"/>
        </w:rPr>
      </w:pPr>
      <w:r w:rsidRPr="00E26C8E">
        <w:rPr>
          <w:rFonts w:eastAsia="Times New Roman"/>
          <w:szCs w:val="17"/>
        </w:rPr>
        <w:t>•</w:t>
      </w:r>
      <w:r w:rsidRPr="00E26C8E">
        <w:rPr>
          <w:rFonts w:eastAsia="Times New Roman"/>
          <w:szCs w:val="17"/>
        </w:rPr>
        <w:tab/>
        <w:t>the persons consulted</w:t>
      </w:r>
    </w:p>
    <w:p w:rsidR="00E26C8E" w:rsidRPr="00E26C8E" w:rsidRDefault="00E26C8E" w:rsidP="00E26C8E">
      <w:pPr>
        <w:ind w:left="709" w:hanging="283"/>
        <w:rPr>
          <w:rFonts w:eastAsia="Times New Roman"/>
          <w:szCs w:val="17"/>
        </w:rPr>
      </w:pPr>
      <w:r w:rsidRPr="00E26C8E">
        <w:rPr>
          <w:rFonts w:eastAsia="Times New Roman"/>
          <w:szCs w:val="17"/>
        </w:rPr>
        <w:t>•</w:t>
      </w:r>
      <w:r w:rsidRPr="00E26C8E">
        <w:rPr>
          <w:rFonts w:eastAsia="Times New Roman"/>
          <w:szCs w:val="17"/>
        </w:rPr>
        <w:tab/>
        <w:t>any concerns / issues raised; and</w:t>
      </w:r>
    </w:p>
    <w:p w:rsidR="00E26C8E" w:rsidRPr="00E26C8E" w:rsidRDefault="00E26C8E" w:rsidP="00E26C8E">
      <w:pPr>
        <w:ind w:left="709" w:hanging="283"/>
        <w:rPr>
          <w:rFonts w:eastAsia="Times New Roman"/>
          <w:szCs w:val="17"/>
        </w:rPr>
      </w:pPr>
      <w:r w:rsidRPr="00E26C8E">
        <w:rPr>
          <w:rFonts w:eastAsia="Times New Roman"/>
          <w:szCs w:val="17"/>
        </w:rPr>
        <w:t>•</w:t>
      </w:r>
      <w:r w:rsidRPr="00E26C8E">
        <w:rPr>
          <w:rFonts w:eastAsia="Times New Roman"/>
          <w:szCs w:val="17"/>
        </w:rPr>
        <w:tab/>
        <w:t>the response and steps (if any) taken or proposed to address those concerns.</w:t>
      </w:r>
    </w:p>
    <w:p w:rsidR="00E26C8E" w:rsidRPr="00E26C8E" w:rsidRDefault="00E26C8E" w:rsidP="00E26C8E">
      <w:pPr>
        <w:ind w:left="426" w:hanging="284"/>
        <w:rPr>
          <w:rFonts w:eastAsia="Times New Roman"/>
          <w:b/>
          <w:szCs w:val="17"/>
        </w:rPr>
      </w:pPr>
      <w:r w:rsidRPr="00E26C8E">
        <w:rPr>
          <w:rFonts w:eastAsia="Times New Roman"/>
          <w:b/>
          <w:szCs w:val="17"/>
        </w:rPr>
        <w:t>3.</w:t>
      </w:r>
      <w:r w:rsidRPr="00E26C8E">
        <w:rPr>
          <w:rFonts w:eastAsia="Times New Roman"/>
          <w:b/>
          <w:szCs w:val="17"/>
        </w:rPr>
        <w:tab/>
        <w:t>DESCRIPTION OF THE ENVIRONMENT</w:t>
      </w:r>
    </w:p>
    <w:p w:rsidR="00E26C8E" w:rsidRPr="00E26C8E" w:rsidRDefault="00E26C8E" w:rsidP="00E26C8E">
      <w:pPr>
        <w:ind w:left="426"/>
        <w:rPr>
          <w:rFonts w:eastAsia="Times New Roman"/>
          <w:szCs w:val="17"/>
        </w:rPr>
      </w:pPr>
      <w:r w:rsidRPr="00E26C8E">
        <w:rPr>
          <w:rFonts w:eastAsia="Times New Roman"/>
          <w:szCs w:val="17"/>
        </w:rPr>
        <w:t>In accordance with regulation 63(1)(a)(i) of the</w:t>
      </w:r>
      <w:r w:rsidRPr="00E26C8E">
        <w:rPr>
          <w:rFonts w:eastAsia="Times New Roman"/>
          <w:i/>
          <w:szCs w:val="17"/>
        </w:rPr>
        <w:t xml:space="preserve"> Mining Regulations 2020</w:t>
      </w:r>
      <w:r w:rsidRPr="00E26C8E">
        <w:rPr>
          <w:rFonts w:eastAsia="Times New Roman"/>
          <w:szCs w:val="17"/>
        </w:rPr>
        <w:t>, the Minister determines in accordance with regulation 63(3)(e) of the</w:t>
      </w:r>
      <w:r w:rsidRPr="00E26C8E">
        <w:rPr>
          <w:rFonts w:eastAsia="Times New Roman"/>
          <w:i/>
          <w:szCs w:val="17"/>
        </w:rPr>
        <w:t xml:space="preserve"> Mining Regulations 2020</w:t>
      </w:r>
      <w:r w:rsidRPr="00E26C8E">
        <w:rPr>
          <w:rFonts w:eastAsia="Times New Roman"/>
          <w:szCs w:val="17"/>
        </w:rPr>
        <w:t xml:space="preserve"> that a PEPR must include a description of the features of the environment that are expected to be affected by the proposed operations as set out in these Terms of Reference. Each of the elements of the existing environment (as defined in section 6(4) of the</w:t>
      </w:r>
      <w:r w:rsidRPr="00E26C8E">
        <w:rPr>
          <w:rFonts w:eastAsia="Times New Roman"/>
          <w:i/>
          <w:szCs w:val="17"/>
        </w:rPr>
        <w:t xml:space="preserve"> Mining Act 1971</w:t>
      </w:r>
      <w:r w:rsidRPr="00E26C8E">
        <w:rPr>
          <w:rFonts w:eastAsia="Times New Roman"/>
          <w:szCs w:val="17"/>
        </w:rPr>
        <w:t>) listed in clauses 3.1–3.10 must be described only to the extent that they may need to be considered in assessing the impacts that the proposed exploration operations are reasonably expected to have on the environment. If the element is not likely to be impacted by the operation, a statement to that effect must be included.</w:t>
      </w:r>
    </w:p>
    <w:p w:rsidR="00E26C8E" w:rsidRPr="00E26C8E" w:rsidRDefault="00E26C8E" w:rsidP="00E26C8E">
      <w:pPr>
        <w:ind w:left="426"/>
        <w:rPr>
          <w:rFonts w:eastAsia="Times New Roman"/>
          <w:szCs w:val="17"/>
        </w:rPr>
      </w:pPr>
      <w:r w:rsidRPr="00E26C8E">
        <w:rPr>
          <w:rFonts w:eastAsia="Times New Roman"/>
          <w:szCs w:val="17"/>
        </w:rPr>
        <w:t>Where the terms and conditions of an RL do not include environmental outcomes, the Minister determines for the purposes of regulation 63(1)(a) that a PEPR proposing exploration operations on an RL must include a description of the features of the environment that are expected to be affected by the proposed operations in accordance with regulation 63(1)(a)(i) of the</w:t>
      </w:r>
      <w:r w:rsidRPr="00E26C8E">
        <w:rPr>
          <w:rFonts w:eastAsia="Times New Roman"/>
          <w:i/>
          <w:szCs w:val="17"/>
        </w:rPr>
        <w:t xml:space="preserve"> Mining Regulations 2020</w:t>
      </w:r>
      <w:r w:rsidRPr="00E26C8E">
        <w:rPr>
          <w:rFonts w:eastAsia="Times New Roman"/>
          <w:szCs w:val="17"/>
        </w:rPr>
        <w:t xml:space="preserve"> and as set out in these Terms of Reference.</w:t>
      </w:r>
    </w:p>
    <w:p w:rsidR="00E26C8E" w:rsidRPr="00E26C8E" w:rsidRDefault="00E26C8E" w:rsidP="00E26C8E">
      <w:pPr>
        <w:ind w:left="426"/>
        <w:rPr>
          <w:rFonts w:eastAsia="Times New Roman"/>
          <w:szCs w:val="17"/>
        </w:rPr>
      </w:pPr>
      <w:r w:rsidRPr="00E26C8E">
        <w:rPr>
          <w:rFonts w:eastAsia="Times New Roman"/>
          <w:szCs w:val="17"/>
        </w:rPr>
        <w:t>Where the terms and conditions of an RL do include environmental outcomes, the Minister determines in accordance with regulation 63(1)(a) of the</w:t>
      </w:r>
      <w:r w:rsidRPr="00E26C8E">
        <w:rPr>
          <w:rFonts w:eastAsia="Times New Roman"/>
          <w:i/>
          <w:szCs w:val="17"/>
        </w:rPr>
        <w:t xml:space="preserve"> Mining Regulations 2020</w:t>
      </w:r>
      <w:r w:rsidRPr="00E26C8E">
        <w:rPr>
          <w:rFonts w:eastAsia="Times New Roman"/>
          <w:szCs w:val="17"/>
        </w:rPr>
        <w:t xml:space="preserve"> and as set out in these Terms of Reference, that a PEPR must include:</w:t>
      </w:r>
    </w:p>
    <w:p w:rsidR="00E26C8E" w:rsidRPr="00E26C8E" w:rsidRDefault="00E26C8E" w:rsidP="00E26C8E">
      <w:pPr>
        <w:ind w:left="709" w:hanging="283"/>
        <w:rPr>
          <w:rFonts w:eastAsia="Times New Roman"/>
          <w:szCs w:val="17"/>
        </w:rPr>
      </w:pPr>
      <w:r w:rsidRPr="00E26C8E">
        <w:rPr>
          <w:rFonts w:eastAsia="Times New Roman"/>
          <w:szCs w:val="17"/>
        </w:rPr>
        <w:t>•</w:t>
      </w:r>
      <w:r w:rsidRPr="00E26C8E">
        <w:rPr>
          <w:rFonts w:eastAsia="Times New Roman"/>
          <w:szCs w:val="17"/>
        </w:rPr>
        <w:tab/>
        <w:t>any new baseline environmental data relevant to the control strategies, or criteria set out in section 6; and</w:t>
      </w:r>
    </w:p>
    <w:p w:rsidR="00E26C8E" w:rsidRPr="00E26C8E" w:rsidRDefault="00E26C8E" w:rsidP="00E26C8E">
      <w:pPr>
        <w:ind w:left="709" w:hanging="283"/>
        <w:rPr>
          <w:rFonts w:eastAsia="Times New Roman"/>
          <w:szCs w:val="17"/>
        </w:rPr>
      </w:pPr>
      <w:r w:rsidRPr="00E26C8E">
        <w:rPr>
          <w:rFonts w:eastAsia="Times New Roman"/>
          <w:szCs w:val="17"/>
        </w:rPr>
        <w:t>•</w:t>
      </w:r>
      <w:r w:rsidRPr="00E26C8E">
        <w:rPr>
          <w:rFonts w:eastAsia="Times New Roman"/>
          <w:szCs w:val="17"/>
        </w:rPr>
        <w:tab/>
        <w:t>where changes to the environment are identified, provide an updated description of the environment to describe the changes.</w:t>
      </w:r>
    </w:p>
    <w:p w:rsidR="00E26C8E" w:rsidRPr="00E26C8E" w:rsidRDefault="00E26C8E" w:rsidP="00E26C8E">
      <w:pPr>
        <w:ind w:left="851" w:hanging="425"/>
        <w:rPr>
          <w:rFonts w:eastAsia="Times New Roman"/>
          <w:b/>
          <w:szCs w:val="17"/>
        </w:rPr>
      </w:pPr>
      <w:r w:rsidRPr="00E26C8E">
        <w:rPr>
          <w:rFonts w:eastAsia="Times New Roman"/>
          <w:b/>
          <w:szCs w:val="17"/>
        </w:rPr>
        <w:t>3.1</w:t>
      </w:r>
      <w:r w:rsidRPr="00E26C8E">
        <w:rPr>
          <w:rFonts w:eastAsia="Times New Roman"/>
          <w:b/>
          <w:szCs w:val="17"/>
        </w:rPr>
        <w:tab/>
        <w:t>Proximity to infrastructure and housing</w:t>
      </w:r>
    </w:p>
    <w:p w:rsidR="00E26C8E" w:rsidRPr="00E26C8E" w:rsidRDefault="00E26C8E" w:rsidP="00E26C8E">
      <w:pPr>
        <w:ind w:left="851"/>
        <w:rPr>
          <w:rFonts w:eastAsia="Times New Roman"/>
          <w:szCs w:val="17"/>
        </w:rPr>
      </w:pPr>
      <w:r w:rsidRPr="00E26C8E">
        <w:rPr>
          <w:rFonts w:eastAsia="Times New Roman"/>
          <w:szCs w:val="17"/>
        </w:rPr>
        <w:t>Provide the following information:</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Settlements—indicate the name and distance of the nearest town, and residences within, or near the proposed exploration operations.</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Roads and tracks—indicate existing fence lines, roads and tracks, including those which are to be used in the exploration program.</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Other human infrastructure such as schools, hospitals, commercial or industrial sites, roads, sheds, bores, dams, ruins, pumps, scenic lookouts.</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Railway lines, transmission lines, gas and water pipelines, communication lines—e.g. fibre optic cables etc., if these may be impacted by the exploration operations.</w:t>
      </w:r>
    </w:p>
    <w:p w:rsidR="00E26C8E" w:rsidRPr="00E26C8E" w:rsidRDefault="00E26C8E" w:rsidP="00E26C8E">
      <w:pPr>
        <w:ind w:left="851"/>
        <w:rPr>
          <w:rFonts w:eastAsia="Times New Roman"/>
          <w:szCs w:val="17"/>
        </w:rPr>
      </w:pPr>
      <w:r w:rsidRPr="00E26C8E">
        <w:rPr>
          <w:rFonts w:eastAsia="Times New Roman"/>
          <w:szCs w:val="17"/>
        </w:rPr>
        <w:t>Provide this information on a map (as per clause 9).</w:t>
      </w:r>
    </w:p>
    <w:p w:rsidR="00E26C8E" w:rsidRPr="00E26C8E" w:rsidRDefault="00E26C8E" w:rsidP="00E26C8E">
      <w:pPr>
        <w:ind w:left="851" w:hanging="425"/>
        <w:rPr>
          <w:rFonts w:eastAsia="Times New Roman"/>
          <w:b/>
          <w:szCs w:val="17"/>
        </w:rPr>
      </w:pPr>
      <w:r w:rsidRPr="00E26C8E">
        <w:rPr>
          <w:rFonts w:eastAsia="Times New Roman"/>
          <w:b/>
          <w:szCs w:val="17"/>
        </w:rPr>
        <w:t>3.2</w:t>
      </w:r>
      <w:r w:rsidRPr="00E26C8E">
        <w:rPr>
          <w:rFonts w:eastAsia="Times New Roman"/>
          <w:b/>
          <w:szCs w:val="17"/>
        </w:rPr>
        <w:tab/>
        <w:t>Land use and tenure</w:t>
      </w:r>
    </w:p>
    <w:p w:rsidR="00E26C8E" w:rsidRPr="00E26C8E" w:rsidRDefault="00E26C8E" w:rsidP="00E26C8E">
      <w:pPr>
        <w:ind w:left="851"/>
        <w:rPr>
          <w:rFonts w:eastAsia="Times New Roman"/>
          <w:szCs w:val="17"/>
        </w:rPr>
      </w:pPr>
      <w:r w:rsidRPr="00E26C8E">
        <w:rPr>
          <w:rFonts w:eastAsia="Times New Roman"/>
          <w:szCs w:val="17"/>
        </w:rPr>
        <w:t>Provide a description of:</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land tenure within the project area</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the current land use within and surrounding the project area</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council policies (or out of council) development plans that may impact the program area</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known plans for future land use changes by other parties</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if the application area falls within the Murray Darling Basin, Adelaide Dolphin Sanctuary or a Marine Park; and</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any other interests or restrictions on the project area, including if the application is within land used for defence purposes, such as the Woomera Prohibited Area or the Cultana Army Training Area.</w:t>
      </w:r>
    </w:p>
    <w:p w:rsidR="00E26C8E" w:rsidRPr="00E26C8E" w:rsidRDefault="00E26C8E" w:rsidP="00E26C8E">
      <w:pPr>
        <w:ind w:left="851"/>
        <w:rPr>
          <w:rFonts w:eastAsia="Times New Roman"/>
          <w:szCs w:val="17"/>
        </w:rPr>
      </w:pPr>
      <w:r w:rsidRPr="00E26C8E">
        <w:rPr>
          <w:rFonts w:eastAsia="Times New Roman"/>
          <w:szCs w:val="17"/>
        </w:rPr>
        <w:t>Where exploration operations are planned within the Woomera Prohibited Area or the Cultana Army Training Area, indicate if a resource exploration permit is in place, the expiry date of the permit and identify any restrictions that may apply to the program.</w:t>
      </w:r>
    </w:p>
    <w:p w:rsidR="00E26C8E" w:rsidRPr="00E26C8E" w:rsidRDefault="00E26C8E" w:rsidP="00E26C8E">
      <w:pPr>
        <w:ind w:left="851" w:hanging="425"/>
        <w:rPr>
          <w:rFonts w:eastAsia="Times New Roman"/>
          <w:b/>
          <w:szCs w:val="17"/>
        </w:rPr>
      </w:pPr>
      <w:r w:rsidRPr="00E26C8E">
        <w:rPr>
          <w:rFonts w:eastAsia="Times New Roman"/>
          <w:b/>
          <w:szCs w:val="17"/>
        </w:rPr>
        <w:t>3.3</w:t>
      </w:r>
      <w:r w:rsidRPr="00E26C8E">
        <w:rPr>
          <w:rFonts w:eastAsia="Times New Roman"/>
          <w:b/>
          <w:szCs w:val="17"/>
        </w:rPr>
        <w:tab/>
        <w:t>Native title</w:t>
      </w:r>
    </w:p>
    <w:p w:rsidR="00E26C8E" w:rsidRPr="00E26C8E" w:rsidRDefault="00E26C8E" w:rsidP="00E26C8E">
      <w:pPr>
        <w:ind w:left="851"/>
        <w:rPr>
          <w:rFonts w:eastAsia="Times New Roman"/>
          <w:szCs w:val="17"/>
        </w:rPr>
      </w:pPr>
      <w:r w:rsidRPr="00E26C8E">
        <w:rPr>
          <w:rFonts w:eastAsia="Times New Roman"/>
          <w:szCs w:val="17"/>
        </w:rPr>
        <w:t>Provide the following information:</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 xml:space="preserve">Indicate if the proposed area of exploration occurs within native title land (as defined in the </w:t>
      </w:r>
      <w:r w:rsidRPr="00E26C8E">
        <w:rPr>
          <w:rFonts w:eastAsia="Times New Roman"/>
          <w:i/>
          <w:szCs w:val="17"/>
        </w:rPr>
        <w:t>Native Title (South Australia) Act 1994</w:t>
      </w:r>
      <w:r w:rsidRPr="00E26C8E">
        <w:rPr>
          <w:rFonts w:eastAsia="Times New Roman"/>
          <w:szCs w:val="17"/>
        </w:rPr>
        <w:t>).</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Identify if any registered native title claimants occur in the area.</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Describe how you have complied with the requirements of part 9B of the</w:t>
      </w:r>
      <w:r w:rsidRPr="00E26C8E">
        <w:rPr>
          <w:rFonts w:eastAsia="Times New Roman"/>
          <w:i/>
          <w:szCs w:val="17"/>
        </w:rPr>
        <w:t xml:space="preserve"> Mining Act 1971</w:t>
      </w:r>
      <w:r w:rsidRPr="00E26C8E">
        <w:rPr>
          <w:rFonts w:eastAsia="Times New Roman"/>
          <w:szCs w:val="17"/>
        </w:rPr>
        <w:t>.</w:t>
      </w:r>
    </w:p>
    <w:p w:rsidR="00E26C8E" w:rsidRPr="00E26C8E" w:rsidRDefault="00E26C8E" w:rsidP="00E26C8E">
      <w:pPr>
        <w:ind w:left="851" w:hanging="425"/>
        <w:rPr>
          <w:rFonts w:eastAsia="Times New Roman"/>
          <w:b/>
          <w:szCs w:val="17"/>
        </w:rPr>
      </w:pPr>
      <w:r w:rsidRPr="00E26C8E">
        <w:rPr>
          <w:rFonts w:eastAsia="Times New Roman"/>
          <w:b/>
          <w:szCs w:val="17"/>
        </w:rPr>
        <w:t>3.4</w:t>
      </w:r>
      <w:r w:rsidRPr="00E26C8E">
        <w:rPr>
          <w:rFonts w:eastAsia="Times New Roman"/>
          <w:b/>
          <w:szCs w:val="17"/>
        </w:rPr>
        <w:tab/>
        <w:t>Landform and topography</w:t>
      </w:r>
    </w:p>
    <w:p w:rsidR="00E26C8E" w:rsidRPr="00E26C8E" w:rsidRDefault="00E26C8E" w:rsidP="00E26C8E">
      <w:pPr>
        <w:ind w:left="851"/>
        <w:rPr>
          <w:rFonts w:eastAsia="Times New Roman"/>
          <w:szCs w:val="17"/>
        </w:rPr>
      </w:pPr>
      <w:r w:rsidRPr="00E26C8E">
        <w:rPr>
          <w:rFonts w:eastAsia="Times New Roman"/>
          <w:szCs w:val="17"/>
        </w:rPr>
        <w:t>Describe the topography of the general area affected by the exploration program. Include the susceptibility to erosion and visual attributes (steep or undulating slopes, plains, rocky outcrops, dunes, saltpans, claypans etc.).</w:t>
      </w:r>
    </w:p>
    <w:p w:rsidR="00E26C8E" w:rsidRPr="00E26C8E" w:rsidRDefault="00E26C8E" w:rsidP="00E26C8E">
      <w:pPr>
        <w:ind w:left="851" w:hanging="425"/>
        <w:rPr>
          <w:rFonts w:eastAsia="Times New Roman"/>
          <w:b/>
          <w:szCs w:val="17"/>
        </w:rPr>
      </w:pPr>
      <w:r w:rsidRPr="00E26C8E">
        <w:rPr>
          <w:rFonts w:eastAsia="Times New Roman"/>
          <w:b/>
          <w:szCs w:val="17"/>
        </w:rPr>
        <w:t>3.5</w:t>
      </w:r>
      <w:r w:rsidRPr="00E26C8E">
        <w:rPr>
          <w:rFonts w:eastAsia="Times New Roman"/>
          <w:b/>
          <w:szCs w:val="17"/>
        </w:rPr>
        <w:tab/>
        <w:t>Soil and surface cover</w:t>
      </w:r>
    </w:p>
    <w:p w:rsidR="00E26C8E" w:rsidRPr="00E26C8E" w:rsidRDefault="00E26C8E" w:rsidP="00E26C8E">
      <w:pPr>
        <w:ind w:left="851"/>
        <w:rPr>
          <w:rFonts w:eastAsia="Times New Roman"/>
          <w:szCs w:val="17"/>
        </w:rPr>
      </w:pPr>
      <w:r w:rsidRPr="00E26C8E">
        <w:rPr>
          <w:rFonts w:eastAsia="Times New Roman"/>
          <w:szCs w:val="17"/>
        </w:rPr>
        <w:t>Describe the soil types and surface cover—e.g. gibber, rocky—in the general area affected by the exploration program. Include the susceptibility to compaction, erosion, dust, runoff and any other soil characteristics—e.g. acid sulphate—that may require control strategies to reduce environmental impacts during operations or rehabilitation.</w:t>
      </w:r>
    </w:p>
    <w:p w:rsidR="00E26C8E" w:rsidRPr="00E26C8E" w:rsidRDefault="00E26C8E" w:rsidP="00E26C8E">
      <w:pPr>
        <w:ind w:left="851" w:hanging="425"/>
        <w:rPr>
          <w:rFonts w:eastAsia="Times New Roman"/>
          <w:b/>
          <w:szCs w:val="17"/>
        </w:rPr>
      </w:pPr>
      <w:r w:rsidRPr="00E26C8E">
        <w:rPr>
          <w:rFonts w:eastAsia="Times New Roman"/>
          <w:b/>
          <w:szCs w:val="17"/>
        </w:rPr>
        <w:t>3.6</w:t>
      </w:r>
      <w:r w:rsidRPr="00E26C8E">
        <w:rPr>
          <w:rFonts w:eastAsia="Times New Roman"/>
          <w:b/>
          <w:szCs w:val="17"/>
        </w:rPr>
        <w:tab/>
        <w:t>Surface water</w:t>
      </w:r>
    </w:p>
    <w:p w:rsidR="00E26C8E" w:rsidRPr="00E26C8E" w:rsidRDefault="00E26C8E" w:rsidP="00E26C8E">
      <w:pPr>
        <w:ind w:left="851"/>
        <w:rPr>
          <w:rFonts w:eastAsia="Times New Roman"/>
          <w:szCs w:val="17"/>
        </w:rPr>
      </w:pPr>
      <w:r w:rsidRPr="00E26C8E">
        <w:rPr>
          <w:rFonts w:eastAsia="Times New Roman"/>
          <w:szCs w:val="17"/>
        </w:rPr>
        <w:t xml:space="preserve">Describe the potential interference with surface water bodies and natural drainage—e.g. the presence of drainage lines, creeks, floodplains, wetlands—and identify whether the area is within any water protection areas defined under the </w:t>
      </w:r>
      <w:r w:rsidRPr="00E26C8E">
        <w:rPr>
          <w:rFonts w:eastAsia="Times New Roman"/>
          <w:i/>
          <w:szCs w:val="17"/>
        </w:rPr>
        <w:t>River Murray Act 2003</w:t>
      </w:r>
      <w:r w:rsidRPr="00E26C8E">
        <w:rPr>
          <w:rFonts w:eastAsia="Times New Roman"/>
          <w:szCs w:val="17"/>
        </w:rPr>
        <w:t xml:space="preserve">, or any prescribed watercourse, or surface water areas under the </w:t>
      </w:r>
      <w:r w:rsidRPr="00E26C8E">
        <w:rPr>
          <w:rFonts w:eastAsia="Times New Roman"/>
          <w:i/>
          <w:szCs w:val="17"/>
        </w:rPr>
        <w:t>Landscape South Australia Act 2019</w:t>
      </w:r>
      <w:r w:rsidRPr="00E26C8E">
        <w:rPr>
          <w:rFonts w:eastAsia="Times New Roman"/>
          <w:szCs w:val="17"/>
        </w:rPr>
        <w:t>.</w:t>
      </w:r>
    </w:p>
    <w:p w:rsidR="00E26C8E" w:rsidRPr="00E26C8E" w:rsidRDefault="00E26C8E" w:rsidP="00E26C8E">
      <w:pPr>
        <w:spacing w:after="0" w:line="240" w:lineRule="auto"/>
        <w:jc w:val="left"/>
        <w:rPr>
          <w:rFonts w:eastAsia="Times New Roman"/>
          <w:b/>
          <w:szCs w:val="17"/>
        </w:rPr>
      </w:pPr>
      <w:r w:rsidRPr="00E26C8E">
        <w:rPr>
          <w:rFonts w:eastAsia="Times New Roman"/>
          <w:b/>
          <w:szCs w:val="17"/>
        </w:rPr>
        <w:br w:type="page"/>
      </w:r>
    </w:p>
    <w:p w:rsidR="00E26C8E" w:rsidRPr="00E26C8E" w:rsidRDefault="00E26C8E" w:rsidP="00E26C8E">
      <w:pPr>
        <w:spacing w:after="60"/>
        <w:ind w:left="851" w:hanging="425"/>
        <w:rPr>
          <w:rFonts w:eastAsia="Times New Roman"/>
          <w:b/>
          <w:szCs w:val="17"/>
        </w:rPr>
      </w:pPr>
      <w:r w:rsidRPr="00E26C8E">
        <w:rPr>
          <w:rFonts w:eastAsia="Times New Roman"/>
          <w:b/>
          <w:szCs w:val="17"/>
        </w:rPr>
        <w:t>3.7</w:t>
      </w:r>
      <w:r w:rsidRPr="00E26C8E">
        <w:rPr>
          <w:rFonts w:eastAsia="Times New Roman"/>
          <w:b/>
          <w:szCs w:val="17"/>
        </w:rPr>
        <w:tab/>
        <w:t>Groundwater</w:t>
      </w:r>
    </w:p>
    <w:p w:rsidR="00E26C8E" w:rsidRPr="00E26C8E" w:rsidRDefault="00E26C8E" w:rsidP="00E26C8E">
      <w:pPr>
        <w:spacing w:after="60"/>
        <w:ind w:left="851"/>
        <w:rPr>
          <w:rFonts w:eastAsia="Times New Roman"/>
          <w:szCs w:val="17"/>
        </w:rPr>
      </w:pPr>
      <w:r w:rsidRPr="00E26C8E">
        <w:rPr>
          <w:rFonts w:eastAsia="Times New Roman"/>
          <w:szCs w:val="17"/>
        </w:rPr>
        <w:t>Where groundwater is likely to be encountered provide:</w:t>
      </w:r>
    </w:p>
    <w:p w:rsidR="00E26C8E" w:rsidRPr="00E26C8E" w:rsidRDefault="00E26C8E" w:rsidP="00E26C8E">
      <w:pPr>
        <w:spacing w:after="60"/>
        <w:ind w:left="1134" w:hanging="283"/>
        <w:rPr>
          <w:rFonts w:eastAsia="Times New Roman"/>
          <w:szCs w:val="17"/>
        </w:rPr>
      </w:pPr>
      <w:r w:rsidRPr="00E26C8E">
        <w:rPr>
          <w:rFonts w:eastAsia="Times New Roman"/>
          <w:szCs w:val="17"/>
        </w:rPr>
        <w:t>•</w:t>
      </w:r>
      <w:r w:rsidRPr="00E26C8E">
        <w:rPr>
          <w:rFonts w:eastAsia="Times New Roman"/>
          <w:szCs w:val="17"/>
        </w:rPr>
        <w:tab/>
        <w:t>a description of the expected hydrogeological conditions within the exploration area, including:</w:t>
      </w:r>
    </w:p>
    <w:p w:rsidR="00E26C8E" w:rsidRPr="00E26C8E" w:rsidRDefault="00E26C8E" w:rsidP="00E26C8E">
      <w:pPr>
        <w:spacing w:after="60"/>
        <w:ind w:left="1418" w:hanging="284"/>
        <w:rPr>
          <w:rFonts w:eastAsia="Times New Roman"/>
          <w:szCs w:val="17"/>
        </w:rPr>
      </w:pPr>
      <w:r w:rsidRPr="00E26C8E">
        <w:rPr>
          <w:rFonts w:eastAsia="Times New Roman"/>
          <w:szCs w:val="17"/>
        </w:rPr>
        <w:t>◦</w:t>
      </w:r>
      <w:r w:rsidRPr="00E26C8E">
        <w:rPr>
          <w:rFonts w:eastAsia="Times New Roman"/>
          <w:szCs w:val="17"/>
        </w:rPr>
        <w:tab/>
        <w:t>approximate depth of drillholes</w:t>
      </w:r>
    </w:p>
    <w:p w:rsidR="00E26C8E" w:rsidRPr="00E26C8E" w:rsidRDefault="00E26C8E" w:rsidP="00E26C8E">
      <w:pPr>
        <w:spacing w:after="60"/>
        <w:ind w:left="1418" w:hanging="284"/>
        <w:rPr>
          <w:rFonts w:eastAsia="Times New Roman"/>
          <w:szCs w:val="17"/>
        </w:rPr>
      </w:pPr>
      <w:r w:rsidRPr="00E26C8E">
        <w:rPr>
          <w:rFonts w:eastAsia="Times New Roman"/>
          <w:szCs w:val="17"/>
        </w:rPr>
        <w:t>◦</w:t>
      </w:r>
      <w:r w:rsidRPr="00E26C8E">
        <w:rPr>
          <w:rFonts w:eastAsia="Times New Roman"/>
          <w:szCs w:val="17"/>
        </w:rPr>
        <w:tab/>
        <w:t>stratigraphy (including age) and hydrostratigraphy likely to be intersected</w:t>
      </w:r>
    </w:p>
    <w:p w:rsidR="00E26C8E" w:rsidRPr="00E26C8E" w:rsidRDefault="00E26C8E" w:rsidP="00E26C8E">
      <w:pPr>
        <w:spacing w:after="60"/>
        <w:ind w:left="1418" w:hanging="284"/>
        <w:rPr>
          <w:rFonts w:eastAsia="Times New Roman"/>
          <w:szCs w:val="17"/>
        </w:rPr>
      </w:pPr>
      <w:r w:rsidRPr="00E26C8E">
        <w:rPr>
          <w:rFonts w:eastAsia="Times New Roman"/>
          <w:szCs w:val="17"/>
        </w:rPr>
        <w:t>◦</w:t>
      </w:r>
      <w:r w:rsidRPr="00E26C8E">
        <w:rPr>
          <w:rFonts w:eastAsia="Times New Roman"/>
          <w:szCs w:val="17"/>
        </w:rPr>
        <w:tab/>
        <w:t>number, depth and stratigraphic location of aquifers likely to be intersected</w:t>
      </w:r>
    </w:p>
    <w:p w:rsidR="00E26C8E" w:rsidRPr="00E26C8E" w:rsidRDefault="00E26C8E" w:rsidP="00E26C8E">
      <w:pPr>
        <w:spacing w:after="60"/>
        <w:ind w:left="1418" w:hanging="284"/>
        <w:rPr>
          <w:rFonts w:eastAsia="Times New Roman"/>
          <w:szCs w:val="17"/>
        </w:rPr>
      </w:pPr>
      <w:r w:rsidRPr="00E26C8E">
        <w:rPr>
          <w:rFonts w:eastAsia="Times New Roman"/>
          <w:szCs w:val="17"/>
        </w:rPr>
        <w:t>◦</w:t>
      </w:r>
      <w:r w:rsidRPr="00E26C8E">
        <w:rPr>
          <w:rFonts w:eastAsia="Times New Roman"/>
          <w:szCs w:val="17"/>
        </w:rPr>
        <w:tab/>
        <w:t>type of aquifers likely to be intersected—e.g. confined, unconfined, artesian</w:t>
      </w:r>
    </w:p>
    <w:p w:rsidR="00E26C8E" w:rsidRPr="00E26C8E" w:rsidRDefault="00E26C8E" w:rsidP="00E26C8E">
      <w:pPr>
        <w:spacing w:after="60"/>
        <w:ind w:left="1418" w:hanging="284"/>
        <w:rPr>
          <w:rFonts w:eastAsia="Times New Roman"/>
          <w:szCs w:val="17"/>
        </w:rPr>
      </w:pPr>
      <w:r w:rsidRPr="00E26C8E">
        <w:rPr>
          <w:rFonts w:eastAsia="Times New Roman"/>
          <w:szCs w:val="17"/>
        </w:rPr>
        <w:t>◦</w:t>
      </w:r>
      <w:r w:rsidRPr="00E26C8E">
        <w:rPr>
          <w:rFonts w:eastAsia="Times New Roman"/>
          <w:szCs w:val="17"/>
        </w:rPr>
        <w:tab/>
        <w:t>aquifer salinity, standing water level and depth to water level, where possible</w:t>
      </w:r>
    </w:p>
    <w:p w:rsidR="00E26C8E" w:rsidRPr="00E26C8E" w:rsidRDefault="00E26C8E" w:rsidP="00E26C8E">
      <w:pPr>
        <w:spacing w:after="60"/>
        <w:ind w:left="1135" w:hanging="284"/>
        <w:rPr>
          <w:rFonts w:eastAsia="Times New Roman"/>
          <w:szCs w:val="17"/>
        </w:rPr>
      </w:pPr>
      <w:r w:rsidRPr="00E26C8E">
        <w:rPr>
          <w:rFonts w:eastAsia="Times New Roman"/>
          <w:szCs w:val="17"/>
        </w:rPr>
        <w:t>•</w:t>
      </w:r>
      <w:r w:rsidRPr="00E26C8E">
        <w:rPr>
          <w:rFonts w:eastAsia="Times New Roman"/>
          <w:szCs w:val="17"/>
        </w:rPr>
        <w:tab/>
        <w:t>the environmental value of each aquifer present determined according to the current Environment Protection (Water Quality) Policy</w:t>
      </w:r>
    </w:p>
    <w:p w:rsidR="00E26C8E" w:rsidRPr="00E26C8E" w:rsidRDefault="00E26C8E" w:rsidP="00E26C8E">
      <w:pPr>
        <w:spacing w:after="60"/>
        <w:ind w:left="1135" w:hanging="284"/>
        <w:rPr>
          <w:rFonts w:eastAsia="Times New Roman"/>
          <w:szCs w:val="17"/>
        </w:rPr>
      </w:pPr>
      <w:r w:rsidRPr="00E26C8E">
        <w:rPr>
          <w:rFonts w:eastAsia="Times New Roman"/>
          <w:szCs w:val="17"/>
        </w:rPr>
        <w:t>•</w:t>
      </w:r>
      <w:r w:rsidRPr="00E26C8E">
        <w:rPr>
          <w:rFonts w:eastAsia="Times New Roman"/>
          <w:szCs w:val="17"/>
        </w:rPr>
        <w:tab/>
        <w:t>a description of the existence, location and value of all Groundwater Dependent Ecosystems (GDEs) within and immediately surrounding the project area.</w:t>
      </w:r>
    </w:p>
    <w:p w:rsidR="00E26C8E" w:rsidRPr="00E26C8E" w:rsidRDefault="00E26C8E" w:rsidP="00E26C8E">
      <w:pPr>
        <w:spacing w:after="60"/>
        <w:ind w:left="1135" w:hanging="284"/>
        <w:rPr>
          <w:rFonts w:eastAsia="Times New Roman"/>
          <w:szCs w:val="17"/>
        </w:rPr>
      </w:pPr>
      <w:r w:rsidRPr="00E26C8E">
        <w:rPr>
          <w:rFonts w:eastAsia="Times New Roman"/>
          <w:szCs w:val="17"/>
        </w:rPr>
        <w:t>•</w:t>
      </w:r>
      <w:r w:rsidRPr="00E26C8E">
        <w:rPr>
          <w:rFonts w:eastAsia="Times New Roman"/>
          <w:szCs w:val="17"/>
        </w:rPr>
        <w:tab/>
        <w:t xml:space="preserve">a statement describing if the application area is within an area where the water resources are prescribed under the </w:t>
      </w:r>
      <w:r w:rsidRPr="00E26C8E">
        <w:rPr>
          <w:rFonts w:eastAsia="Times New Roman"/>
          <w:i/>
          <w:szCs w:val="17"/>
        </w:rPr>
        <w:t>Landscape South Australia Act 2019</w:t>
      </w:r>
      <w:r w:rsidRPr="00E26C8E">
        <w:rPr>
          <w:rFonts w:eastAsia="Times New Roman"/>
          <w:szCs w:val="17"/>
        </w:rPr>
        <w:t>.</w:t>
      </w:r>
    </w:p>
    <w:p w:rsidR="00E26C8E" w:rsidRPr="00E26C8E" w:rsidRDefault="00E26C8E" w:rsidP="00E26C8E">
      <w:pPr>
        <w:spacing w:after="60"/>
        <w:ind w:left="851"/>
        <w:rPr>
          <w:rFonts w:eastAsia="Times New Roman"/>
          <w:szCs w:val="17"/>
        </w:rPr>
      </w:pPr>
      <w:r w:rsidRPr="00E26C8E">
        <w:rPr>
          <w:rFonts w:eastAsia="Times New Roman"/>
          <w:szCs w:val="17"/>
        </w:rPr>
        <w:t>Where groundwater is not expected to be encountered, provide evidence or any supporting information demonstrating this.</w:t>
      </w:r>
    </w:p>
    <w:p w:rsidR="00E26C8E" w:rsidRPr="00E26C8E" w:rsidRDefault="00E26C8E" w:rsidP="00E26C8E">
      <w:pPr>
        <w:spacing w:after="60"/>
        <w:ind w:left="851" w:hanging="425"/>
        <w:rPr>
          <w:rFonts w:eastAsia="Times New Roman"/>
          <w:b/>
          <w:szCs w:val="17"/>
        </w:rPr>
      </w:pPr>
      <w:r w:rsidRPr="00E26C8E">
        <w:rPr>
          <w:rFonts w:eastAsia="Times New Roman"/>
          <w:b/>
          <w:szCs w:val="17"/>
        </w:rPr>
        <w:t>3.8</w:t>
      </w:r>
      <w:r w:rsidRPr="00E26C8E">
        <w:rPr>
          <w:rFonts w:eastAsia="Times New Roman"/>
          <w:b/>
          <w:szCs w:val="17"/>
        </w:rPr>
        <w:tab/>
        <w:t>Vegetation, weeds, plants and pathogens</w:t>
      </w:r>
    </w:p>
    <w:p w:rsidR="00E26C8E" w:rsidRPr="00E26C8E" w:rsidRDefault="00E26C8E" w:rsidP="00E26C8E">
      <w:pPr>
        <w:spacing w:after="60"/>
        <w:ind w:left="851"/>
        <w:rPr>
          <w:rFonts w:eastAsia="Times New Roman"/>
          <w:szCs w:val="17"/>
        </w:rPr>
      </w:pPr>
      <w:r w:rsidRPr="00E26C8E">
        <w:rPr>
          <w:rFonts w:eastAsia="Times New Roman"/>
          <w:szCs w:val="17"/>
        </w:rPr>
        <w:t>Provide the following information when describing vegetation cover that is likely to be impacted by the proposed exploration operations:</w:t>
      </w:r>
    </w:p>
    <w:p w:rsidR="00E26C8E" w:rsidRPr="00E26C8E" w:rsidRDefault="00E26C8E" w:rsidP="00E26C8E">
      <w:pPr>
        <w:spacing w:after="60"/>
        <w:ind w:left="1134" w:hanging="283"/>
        <w:rPr>
          <w:rFonts w:eastAsia="Times New Roman"/>
          <w:szCs w:val="17"/>
        </w:rPr>
      </w:pPr>
      <w:r w:rsidRPr="00E26C8E">
        <w:rPr>
          <w:rFonts w:eastAsia="Times New Roman"/>
          <w:szCs w:val="17"/>
        </w:rPr>
        <w:t>•</w:t>
      </w:r>
      <w:r w:rsidRPr="00E26C8E">
        <w:rPr>
          <w:rFonts w:eastAsia="Times New Roman"/>
          <w:szCs w:val="17"/>
        </w:rPr>
        <w:tab/>
        <w:t>A description of the formation and structure of vegetation in the area—e.g. woodland, shrubland, grassland.</w:t>
      </w:r>
    </w:p>
    <w:p w:rsidR="00E26C8E" w:rsidRPr="00E26C8E" w:rsidRDefault="00E26C8E" w:rsidP="00E26C8E">
      <w:pPr>
        <w:spacing w:after="60"/>
        <w:ind w:left="1134" w:hanging="283"/>
        <w:rPr>
          <w:rFonts w:eastAsia="Times New Roman"/>
          <w:szCs w:val="17"/>
        </w:rPr>
      </w:pPr>
      <w:r w:rsidRPr="00E26C8E">
        <w:rPr>
          <w:rFonts w:eastAsia="Times New Roman"/>
          <w:szCs w:val="17"/>
        </w:rPr>
        <w:t>•</w:t>
      </w:r>
      <w:r w:rsidRPr="00E26C8E">
        <w:rPr>
          <w:rFonts w:eastAsia="Times New Roman"/>
          <w:szCs w:val="17"/>
        </w:rPr>
        <w:tab/>
        <w:t>A description of existing flora (dominant native and introduced species).</w:t>
      </w:r>
    </w:p>
    <w:p w:rsidR="00E26C8E" w:rsidRPr="00E26C8E" w:rsidRDefault="00E26C8E" w:rsidP="00E26C8E">
      <w:pPr>
        <w:spacing w:after="60"/>
        <w:ind w:left="1134" w:hanging="283"/>
        <w:rPr>
          <w:rFonts w:eastAsia="Times New Roman"/>
          <w:szCs w:val="17"/>
        </w:rPr>
      </w:pPr>
      <w:r w:rsidRPr="00E26C8E">
        <w:rPr>
          <w:rFonts w:eastAsia="Times New Roman"/>
          <w:szCs w:val="17"/>
        </w:rPr>
        <w:t>•</w:t>
      </w:r>
      <w:r w:rsidRPr="00E26C8E">
        <w:rPr>
          <w:rFonts w:eastAsia="Times New Roman"/>
          <w:szCs w:val="17"/>
        </w:rPr>
        <w:tab/>
        <w:t xml:space="preserve">The extent to which the area is affected, or potentially affected by pathogens and weeds—e.g. Phytophthora; Buffel grass </w:t>
      </w:r>
      <w:r w:rsidRPr="00E26C8E">
        <w:rPr>
          <w:rFonts w:eastAsia="Times New Roman"/>
          <w:i/>
          <w:szCs w:val="17"/>
        </w:rPr>
        <w:t>Cenchrus ciliaris</w:t>
      </w:r>
      <w:r w:rsidRPr="00E26C8E">
        <w:rPr>
          <w:rFonts w:eastAsia="Times New Roman"/>
          <w:szCs w:val="17"/>
        </w:rPr>
        <w:t>.</w:t>
      </w:r>
    </w:p>
    <w:p w:rsidR="00E26C8E" w:rsidRPr="00E26C8E" w:rsidRDefault="00E26C8E" w:rsidP="00E26C8E">
      <w:pPr>
        <w:spacing w:after="60"/>
        <w:ind w:left="1134" w:hanging="283"/>
        <w:rPr>
          <w:rFonts w:eastAsia="Times New Roman"/>
          <w:szCs w:val="17"/>
        </w:rPr>
      </w:pPr>
      <w:r w:rsidRPr="00E26C8E">
        <w:rPr>
          <w:rFonts w:eastAsia="Times New Roman"/>
          <w:szCs w:val="17"/>
        </w:rPr>
        <w:t>•</w:t>
      </w:r>
      <w:r w:rsidRPr="00E26C8E">
        <w:rPr>
          <w:rFonts w:eastAsia="Times New Roman"/>
          <w:szCs w:val="17"/>
        </w:rPr>
        <w:tab/>
        <w:t>The presence of significant habitats and any rare, or endangered species located (both federally and state listed) and/or reported to have been identified in the area. Include any known sightings of rare and endangered species on a locality plan/map where possible.</w:t>
      </w:r>
    </w:p>
    <w:p w:rsidR="00E26C8E" w:rsidRPr="00E26C8E" w:rsidRDefault="00E26C8E" w:rsidP="00E26C8E">
      <w:pPr>
        <w:spacing w:after="60"/>
        <w:ind w:left="851" w:hanging="425"/>
        <w:rPr>
          <w:rFonts w:eastAsia="Times New Roman"/>
          <w:b/>
          <w:szCs w:val="17"/>
        </w:rPr>
      </w:pPr>
      <w:r w:rsidRPr="00E26C8E">
        <w:rPr>
          <w:rFonts w:eastAsia="Times New Roman"/>
          <w:b/>
          <w:szCs w:val="17"/>
        </w:rPr>
        <w:t>3.9</w:t>
      </w:r>
      <w:r w:rsidRPr="00E26C8E">
        <w:rPr>
          <w:rFonts w:eastAsia="Times New Roman"/>
          <w:b/>
          <w:szCs w:val="17"/>
        </w:rPr>
        <w:tab/>
        <w:t>Fauna</w:t>
      </w:r>
    </w:p>
    <w:p w:rsidR="00E26C8E" w:rsidRPr="00E26C8E" w:rsidRDefault="00E26C8E" w:rsidP="00E26C8E">
      <w:pPr>
        <w:spacing w:after="60"/>
        <w:ind w:left="851"/>
        <w:rPr>
          <w:rFonts w:eastAsia="Times New Roman"/>
          <w:szCs w:val="17"/>
        </w:rPr>
      </w:pPr>
      <w:r w:rsidRPr="00E26C8E">
        <w:rPr>
          <w:rFonts w:eastAsia="Times New Roman"/>
          <w:szCs w:val="17"/>
        </w:rPr>
        <w:t>Describe the native and feral fauna that may be present in the application area, noting the conservation status, particularly endangered, threatened or feral species. Include known sightings of rare and endangered species on a locality plan/map, where possible.</w:t>
      </w:r>
    </w:p>
    <w:p w:rsidR="00E26C8E" w:rsidRPr="00E26C8E" w:rsidRDefault="00E26C8E" w:rsidP="00E26C8E">
      <w:pPr>
        <w:spacing w:after="60"/>
        <w:ind w:left="851" w:hanging="425"/>
        <w:rPr>
          <w:rFonts w:eastAsia="Times New Roman"/>
          <w:b/>
          <w:szCs w:val="17"/>
        </w:rPr>
      </w:pPr>
      <w:r w:rsidRPr="00E26C8E">
        <w:rPr>
          <w:rFonts w:eastAsia="Times New Roman"/>
          <w:b/>
          <w:szCs w:val="17"/>
        </w:rPr>
        <w:t>3.10</w:t>
      </w:r>
      <w:r w:rsidRPr="00E26C8E">
        <w:rPr>
          <w:rFonts w:eastAsia="Times New Roman"/>
          <w:b/>
          <w:szCs w:val="17"/>
        </w:rPr>
        <w:tab/>
        <w:t>Environmentally sensitive locations</w:t>
      </w:r>
    </w:p>
    <w:p w:rsidR="00E26C8E" w:rsidRPr="00E26C8E" w:rsidRDefault="00E26C8E" w:rsidP="00E26C8E">
      <w:pPr>
        <w:spacing w:after="60"/>
        <w:ind w:left="851"/>
        <w:rPr>
          <w:rFonts w:eastAsia="Times New Roman"/>
          <w:szCs w:val="17"/>
        </w:rPr>
      </w:pPr>
      <w:r w:rsidRPr="00E26C8E">
        <w:rPr>
          <w:rFonts w:eastAsia="Times New Roman"/>
          <w:szCs w:val="17"/>
        </w:rPr>
        <w:t>Detail the following and show on a map (as per clause 9) so that access roads or other activities can be planned and located effectively:</w:t>
      </w:r>
    </w:p>
    <w:p w:rsidR="00E26C8E" w:rsidRPr="00E26C8E" w:rsidRDefault="00E26C8E" w:rsidP="00E26C8E">
      <w:pPr>
        <w:spacing w:after="60"/>
        <w:ind w:left="1134" w:hanging="283"/>
        <w:rPr>
          <w:rFonts w:eastAsia="Times New Roman"/>
          <w:szCs w:val="17"/>
        </w:rPr>
      </w:pPr>
      <w:r w:rsidRPr="00E26C8E">
        <w:rPr>
          <w:rFonts w:eastAsia="Times New Roman"/>
          <w:szCs w:val="17"/>
        </w:rPr>
        <w:t>•</w:t>
      </w:r>
      <w:r w:rsidRPr="00E26C8E">
        <w:rPr>
          <w:rFonts w:eastAsia="Times New Roman"/>
          <w:szCs w:val="17"/>
        </w:rPr>
        <w:tab/>
        <w:t>Any environmentally sensitive locations within, or close to the proposed exploration area—e.g. areas having particular ecological, Aboriginal heritage, state heritage, geological heritage, scientific, aesthetic or conservation value.</w:t>
      </w:r>
    </w:p>
    <w:p w:rsidR="00E26C8E" w:rsidRPr="00E26C8E" w:rsidRDefault="00E26C8E" w:rsidP="00E26C8E">
      <w:pPr>
        <w:spacing w:after="60"/>
        <w:ind w:left="1134" w:hanging="283"/>
        <w:rPr>
          <w:rFonts w:eastAsia="Times New Roman"/>
          <w:szCs w:val="17"/>
        </w:rPr>
      </w:pPr>
      <w:r w:rsidRPr="00E26C8E">
        <w:rPr>
          <w:rFonts w:eastAsia="Times New Roman"/>
          <w:szCs w:val="17"/>
        </w:rPr>
        <w:t>•</w:t>
      </w:r>
      <w:r w:rsidRPr="00E26C8E">
        <w:rPr>
          <w:rFonts w:eastAsia="Times New Roman"/>
          <w:szCs w:val="17"/>
        </w:rPr>
        <w:tab/>
        <w:t>Include a statement concerning whether or not an Aboriginal heritage survey has been conducted by the proponent and if so, the results of the survey.</w:t>
      </w:r>
    </w:p>
    <w:p w:rsidR="00E26C8E" w:rsidRPr="00E26C8E" w:rsidRDefault="00E26C8E" w:rsidP="00E26C8E">
      <w:pPr>
        <w:spacing w:after="60"/>
        <w:ind w:left="1134" w:hanging="283"/>
        <w:rPr>
          <w:rFonts w:eastAsia="Times New Roman"/>
          <w:szCs w:val="17"/>
        </w:rPr>
      </w:pPr>
      <w:r w:rsidRPr="00E26C8E">
        <w:rPr>
          <w:rFonts w:eastAsia="Times New Roman"/>
          <w:szCs w:val="17"/>
        </w:rPr>
        <w:t>•</w:t>
      </w:r>
      <w:r w:rsidRPr="00E26C8E">
        <w:rPr>
          <w:rFonts w:eastAsia="Times New Roman"/>
          <w:szCs w:val="17"/>
        </w:rPr>
        <w:tab/>
        <w:t>The likely effects the proposed program may have on any identified areas of environmental sensitivity.</w:t>
      </w:r>
    </w:p>
    <w:p w:rsidR="00E26C8E" w:rsidRPr="00E26C8E" w:rsidRDefault="00E26C8E" w:rsidP="00E26C8E">
      <w:pPr>
        <w:spacing w:after="60"/>
        <w:ind w:left="284" w:hanging="284"/>
        <w:rPr>
          <w:rFonts w:eastAsia="Times New Roman"/>
          <w:b/>
          <w:szCs w:val="17"/>
        </w:rPr>
      </w:pPr>
      <w:r w:rsidRPr="00E26C8E">
        <w:rPr>
          <w:rFonts w:eastAsia="Times New Roman"/>
          <w:b/>
          <w:szCs w:val="17"/>
        </w:rPr>
        <w:t>4.</w:t>
      </w:r>
      <w:r w:rsidRPr="00E26C8E">
        <w:rPr>
          <w:rFonts w:eastAsia="Times New Roman"/>
          <w:b/>
          <w:szCs w:val="17"/>
        </w:rPr>
        <w:tab/>
        <w:t>DESCRIPTION OF EXPLORATION OPERATIONS (s. 70B(2)(a))</w:t>
      </w:r>
    </w:p>
    <w:p w:rsidR="00E26C8E" w:rsidRPr="00E26C8E" w:rsidRDefault="00E26C8E" w:rsidP="00E26C8E">
      <w:pPr>
        <w:spacing w:after="60"/>
        <w:ind w:left="284"/>
        <w:rPr>
          <w:rFonts w:eastAsia="Times New Roman"/>
          <w:szCs w:val="17"/>
        </w:rPr>
      </w:pPr>
      <w:r w:rsidRPr="00E26C8E">
        <w:rPr>
          <w:rFonts w:eastAsia="Times New Roman"/>
          <w:szCs w:val="17"/>
        </w:rPr>
        <w:t>In specifying the nature and extent of the proposed exploration operations that are proposed in accordance with section 70B(2)(a) of the</w:t>
      </w:r>
      <w:r w:rsidRPr="00E26C8E">
        <w:rPr>
          <w:rFonts w:eastAsia="Times New Roman"/>
          <w:i/>
          <w:szCs w:val="17"/>
        </w:rPr>
        <w:t xml:space="preserve"> Mining Act 1971</w:t>
      </w:r>
      <w:r w:rsidRPr="00E26C8E">
        <w:rPr>
          <w:rFonts w:eastAsia="Times New Roman"/>
          <w:szCs w:val="17"/>
        </w:rPr>
        <w:t>, the Minister determines in accordance with regulation 63(1)(e) of the</w:t>
      </w:r>
      <w:r w:rsidRPr="00E26C8E">
        <w:rPr>
          <w:rFonts w:eastAsia="Times New Roman"/>
          <w:i/>
          <w:szCs w:val="17"/>
        </w:rPr>
        <w:t xml:space="preserve"> Mining Regulations 2020</w:t>
      </w:r>
      <w:r w:rsidRPr="00E26C8E">
        <w:rPr>
          <w:rFonts w:eastAsia="Times New Roman"/>
          <w:szCs w:val="17"/>
        </w:rPr>
        <w:t xml:space="preserve"> that a PEPR must include a description of the proposed operations as set out in these Terms of Reference. Each of the elements listed in clauses 4.1–4.15 must be described only to the extent that they apply to the proposed exploration program.</w:t>
      </w:r>
    </w:p>
    <w:p w:rsidR="00E26C8E" w:rsidRPr="00E26C8E" w:rsidRDefault="00E26C8E" w:rsidP="00E26C8E">
      <w:pPr>
        <w:spacing w:after="60"/>
        <w:ind w:left="709" w:hanging="425"/>
        <w:rPr>
          <w:rFonts w:eastAsia="Times New Roman"/>
          <w:b/>
          <w:szCs w:val="17"/>
        </w:rPr>
      </w:pPr>
      <w:r w:rsidRPr="00E26C8E">
        <w:rPr>
          <w:rFonts w:eastAsia="Times New Roman"/>
          <w:b/>
          <w:szCs w:val="17"/>
        </w:rPr>
        <w:t>4.1</w:t>
      </w:r>
      <w:r w:rsidRPr="00E26C8E">
        <w:rPr>
          <w:rFonts w:eastAsia="Times New Roman"/>
          <w:b/>
          <w:szCs w:val="17"/>
        </w:rPr>
        <w:tab/>
        <w:t>Equipment and personnel requirements</w:t>
      </w:r>
    </w:p>
    <w:p w:rsidR="00E26C8E" w:rsidRPr="00E26C8E" w:rsidRDefault="00E26C8E" w:rsidP="00E26C8E">
      <w:pPr>
        <w:spacing w:after="60"/>
        <w:ind w:left="709"/>
        <w:rPr>
          <w:rFonts w:eastAsia="Times New Roman"/>
          <w:szCs w:val="17"/>
        </w:rPr>
      </w:pPr>
      <w:r w:rsidRPr="00E26C8E">
        <w:rPr>
          <w:rFonts w:eastAsia="Times New Roman"/>
          <w:szCs w:val="17"/>
        </w:rPr>
        <w:t>Describe the equipment (size, number and contractor details), number and composition of field crews (contractors, geologists, field assistants), and proposed working hours/days required to conduct the proposed program.</w:t>
      </w:r>
    </w:p>
    <w:p w:rsidR="00E26C8E" w:rsidRPr="00E26C8E" w:rsidRDefault="00E26C8E" w:rsidP="00E26C8E">
      <w:pPr>
        <w:spacing w:after="60"/>
        <w:ind w:left="709"/>
        <w:rPr>
          <w:rFonts w:eastAsia="Times New Roman"/>
          <w:szCs w:val="17"/>
        </w:rPr>
      </w:pPr>
      <w:r w:rsidRPr="00E26C8E">
        <w:rPr>
          <w:rFonts w:eastAsia="Times New Roman"/>
          <w:szCs w:val="17"/>
        </w:rPr>
        <w:t>For a PEPR approved for a period exceeding 12 months in duration, describe the equipment and personnel required for each activity that may be undertaken.</w:t>
      </w:r>
    </w:p>
    <w:p w:rsidR="00E26C8E" w:rsidRPr="00E26C8E" w:rsidRDefault="00E26C8E" w:rsidP="00E26C8E">
      <w:pPr>
        <w:spacing w:after="60"/>
        <w:ind w:left="709" w:hanging="425"/>
        <w:rPr>
          <w:rFonts w:eastAsia="Times New Roman"/>
          <w:b/>
          <w:szCs w:val="17"/>
        </w:rPr>
      </w:pPr>
      <w:r w:rsidRPr="00E26C8E">
        <w:rPr>
          <w:rFonts w:eastAsia="Times New Roman"/>
          <w:b/>
          <w:szCs w:val="17"/>
        </w:rPr>
        <w:t>4.2</w:t>
      </w:r>
      <w:r w:rsidRPr="00E26C8E">
        <w:rPr>
          <w:rFonts w:eastAsia="Times New Roman"/>
          <w:b/>
          <w:szCs w:val="17"/>
        </w:rPr>
        <w:tab/>
        <w:t>Low impact exploration activities</w:t>
      </w:r>
    </w:p>
    <w:p w:rsidR="00E26C8E" w:rsidRPr="00E26C8E" w:rsidRDefault="00E26C8E" w:rsidP="00E26C8E">
      <w:pPr>
        <w:spacing w:after="60"/>
        <w:ind w:left="709"/>
        <w:rPr>
          <w:rFonts w:eastAsia="Times New Roman"/>
          <w:szCs w:val="17"/>
        </w:rPr>
      </w:pPr>
      <w:r w:rsidRPr="00E26C8E">
        <w:rPr>
          <w:rFonts w:eastAsia="Times New Roman"/>
          <w:szCs w:val="17"/>
        </w:rPr>
        <w:t>Where low impact exploration activities are not covered by the generic PEPR, describe the low impact exploration operations to be conducted during the proposed program.</w:t>
      </w:r>
    </w:p>
    <w:p w:rsidR="00E26C8E" w:rsidRPr="00E26C8E" w:rsidRDefault="00E26C8E" w:rsidP="00E26C8E">
      <w:pPr>
        <w:spacing w:after="60"/>
        <w:ind w:left="709" w:hanging="425"/>
        <w:rPr>
          <w:rFonts w:eastAsia="Times New Roman"/>
          <w:b/>
          <w:szCs w:val="17"/>
        </w:rPr>
      </w:pPr>
      <w:r w:rsidRPr="00E26C8E">
        <w:rPr>
          <w:rFonts w:eastAsia="Times New Roman"/>
          <w:b/>
          <w:szCs w:val="17"/>
        </w:rPr>
        <w:t>4.3</w:t>
      </w:r>
      <w:r w:rsidRPr="00E26C8E">
        <w:rPr>
          <w:rFonts w:eastAsia="Times New Roman"/>
          <w:b/>
          <w:szCs w:val="17"/>
        </w:rPr>
        <w:tab/>
        <w:t>Drilling</w:t>
      </w:r>
    </w:p>
    <w:p w:rsidR="00E26C8E" w:rsidRPr="00E26C8E" w:rsidRDefault="00E26C8E" w:rsidP="00E26C8E">
      <w:pPr>
        <w:spacing w:after="60"/>
        <w:ind w:left="709"/>
        <w:rPr>
          <w:rFonts w:eastAsia="Times New Roman"/>
          <w:szCs w:val="17"/>
        </w:rPr>
      </w:pPr>
      <w:r w:rsidRPr="00E26C8E">
        <w:rPr>
          <w:rFonts w:eastAsia="Times New Roman"/>
          <w:szCs w:val="17"/>
        </w:rPr>
        <w:t>For PEPRs approved for 12 months, indicate the maximum number, location, size and depth of drillholes. Indicate drillsite locations, preparation methods, drilling method(s) and requirements for drilling sumps (number and size of sumps at each drillsite). State whether, excavating, levelling, or vegetation clearance is required. If drill pad construction is required, detail the volume of material to be excavated at each site.</w:t>
      </w:r>
    </w:p>
    <w:p w:rsidR="00E26C8E" w:rsidRPr="00E26C8E" w:rsidRDefault="00E26C8E" w:rsidP="00E26C8E">
      <w:pPr>
        <w:spacing w:after="60"/>
        <w:ind w:left="709"/>
        <w:rPr>
          <w:rFonts w:eastAsia="Times New Roman"/>
          <w:szCs w:val="17"/>
        </w:rPr>
      </w:pPr>
      <w:r w:rsidRPr="00E26C8E">
        <w:rPr>
          <w:rFonts w:eastAsia="Times New Roman"/>
          <w:szCs w:val="17"/>
        </w:rPr>
        <w:t>For PEPRs approved for a period exceeding 12 months in duration, describe in detail all drilling methods that may be used and methods used to prepare sites, including vegetation clearance requirements, site levelling and digging of sumps.</w:t>
      </w:r>
    </w:p>
    <w:p w:rsidR="00E26C8E" w:rsidRPr="00E26C8E" w:rsidRDefault="00E26C8E" w:rsidP="00E26C8E">
      <w:pPr>
        <w:spacing w:after="60"/>
        <w:ind w:left="709"/>
        <w:rPr>
          <w:rFonts w:eastAsia="Times New Roman"/>
          <w:szCs w:val="17"/>
        </w:rPr>
      </w:pPr>
      <w:r w:rsidRPr="00E26C8E">
        <w:rPr>
          <w:rFonts w:eastAsia="Times New Roman"/>
          <w:szCs w:val="17"/>
        </w:rPr>
        <w:t>Describe drillhole construction and decommissioning requirements, including:</w:t>
      </w:r>
    </w:p>
    <w:p w:rsidR="00E26C8E" w:rsidRPr="00E26C8E" w:rsidRDefault="00E26C8E" w:rsidP="00E26C8E">
      <w:pPr>
        <w:spacing w:after="60"/>
        <w:ind w:left="993" w:hanging="284"/>
        <w:rPr>
          <w:rFonts w:eastAsia="Times New Roman"/>
          <w:szCs w:val="17"/>
        </w:rPr>
      </w:pPr>
      <w:r w:rsidRPr="00E26C8E">
        <w:rPr>
          <w:rFonts w:eastAsia="Times New Roman"/>
          <w:szCs w:val="17"/>
        </w:rPr>
        <w:t>•</w:t>
      </w:r>
      <w:r w:rsidRPr="00E26C8E">
        <w:rPr>
          <w:rFonts w:eastAsia="Times New Roman"/>
          <w:szCs w:val="17"/>
        </w:rPr>
        <w:tab/>
        <w:t>during construction, the casing material to be used, depth of casing, if the casing will be cemented, cementing intervals and the class of driller that will install the casing</w:t>
      </w:r>
    </w:p>
    <w:p w:rsidR="00E26C8E" w:rsidRPr="00E26C8E" w:rsidRDefault="00E26C8E" w:rsidP="00E26C8E">
      <w:pPr>
        <w:spacing w:after="60"/>
        <w:ind w:left="993" w:hanging="284"/>
        <w:rPr>
          <w:rFonts w:eastAsia="Times New Roman"/>
          <w:szCs w:val="17"/>
        </w:rPr>
      </w:pPr>
      <w:r w:rsidRPr="00E26C8E">
        <w:rPr>
          <w:rFonts w:eastAsia="Times New Roman"/>
          <w:szCs w:val="17"/>
        </w:rPr>
        <w:t>•</w:t>
      </w:r>
      <w:r w:rsidRPr="00E26C8E">
        <w:rPr>
          <w:rFonts w:eastAsia="Times New Roman"/>
          <w:szCs w:val="17"/>
        </w:rPr>
        <w:tab/>
        <w:t>during decommissioning, the materials to be used, stratigraphic intervals where cement plugs will be placed, if the casing will be removed and when decommissioning will occur after drilling is completed; and</w:t>
      </w:r>
    </w:p>
    <w:p w:rsidR="00E26C8E" w:rsidRPr="00E26C8E" w:rsidRDefault="00E26C8E" w:rsidP="00E26C8E">
      <w:pPr>
        <w:spacing w:after="60"/>
        <w:ind w:left="993" w:hanging="284"/>
        <w:rPr>
          <w:rFonts w:eastAsia="Times New Roman"/>
          <w:szCs w:val="17"/>
        </w:rPr>
      </w:pPr>
      <w:r w:rsidRPr="00E26C8E">
        <w:rPr>
          <w:rFonts w:eastAsia="Times New Roman"/>
          <w:szCs w:val="17"/>
        </w:rPr>
        <w:t>•</w:t>
      </w:r>
      <w:r w:rsidRPr="00E26C8E">
        <w:rPr>
          <w:rFonts w:eastAsia="Times New Roman"/>
          <w:szCs w:val="17"/>
        </w:rPr>
        <w:tab/>
        <w:t>where confined or artesian conditions are expected, include a schematic diagram demonstrating how drillholes will be constructed and decommissioned.</w:t>
      </w:r>
    </w:p>
    <w:p w:rsidR="00E26C8E" w:rsidRPr="00E26C8E" w:rsidRDefault="00E26C8E" w:rsidP="00E26C8E">
      <w:pPr>
        <w:ind w:left="1134" w:hanging="426"/>
        <w:rPr>
          <w:rFonts w:eastAsia="Times New Roman"/>
          <w:sz w:val="16"/>
          <w:szCs w:val="17"/>
        </w:rPr>
      </w:pPr>
      <w:r w:rsidRPr="00E26C8E">
        <w:rPr>
          <w:rFonts w:eastAsia="Times New Roman"/>
          <w:b/>
          <w:i/>
          <w:sz w:val="16"/>
          <w:szCs w:val="17"/>
        </w:rPr>
        <w:t>Note:</w:t>
      </w:r>
      <w:r w:rsidRPr="00E26C8E">
        <w:rPr>
          <w:rFonts w:eastAsia="Times New Roman"/>
          <w:sz w:val="16"/>
          <w:szCs w:val="17"/>
        </w:rPr>
        <w:tab/>
        <w:t>Construction and abandonment requirements for mineral drillholes must be compliant with Mineral exploration drillholes—general specifications for construction and backfilling, Earth Resources Information Sheet M21, available on the DEM Minerals website.</w:t>
      </w:r>
      <w:r w:rsidRPr="00E26C8E">
        <w:rPr>
          <w:rFonts w:eastAsia="Times New Roman"/>
          <w:b/>
          <w:szCs w:val="17"/>
        </w:rPr>
        <w:br w:type="page"/>
      </w:r>
    </w:p>
    <w:p w:rsidR="00E26C8E" w:rsidRPr="00E26C8E" w:rsidRDefault="00E26C8E" w:rsidP="00E26C8E">
      <w:pPr>
        <w:ind w:left="709" w:hanging="425"/>
        <w:rPr>
          <w:rFonts w:eastAsia="Times New Roman"/>
          <w:b/>
          <w:szCs w:val="17"/>
        </w:rPr>
      </w:pPr>
      <w:r w:rsidRPr="00E26C8E">
        <w:rPr>
          <w:rFonts w:eastAsia="Times New Roman"/>
          <w:b/>
          <w:szCs w:val="17"/>
        </w:rPr>
        <w:t>4.4</w:t>
      </w:r>
      <w:r w:rsidRPr="00E26C8E">
        <w:rPr>
          <w:rFonts w:eastAsia="Times New Roman"/>
          <w:b/>
          <w:szCs w:val="17"/>
        </w:rPr>
        <w:tab/>
        <w:t>Costeans and bulk sample disposal pits</w:t>
      </w:r>
    </w:p>
    <w:p w:rsidR="00E26C8E" w:rsidRPr="00E26C8E" w:rsidRDefault="00E26C8E" w:rsidP="00E26C8E">
      <w:pPr>
        <w:ind w:left="709"/>
        <w:rPr>
          <w:rFonts w:eastAsia="Times New Roman"/>
          <w:szCs w:val="17"/>
        </w:rPr>
      </w:pPr>
      <w:r w:rsidRPr="00E26C8E">
        <w:rPr>
          <w:rFonts w:eastAsia="Times New Roman"/>
          <w:szCs w:val="17"/>
        </w:rPr>
        <w:t>For PEPRs approved for 12 months, indicate the number and location, size (length, width and depth), excavation method, and maintenance and safety requirements for proposed costeans or bulk sample disposal pits. State whether vegetation removal is required and include the total area of disturbance.</w:t>
      </w:r>
    </w:p>
    <w:p w:rsidR="00E26C8E" w:rsidRPr="00E26C8E" w:rsidRDefault="00E26C8E" w:rsidP="00E26C8E">
      <w:pPr>
        <w:ind w:left="709"/>
        <w:rPr>
          <w:rFonts w:eastAsia="Times New Roman"/>
          <w:szCs w:val="17"/>
        </w:rPr>
      </w:pPr>
      <w:r w:rsidRPr="00E26C8E">
        <w:rPr>
          <w:rFonts w:eastAsia="Times New Roman"/>
          <w:szCs w:val="17"/>
        </w:rPr>
        <w:t>For PEPRs approved for a period exceeding 12 months in duration, indicate the maximum dimensions (length, width and depth) of costeans or bulk sample disposal pits and describe site preparation methods, vegetation clearance, and safety and maintenance requirements.</w:t>
      </w:r>
    </w:p>
    <w:p w:rsidR="00E26C8E" w:rsidRPr="00E26C8E" w:rsidRDefault="00E26C8E" w:rsidP="00E26C8E">
      <w:pPr>
        <w:ind w:left="709" w:hanging="425"/>
        <w:rPr>
          <w:rFonts w:eastAsia="Times New Roman"/>
          <w:b/>
          <w:szCs w:val="17"/>
        </w:rPr>
      </w:pPr>
      <w:r w:rsidRPr="00E26C8E">
        <w:rPr>
          <w:rFonts w:eastAsia="Times New Roman"/>
          <w:b/>
          <w:szCs w:val="17"/>
        </w:rPr>
        <w:t>4.5</w:t>
      </w:r>
      <w:r w:rsidRPr="00E26C8E">
        <w:rPr>
          <w:rFonts w:eastAsia="Times New Roman"/>
          <w:b/>
          <w:szCs w:val="17"/>
        </w:rPr>
        <w:tab/>
        <w:t>Sample management</w:t>
      </w:r>
    </w:p>
    <w:p w:rsidR="00E26C8E" w:rsidRPr="00E26C8E" w:rsidRDefault="00E26C8E" w:rsidP="00E26C8E">
      <w:pPr>
        <w:ind w:left="709"/>
        <w:rPr>
          <w:rFonts w:eastAsia="Times New Roman"/>
          <w:szCs w:val="17"/>
        </w:rPr>
      </w:pPr>
      <w:r w:rsidRPr="00E26C8E">
        <w:rPr>
          <w:rFonts w:eastAsia="Times New Roman"/>
          <w:szCs w:val="17"/>
        </w:rPr>
        <w:t>Describe the size of samples collected (including bulk sampling), collection methods, materials used when collecting the sample, sample disposal methods (including removal of sample bags) and any other sample management requirements at the exploration site—e.g. tarps or matting used to contain cuttings. Include requirements for on-site geological sample management (splitting of archive samples, bag farms, core processing and storage).</w:t>
      </w:r>
    </w:p>
    <w:p w:rsidR="00E26C8E" w:rsidRPr="00E26C8E" w:rsidRDefault="00E26C8E" w:rsidP="00E26C8E">
      <w:pPr>
        <w:ind w:left="709" w:hanging="425"/>
        <w:rPr>
          <w:rFonts w:eastAsia="Times New Roman"/>
          <w:b/>
          <w:szCs w:val="17"/>
        </w:rPr>
      </w:pPr>
      <w:r w:rsidRPr="00E26C8E">
        <w:rPr>
          <w:rFonts w:eastAsia="Times New Roman"/>
          <w:b/>
          <w:szCs w:val="17"/>
        </w:rPr>
        <w:t>4.6</w:t>
      </w:r>
      <w:r w:rsidRPr="00E26C8E">
        <w:rPr>
          <w:rFonts w:eastAsia="Times New Roman"/>
          <w:b/>
          <w:szCs w:val="17"/>
        </w:rPr>
        <w:tab/>
        <w:t>Access routes to work areas</w:t>
      </w:r>
    </w:p>
    <w:p w:rsidR="00E26C8E" w:rsidRPr="00E26C8E" w:rsidRDefault="00E26C8E" w:rsidP="00E26C8E">
      <w:pPr>
        <w:ind w:left="709"/>
        <w:rPr>
          <w:rFonts w:eastAsia="Times New Roman"/>
          <w:szCs w:val="17"/>
        </w:rPr>
      </w:pPr>
      <w:r w:rsidRPr="00E26C8E">
        <w:rPr>
          <w:rFonts w:eastAsia="Times New Roman"/>
          <w:szCs w:val="17"/>
        </w:rPr>
        <w:t>Indicate planned access routes on a map, as per clause 9, and distinguish between existing and proposed new access tracks. Detail the method for gaining access if existing tracks are not available. Indicate if vegetation clearance is required and the method to be used to clear the vegetation.</w:t>
      </w:r>
    </w:p>
    <w:p w:rsidR="00E26C8E" w:rsidRPr="00E26C8E" w:rsidRDefault="00E26C8E" w:rsidP="00E26C8E">
      <w:pPr>
        <w:ind w:left="709"/>
        <w:rPr>
          <w:rFonts w:eastAsia="Times New Roman"/>
          <w:szCs w:val="17"/>
        </w:rPr>
      </w:pPr>
      <w:r w:rsidRPr="00E26C8E">
        <w:rPr>
          <w:rFonts w:eastAsia="Times New Roman"/>
          <w:szCs w:val="17"/>
        </w:rPr>
        <w:t>For PEPRs requesting a 12-month approved period, include the total area of disturbance for all new access tracks ie length and width.</w:t>
      </w:r>
    </w:p>
    <w:p w:rsidR="00E26C8E" w:rsidRPr="00E26C8E" w:rsidRDefault="00E26C8E" w:rsidP="00E26C8E">
      <w:pPr>
        <w:ind w:left="709" w:hanging="425"/>
        <w:rPr>
          <w:rFonts w:eastAsia="Times New Roman"/>
          <w:b/>
          <w:szCs w:val="17"/>
        </w:rPr>
      </w:pPr>
      <w:r w:rsidRPr="00E26C8E">
        <w:rPr>
          <w:rFonts w:eastAsia="Times New Roman"/>
          <w:b/>
          <w:szCs w:val="17"/>
        </w:rPr>
        <w:t>4.7</w:t>
      </w:r>
      <w:r w:rsidRPr="00E26C8E">
        <w:rPr>
          <w:rFonts w:eastAsia="Times New Roman"/>
          <w:b/>
          <w:szCs w:val="17"/>
        </w:rPr>
        <w:tab/>
        <w:t>Campsites, storage and equipment laydown areas</w:t>
      </w:r>
    </w:p>
    <w:p w:rsidR="00E26C8E" w:rsidRPr="00E26C8E" w:rsidRDefault="00E26C8E" w:rsidP="00E26C8E">
      <w:pPr>
        <w:ind w:left="709"/>
        <w:rPr>
          <w:rFonts w:eastAsia="Times New Roman"/>
          <w:szCs w:val="17"/>
        </w:rPr>
      </w:pPr>
      <w:r w:rsidRPr="00E26C8E">
        <w:rPr>
          <w:rFonts w:eastAsia="Times New Roman"/>
          <w:szCs w:val="17"/>
        </w:rPr>
        <w:t>Describe the layout and the number of facilities such as tents, caravans, transportables, amenities, waste disposal and management procedures, including wastewater and hydrocarbon management. Indicate whether any vegetation clearance and/or earthworks are required and include the total area of disturbance (environmental footprint). For camps, include the maximum number of people that will use the site.</w:t>
      </w:r>
    </w:p>
    <w:p w:rsidR="00E26C8E" w:rsidRPr="00E26C8E" w:rsidRDefault="00E26C8E" w:rsidP="00E26C8E">
      <w:pPr>
        <w:ind w:left="709"/>
        <w:rPr>
          <w:rFonts w:eastAsia="Times New Roman"/>
          <w:szCs w:val="17"/>
        </w:rPr>
      </w:pPr>
      <w:r w:rsidRPr="00E26C8E">
        <w:rPr>
          <w:rFonts w:eastAsia="Times New Roman"/>
          <w:szCs w:val="17"/>
        </w:rPr>
        <w:t>Indicate how the disturbance footprint will be managed to prevent sites/areas from inadvertently increasing in size.</w:t>
      </w:r>
    </w:p>
    <w:p w:rsidR="00E26C8E" w:rsidRPr="00E26C8E" w:rsidRDefault="00E26C8E" w:rsidP="00E26C8E">
      <w:pPr>
        <w:ind w:left="709"/>
        <w:rPr>
          <w:rFonts w:eastAsia="Times New Roman"/>
          <w:szCs w:val="17"/>
        </w:rPr>
      </w:pPr>
      <w:r w:rsidRPr="00E26C8E">
        <w:rPr>
          <w:rFonts w:eastAsia="Times New Roman"/>
          <w:szCs w:val="17"/>
        </w:rPr>
        <w:t>Show the location of laydown areas and campsites on the locality plan, where possible.</w:t>
      </w:r>
    </w:p>
    <w:p w:rsidR="00E26C8E" w:rsidRPr="00E26C8E" w:rsidRDefault="00E26C8E" w:rsidP="00E26C8E">
      <w:pPr>
        <w:ind w:left="709"/>
        <w:rPr>
          <w:rFonts w:eastAsia="Times New Roman"/>
          <w:szCs w:val="17"/>
        </w:rPr>
      </w:pPr>
      <w:r w:rsidRPr="00E26C8E">
        <w:rPr>
          <w:rFonts w:eastAsia="Times New Roman"/>
          <w:szCs w:val="17"/>
        </w:rPr>
        <w:t>Campsites that are outside of the scope defined in the generic PEPR must use wastewater facilities authorised by SA Health. Confirmation of this must be included within the PEPR.</w:t>
      </w:r>
    </w:p>
    <w:p w:rsidR="00E26C8E" w:rsidRPr="00E26C8E" w:rsidRDefault="00E26C8E" w:rsidP="00E26C8E">
      <w:pPr>
        <w:ind w:left="709" w:hanging="425"/>
        <w:rPr>
          <w:rFonts w:eastAsia="Times New Roman"/>
          <w:b/>
          <w:szCs w:val="17"/>
        </w:rPr>
      </w:pPr>
      <w:r w:rsidRPr="00E26C8E">
        <w:rPr>
          <w:rFonts w:eastAsia="Times New Roman"/>
          <w:b/>
          <w:szCs w:val="17"/>
        </w:rPr>
        <w:t>4.8</w:t>
      </w:r>
      <w:r w:rsidRPr="00E26C8E">
        <w:rPr>
          <w:rFonts w:eastAsia="Times New Roman"/>
          <w:b/>
          <w:szCs w:val="17"/>
        </w:rPr>
        <w:tab/>
        <w:t>Other exploration methods and/or ancillary activities</w:t>
      </w:r>
    </w:p>
    <w:p w:rsidR="00E26C8E" w:rsidRPr="00E26C8E" w:rsidRDefault="00E26C8E" w:rsidP="00E26C8E">
      <w:pPr>
        <w:ind w:left="709"/>
        <w:rPr>
          <w:rFonts w:eastAsia="Times New Roman"/>
          <w:szCs w:val="17"/>
        </w:rPr>
      </w:pPr>
      <w:r w:rsidRPr="00E26C8E">
        <w:rPr>
          <w:rFonts w:eastAsia="Times New Roman"/>
          <w:szCs w:val="17"/>
        </w:rPr>
        <w:t>Describe in detail any other proposed exploration methods—e.g. seismic—and/or ancillary exploration activities, including site preparation, vegetation clearance and safety and maintenance requirements.</w:t>
      </w:r>
    </w:p>
    <w:p w:rsidR="00E26C8E" w:rsidRPr="00E26C8E" w:rsidRDefault="00E26C8E" w:rsidP="00E26C8E">
      <w:pPr>
        <w:ind w:left="709" w:hanging="425"/>
        <w:rPr>
          <w:rFonts w:eastAsia="Times New Roman"/>
          <w:b/>
          <w:szCs w:val="17"/>
        </w:rPr>
      </w:pPr>
      <w:r w:rsidRPr="00E26C8E">
        <w:rPr>
          <w:rFonts w:eastAsia="Times New Roman"/>
          <w:b/>
          <w:szCs w:val="17"/>
        </w:rPr>
        <w:t>4.9</w:t>
      </w:r>
      <w:r w:rsidRPr="00E26C8E">
        <w:rPr>
          <w:rFonts w:eastAsia="Times New Roman"/>
          <w:b/>
          <w:szCs w:val="17"/>
        </w:rPr>
        <w:tab/>
        <w:t>Water supply and management</w:t>
      </w:r>
    </w:p>
    <w:p w:rsidR="00E26C8E" w:rsidRPr="00E26C8E" w:rsidRDefault="00E26C8E" w:rsidP="00E26C8E">
      <w:pPr>
        <w:ind w:left="709"/>
        <w:rPr>
          <w:rFonts w:eastAsia="Times New Roman"/>
          <w:szCs w:val="17"/>
        </w:rPr>
      </w:pPr>
      <w:r w:rsidRPr="00E26C8E">
        <w:rPr>
          <w:rFonts w:eastAsia="Times New Roman"/>
          <w:szCs w:val="17"/>
        </w:rPr>
        <w:t>Describe how and where water will be sourced for drilling, track maintenance and camping purposes—e.g. groundwater, surface water, mains. Provide details on the volume of water required and how wastewater or runoff water will be managed.</w:t>
      </w:r>
    </w:p>
    <w:p w:rsidR="00E26C8E" w:rsidRPr="00E26C8E" w:rsidRDefault="00E26C8E" w:rsidP="00E26C8E">
      <w:pPr>
        <w:ind w:left="709" w:hanging="425"/>
        <w:rPr>
          <w:rFonts w:eastAsia="Times New Roman"/>
          <w:b/>
          <w:szCs w:val="17"/>
        </w:rPr>
      </w:pPr>
      <w:r w:rsidRPr="00E26C8E">
        <w:rPr>
          <w:rFonts w:eastAsia="Times New Roman"/>
          <w:b/>
          <w:szCs w:val="17"/>
        </w:rPr>
        <w:t>4.10</w:t>
      </w:r>
      <w:r w:rsidRPr="00E26C8E">
        <w:rPr>
          <w:rFonts w:eastAsia="Times New Roman"/>
          <w:b/>
          <w:szCs w:val="17"/>
        </w:rPr>
        <w:tab/>
        <w:t>Groundwater drilling and investigation activities</w:t>
      </w:r>
    </w:p>
    <w:p w:rsidR="00E26C8E" w:rsidRPr="00E26C8E" w:rsidRDefault="00E26C8E" w:rsidP="00E26C8E">
      <w:pPr>
        <w:ind w:left="709"/>
        <w:rPr>
          <w:rFonts w:eastAsia="Times New Roman"/>
          <w:szCs w:val="17"/>
        </w:rPr>
      </w:pPr>
      <w:r w:rsidRPr="00E26C8E">
        <w:rPr>
          <w:rFonts w:eastAsia="Times New Roman"/>
          <w:szCs w:val="17"/>
        </w:rPr>
        <w:t xml:space="preserve">Describe any proposed water drilling and investigation activities—e.g. pump testing, water monitoring sites, water storage, turkey nests/dams, including site preparation, vegetation clearance, safety and maintenance requirements and permits/licences required in accordance with the </w:t>
      </w:r>
      <w:r w:rsidRPr="00E26C8E">
        <w:rPr>
          <w:rFonts w:eastAsia="Times New Roman"/>
          <w:i/>
          <w:szCs w:val="17"/>
        </w:rPr>
        <w:t>Landscape South Australia Act 2019</w:t>
      </w:r>
      <w:r w:rsidRPr="00E26C8E">
        <w:rPr>
          <w:rFonts w:eastAsia="Times New Roman"/>
          <w:szCs w:val="17"/>
        </w:rPr>
        <w:t>.</w:t>
      </w:r>
    </w:p>
    <w:p w:rsidR="00E26C8E" w:rsidRPr="00E26C8E" w:rsidRDefault="00E26C8E" w:rsidP="00E26C8E">
      <w:pPr>
        <w:ind w:left="709" w:hanging="425"/>
        <w:rPr>
          <w:rFonts w:eastAsia="Times New Roman"/>
          <w:b/>
          <w:szCs w:val="17"/>
        </w:rPr>
      </w:pPr>
      <w:r w:rsidRPr="00E26C8E">
        <w:rPr>
          <w:rFonts w:eastAsia="Times New Roman"/>
          <w:b/>
          <w:szCs w:val="17"/>
        </w:rPr>
        <w:t>4.11</w:t>
      </w:r>
      <w:r w:rsidRPr="00E26C8E">
        <w:rPr>
          <w:rFonts w:eastAsia="Times New Roman"/>
          <w:b/>
          <w:szCs w:val="17"/>
        </w:rPr>
        <w:tab/>
        <w:t>Water affecting activities</w:t>
      </w:r>
    </w:p>
    <w:p w:rsidR="00E26C8E" w:rsidRPr="00E26C8E" w:rsidRDefault="00E26C8E" w:rsidP="00E26C8E">
      <w:pPr>
        <w:ind w:left="709"/>
        <w:rPr>
          <w:rFonts w:eastAsia="Times New Roman"/>
          <w:szCs w:val="17"/>
        </w:rPr>
      </w:pPr>
      <w:r w:rsidRPr="00E26C8E">
        <w:rPr>
          <w:rFonts w:eastAsia="Times New Roman"/>
          <w:szCs w:val="17"/>
        </w:rPr>
        <w:t xml:space="preserve">Indicate if any water affecting activities other than well construction, closure and maintenance activities (refer to s.127 of the </w:t>
      </w:r>
      <w:r w:rsidRPr="00E26C8E">
        <w:rPr>
          <w:rFonts w:eastAsia="Times New Roman"/>
          <w:i/>
          <w:szCs w:val="17"/>
        </w:rPr>
        <w:t>Landscape South Australia Act 2019</w:t>
      </w:r>
      <w:r w:rsidRPr="00E26C8E">
        <w:rPr>
          <w:rFonts w:eastAsia="Times New Roman"/>
          <w:szCs w:val="17"/>
        </w:rPr>
        <w:t>), will be undertaken and whether permits have been obtained. Where water affecting activity permits are required, outline site preparation, vegetation clearance and safety and maintenance requirements.</w:t>
      </w:r>
    </w:p>
    <w:p w:rsidR="00E26C8E" w:rsidRPr="00E26C8E" w:rsidRDefault="00E26C8E" w:rsidP="00E26C8E">
      <w:pPr>
        <w:ind w:left="709" w:hanging="425"/>
        <w:rPr>
          <w:rFonts w:eastAsia="Times New Roman"/>
          <w:b/>
          <w:szCs w:val="17"/>
        </w:rPr>
      </w:pPr>
      <w:r w:rsidRPr="00E26C8E">
        <w:rPr>
          <w:rFonts w:eastAsia="Times New Roman"/>
          <w:b/>
          <w:szCs w:val="17"/>
        </w:rPr>
        <w:t>4.12</w:t>
      </w:r>
      <w:r w:rsidRPr="00E26C8E">
        <w:rPr>
          <w:rFonts w:eastAsia="Times New Roman"/>
          <w:b/>
          <w:szCs w:val="17"/>
        </w:rPr>
        <w:tab/>
        <w:t>Management of hazardous material</w:t>
      </w:r>
    </w:p>
    <w:p w:rsidR="00E26C8E" w:rsidRPr="00E26C8E" w:rsidRDefault="00E26C8E" w:rsidP="00E26C8E">
      <w:pPr>
        <w:ind w:left="709"/>
        <w:rPr>
          <w:rFonts w:eastAsia="Times New Roman"/>
          <w:szCs w:val="17"/>
        </w:rPr>
      </w:pPr>
      <w:r w:rsidRPr="00E26C8E">
        <w:rPr>
          <w:rFonts w:eastAsia="Times New Roman"/>
          <w:szCs w:val="17"/>
        </w:rPr>
        <w:t>Indicate if exploration activities will be conducted in areas of known uranium or thorium mineralisation and identify other hazardous materials that are likely to be encountered.</w:t>
      </w:r>
    </w:p>
    <w:p w:rsidR="00E26C8E" w:rsidRPr="00E26C8E" w:rsidRDefault="00E26C8E" w:rsidP="00E26C8E">
      <w:pPr>
        <w:ind w:left="709"/>
        <w:rPr>
          <w:rFonts w:eastAsia="Times New Roman"/>
          <w:szCs w:val="17"/>
        </w:rPr>
      </w:pPr>
      <w:r w:rsidRPr="00E26C8E">
        <w:rPr>
          <w:rFonts w:eastAsia="Times New Roman"/>
          <w:szCs w:val="17"/>
        </w:rPr>
        <w:t>Where exploration is located within an area of known uranium or thorium mineralisation, a radiation management plan endorsed by the Environment Protection Authority (SA) (EPA) must be submitted to DEM along with the PEPR. Confirmation of EPA endorsement must also be provided as an attachment to the PEPR.</w:t>
      </w:r>
    </w:p>
    <w:p w:rsidR="00E26C8E" w:rsidRPr="00E26C8E" w:rsidRDefault="00E26C8E" w:rsidP="00E26C8E">
      <w:pPr>
        <w:ind w:left="709"/>
        <w:rPr>
          <w:rFonts w:eastAsia="Times New Roman"/>
          <w:szCs w:val="17"/>
        </w:rPr>
      </w:pPr>
      <w:r w:rsidRPr="00E26C8E">
        <w:rPr>
          <w:rFonts w:eastAsia="Times New Roman"/>
          <w:szCs w:val="17"/>
        </w:rPr>
        <w:t>For all other hazardous material identified, provide a plan for how the materials will be managed.</w:t>
      </w:r>
    </w:p>
    <w:p w:rsidR="00E26C8E" w:rsidRPr="00E26C8E" w:rsidRDefault="00E26C8E" w:rsidP="00E26C8E">
      <w:pPr>
        <w:ind w:left="709" w:hanging="425"/>
        <w:rPr>
          <w:rFonts w:eastAsia="Times New Roman"/>
          <w:b/>
          <w:szCs w:val="17"/>
        </w:rPr>
      </w:pPr>
      <w:r w:rsidRPr="00E26C8E">
        <w:rPr>
          <w:rFonts w:eastAsia="Times New Roman"/>
          <w:b/>
          <w:szCs w:val="17"/>
        </w:rPr>
        <w:t>4.13</w:t>
      </w:r>
      <w:r w:rsidRPr="00E26C8E">
        <w:rPr>
          <w:rFonts w:eastAsia="Times New Roman"/>
          <w:b/>
          <w:szCs w:val="17"/>
        </w:rPr>
        <w:tab/>
        <w:t>Vegetation clearance</w:t>
      </w:r>
    </w:p>
    <w:p w:rsidR="00E26C8E" w:rsidRPr="00E26C8E" w:rsidRDefault="00E26C8E" w:rsidP="00E26C8E">
      <w:pPr>
        <w:ind w:left="709"/>
        <w:rPr>
          <w:rFonts w:eastAsia="Times New Roman"/>
          <w:szCs w:val="17"/>
        </w:rPr>
      </w:pPr>
      <w:r w:rsidRPr="00E26C8E">
        <w:rPr>
          <w:rFonts w:eastAsia="Times New Roman"/>
          <w:szCs w:val="17"/>
        </w:rPr>
        <w:t>If the proposed area of native vegetation to be cleared is not rehabilitated within the authorised period (refer to clause 4.15), the following information is required:</w:t>
      </w:r>
    </w:p>
    <w:p w:rsidR="00E26C8E" w:rsidRPr="00E26C8E" w:rsidRDefault="00E26C8E" w:rsidP="00E26C8E">
      <w:pPr>
        <w:ind w:left="993" w:hanging="284"/>
        <w:rPr>
          <w:rFonts w:eastAsia="Times New Roman"/>
          <w:szCs w:val="17"/>
        </w:rPr>
      </w:pPr>
      <w:r w:rsidRPr="00E26C8E">
        <w:rPr>
          <w:rFonts w:eastAsia="Times New Roman"/>
          <w:szCs w:val="17"/>
        </w:rPr>
        <w:t>•</w:t>
      </w:r>
      <w:r w:rsidRPr="00E26C8E">
        <w:rPr>
          <w:rFonts w:eastAsia="Times New Roman"/>
          <w:szCs w:val="17"/>
        </w:rPr>
        <w:tab/>
        <w:t>A map (as per clause 9) and description of the vegetation present in the application area.</w:t>
      </w:r>
    </w:p>
    <w:p w:rsidR="00E26C8E" w:rsidRPr="00E26C8E" w:rsidRDefault="00E26C8E" w:rsidP="00E26C8E">
      <w:pPr>
        <w:ind w:left="993" w:hanging="284"/>
        <w:rPr>
          <w:rFonts w:eastAsia="Times New Roman"/>
          <w:szCs w:val="17"/>
        </w:rPr>
      </w:pPr>
      <w:r w:rsidRPr="00E26C8E">
        <w:rPr>
          <w:rFonts w:eastAsia="Times New Roman"/>
          <w:szCs w:val="17"/>
        </w:rPr>
        <w:t>•</w:t>
      </w:r>
      <w:r w:rsidRPr="00E26C8E">
        <w:rPr>
          <w:rFonts w:eastAsia="Times New Roman"/>
          <w:szCs w:val="17"/>
        </w:rPr>
        <w:tab/>
        <w:t>The extent of any proposed vegetation clearance.</w:t>
      </w:r>
    </w:p>
    <w:p w:rsidR="00E26C8E" w:rsidRPr="00E26C8E" w:rsidRDefault="00E26C8E" w:rsidP="00E26C8E">
      <w:pPr>
        <w:ind w:left="993" w:hanging="284"/>
        <w:rPr>
          <w:rFonts w:eastAsia="Times New Roman"/>
          <w:szCs w:val="17"/>
        </w:rPr>
      </w:pPr>
      <w:r w:rsidRPr="00E26C8E">
        <w:rPr>
          <w:rFonts w:eastAsia="Times New Roman"/>
          <w:szCs w:val="17"/>
        </w:rPr>
        <w:t>•</w:t>
      </w:r>
      <w:r w:rsidRPr="00E26C8E">
        <w:rPr>
          <w:rFonts w:eastAsia="Times New Roman"/>
          <w:szCs w:val="17"/>
        </w:rPr>
        <w:tab/>
        <w:t>The likelihood of the presence of threatened flora.</w:t>
      </w:r>
    </w:p>
    <w:p w:rsidR="00E26C8E" w:rsidRPr="00E26C8E" w:rsidRDefault="00E26C8E" w:rsidP="00E26C8E">
      <w:pPr>
        <w:ind w:left="709"/>
        <w:rPr>
          <w:rFonts w:eastAsia="Times New Roman"/>
          <w:szCs w:val="17"/>
        </w:rPr>
      </w:pPr>
      <w:r w:rsidRPr="00E26C8E">
        <w:rPr>
          <w:rFonts w:eastAsia="Times New Roman"/>
          <w:szCs w:val="17"/>
        </w:rPr>
        <w:t>State the estimated quantum of significant environmental benefit (SEB) to be gained in exchange for the proposed native vegetation clearance and describe how the SEB will be provided.</w:t>
      </w:r>
    </w:p>
    <w:p w:rsidR="00E26C8E" w:rsidRPr="00E26C8E" w:rsidRDefault="00E26C8E" w:rsidP="00E26C8E">
      <w:pPr>
        <w:ind w:left="709" w:hanging="425"/>
        <w:rPr>
          <w:rFonts w:eastAsia="Times New Roman"/>
          <w:b/>
          <w:szCs w:val="17"/>
        </w:rPr>
      </w:pPr>
      <w:r w:rsidRPr="00E26C8E">
        <w:rPr>
          <w:rFonts w:eastAsia="Times New Roman"/>
          <w:b/>
          <w:szCs w:val="17"/>
        </w:rPr>
        <w:t>4.14</w:t>
      </w:r>
      <w:r w:rsidRPr="00E26C8E">
        <w:rPr>
          <w:rFonts w:eastAsia="Times New Roman"/>
          <w:b/>
          <w:szCs w:val="17"/>
        </w:rPr>
        <w:tab/>
        <w:t>Duration of Operations</w:t>
      </w:r>
    </w:p>
    <w:p w:rsidR="00E26C8E" w:rsidRPr="00E26C8E" w:rsidRDefault="00E26C8E" w:rsidP="00E26C8E">
      <w:pPr>
        <w:ind w:left="709"/>
        <w:rPr>
          <w:rFonts w:eastAsia="Times New Roman"/>
          <w:szCs w:val="17"/>
        </w:rPr>
      </w:pPr>
      <w:r w:rsidRPr="00E26C8E">
        <w:rPr>
          <w:rFonts w:eastAsia="Times New Roman"/>
          <w:szCs w:val="17"/>
        </w:rPr>
        <w:t>Detail the expected duration of the proposed exploration operations. Specifically, indicate:</w:t>
      </w:r>
    </w:p>
    <w:p w:rsidR="00E26C8E" w:rsidRPr="00E26C8E" w:rsidRDefault="00E26C8E" w:rsidP="00E26C8E">
      <w:pPr>
        <w:ind w:left="993" w:hanging="284"/>
        <w:rPr>
          <w:rFonts w:eastAsia="Times New Roman"/>
          <w:szCs w:val="17"/>
        </w:rPr>
      </w:pPr>
      <w:r w:rsidRPr="00E26C8E">
        <w:rPr>
          <w:rFonts w:eastAsia="Times New Roman"/>
          <w:szCs w:val="17"/>
        </w:rPr>
        <w:t>•</w:t>
      </w:r>
      <w:r w:rsidRPr="00E26C8E">
        <w:rPr>
          <w:rFonts w:eastAsia="Times New Roman"/>
          <w:szCs w:val="17"/>
        </w:rPr>
        <w:tab/>
        <w:t>whether the exploration operations are proposed to be undertaken within 12 months, or are proposed to exceed 12 months*; and</w:t>
      </w:r>
    </w:p>
    <w:p w:rsidR="00E26C8E" w:rsidRPr="00E26C8E" w:rsidRDefault="00E26C8E" w:rsidP="00E26C8E">
      <w:pPr>
        <w:ind w:left="993" w:hanging="284"/>
        <w:rPr>
          <w:rFonts w:eastAsia="Times New Roman"/>
          <w:szCs w:val="17"/>
        </w:rPr>
      </w:pPr>
      <w:r w:rsidRPr="00E26C8E">
        <w:rPr>
          <w:rFonts w:eastAsia="Times New Roman"/>
          <w:szCs w:val="17"/>
        </w:rPr>
        <w:t>•</w:t>
      </w:r>
      <w:r w:rsidRPr="00E26C8E">
        <w:rPr>
          <w:rFonts w:eastAsia="Times New Roman"/>
          <w:szCs w:val="17"/>
        </w:rPr>
        <w:tab/>
        <w:t>the duration of rehabilitation operations in accordance with clause 4.15.</w:t>
      </w:r>
    </w:p>
    <w:p w:rsidR="00E26C8E" w:rsidRPr="00E26C8E" w:rsidRDefault="00E26C8E" w:rsidP="00E26C8E">
      <w:pPr>
        <w:ind w:left="851" w:hanging="142"/>
        <w:rPr>
          <w:rFonts w:eastAsia="Times New Roman"/>
          <w:szCs w:val="17"/>
        </w:rPr>
      </w:pPr>
      <w:r w:rsidRPr="00E26C8E">
        <w:rPr>
          <w:rFonts w:eastAsia="Times New Roman"/>
          <w:szCs w:val="17"/>
        </w:rPr>
        <w:t>*</w:t>
      </w:r>
      <w:r w:rsidRPr="00E26C8E">
        <w:rPr>
          <w:rFonts w:eastAsia="Times New Roman"/>
          <w:szCs w:val="17"/>
        </w:rPr>
        <w:tab/>
        <w:t>Where exploration operations are proposed to exceed 12 months, the Minister will impose a standard condition when approving the PEPR to require a program notification.</w:t>
      </w:r>
    </w:p>
    <w:p w:rsidR="00E26C8E" w:rsidRPr="00E26C8E" w:rsidRDefault="00E26C8E" w:rsidP="00E26C8E">
      <w:pPr>
        <w:spacing w:after="0" w:line="240" w:lineRule="auto"/>
        <w:jc w:val="left"/>
        <w:rPr>
          <w:rFonts w:eastAsia="Times New Roman"/>
          <w:b/>
          <w:szCs w:val="17"/>
        </w:rPr>
      </w:pPr>
      <w:r w:rsidRPr="00E26C8E">
        <w:rPr>
          <w:rFonts w:eastAsia="Times New Roman"/>
          <w:b/>
          <w:szCs w:val="17"/>
        </w:rPr>
        <w:br w:type="page"/>
      </w:r>
    </w:p>
    <w:p w:rsidR="00E26C8E" w:rsidRPr="00E26C8E" w:rsidRDefault="00E26C8E" w:rsidP="00E26C8E">
      <w:pPr>
        <w:ind w:left="709" w:hanging="425"/>
        <w:rPr>
          <w:rFonts w:eastAsia="Times New Roman"/>
          <w:b/>
          <w:szCs w:val="17"/>
        </w:rPr>
      </w:pPr>
      <w:r w:rsidRPr="00E26C8E">
        <w:rPr>
          <w:rFonts w:eastAsia="Times New Roman"/>
          <w:b/>
          <w:szCs w:val="17"/>
        </w:rPr>
        <w:t>4.15</w:t>
      </w:r>
      <w:r w:rsidRPr="00E26C8E">
        <w:rPr>
          <w:rFonts w:eastAsia="Times New Roman"/>
          <w:b/>
          <w:szCs w:val="17"/>
        </w:rPr>
        <w:tab/>
        <w:t>Rehabilitation</w:t>
      </w:r>
    </w:p>
    <w:p w:rsidR="00E26C8E" w:rsidRPr="00E26C8E" w:rsidRDefault="00E26C8E" w:rsidP="00E26C8E">
      <w:pPr>
        <w:ind w:left="709"/>
        <w:rPr>
          <w:rFonts w:eastAsia="Times New Roman"/>
          <w:szCs w:val="17"/>
        </w:rPr>
      </w:pPr>
      <w:r w:rsidRPr="00E26C8E">
        <w:rPr>
          <w:rFonts w:eastAsia="Times New Roman"/>
          <w:szCs w:val="17"/>
        </w:rPr>
        <w:t>Detail all the activities and strategies relating to the remediation of all impacts associated with the proposed exploration operations.</w:t>
      </w:r>
    </w:p>
    <w:p w:rsidR="00E26C8E" w:rsidRPr="00E26C8E" w:rsidRDefault="00E26C8E" w:rsidP="00E26C8E">
      <w:pPr>
        <w:ind w:left="709"/>
        <w:rPr>
          <w:rFonts w:eastAsia="Times New Roman"/>
          <w:szCs w:val="17"/>
        </w:rPr>
      </w:pPr>
      <w:r w:rsidRPr="00E26C8E">
        <w:rPr>
          <w:rFonts w:eastAsia="Times New Roman"/>
          <w:szCs w:val="17"/>
        </w:rPr>
        <w:t>Completion of rehabilitation must be achieved within 3 months after the expiry of the 12-month proposed exploration operations and 3 months after the expiry of the program notification for PEPRs with an approval exceeding 12 months in duration (the Minister will impose a standard condition when approving the PEPR to require a program notification).</w:t>
      </w:r>
    </w:p>
    <w:p w:rsidR="00E26C8E" w:rsidRPr="00E26C8E" w:rsidRDefault="00E26C8E" w:rsidP="00E26C8E">
      <w:pPr>
        <w:ind w:left="284" w:hanging="284"/>
        <w:rPr>
          <w:rFonts w:eastAsia="Times New Roman"/>
          <w:b/>
          <w:szCs w:val="17"/>
        </w:rPr>
      </w:pPr>
      <w:r w:rsidRPr="00E26C8E">
        <w:rPr>
          <w:rFonts w:eastAsia="Times New Roman"/>
          <w:b/>
          <w:szCs w:val="17"/>
        </w:rPr>
        <w:t>5.</w:t>
      </w:r>
      <w:r w:rsidRPr="00E26C8E">
        <w:rPr>
          <w:rFonts w:eastAsia="Times New Roman"/>
          <w:b/>
          <w:szCs w:val="17"/>
        </w:rPr>
        <w:tab/>
        <w:t>RETENTION LEASES</w:t>
      </w:r>
    </w:p>
    <w:p w:rsidR="00E26C8E" w:rsidRPr="00E26C8E" w:rsidRDefault="00E26C8E" w:rsidP="00E26C8E">
      <w:pPr>
        <w:ind w:left="284"/>
        <w:rPr>
          <w:rFonts w:eastAsia="Times New Roman"/>
          <w:szCs w:val="17"/>
        </w:rPr>
      </w:pPr>
      <w:r w:rsidRPr="00E26C8E">
        <w:rPr>
          <w:rFonts w:eastAsia="Times New Roman"/>
          <w:szCs w:val="17"/>
        </w:rPr>
        <w:t>Where the terms and conditions of an RL include environmental outcomes, the Minister determines for the purposes of regulation 63(1)(a) that a PEPR proposing exploration operations on an RL must demonstrate where the environmental outcomes have been addressed in the PEPR (if relevant), or demonstrate how otherwise they have, or will be complied with.</w:t>
      </w:r>
    </w:p>
    <w:p w:rsidR="00E26C8E" w:rsidRPr="00E26C8E" w:rsidRDefault="00E26C8E" w:rsidP="00E26C8E">
      <w:pPr>
        <w:ind w:left="284"/>
        <w:rPr>
          <w:rFonts w:eastAsia="Times New Roman"/>
          <w:szCs w:val="17"/>
        </w:rPr>
      </w:pPr>
      <w:r w:rsidRPr="00E26C8E">
        <w:rPr>
          <w:rFonts w:eastAsia="Times New Roman"/>
          <w:szCs w:val="17"/>
        </w:rPr>
        <w:t>Where the terms and conditions of an RL do not include environmental outcomes, the Minister determines for the purposes of regulation 63(1)(a) that a PEPR proposing exploration operations on an RL must include a description of the environmental impacts that may reasonably be expected to occur in accordance with regulation 63(1)(a)(i) of the</w:t>
      </w:r>
      <w:r w:rsidRPr="00E26C8E">
        <w:rPr>
          <w:rFonts w:eastAsia="Times New Roman"/>
          <w:i/>
          <w:szCs w:val="17"/>
        </w:rPr>
        <w:t xml:space="preserve"> Mining Regulations 2020</w:t>
      </w:r>
      <w:r w:rsidRPr="00E26C8E">
        <w:rPr>
          <w:rFonts w:eastAsia="Times New Roman"/>
          <w:szCs w:val="17"/>
        </w:rPr>
        <w:t xml:space="preserve"> and as set out in these Terms of Reference.</w:t>
      </w:r>
    </w:p>
    <w:p w:rsidR="00E26C8E" w:rsidRPr="00E26C8E" w:rsidRDefault="00E26C8E" w:rsidP="00E26C8E">
      <w:pPr>
        <w:ind w:left="284" w:hanging="284"/>
        <w:rPr>
          <w:rFonts w:eastAsia="Times New Roman"/>
          <w:b/>
          <w:szCs w:val="17"/>
        </w:rPr>
      </w:pPr>
      <w:r w:rsidRPr="00E26C8E">
        <w:rPr>
          <w:rFonts w:eastAsia="Times New Roman"/>
          <w:b/>
          <w:szCs w:val="17"/>
        </w:rPr>
        <w:t>6.</w:t>
      </w:r>
      <w:r w:rsidRPr="00E26C8E">
        <w:rPr>
          <w:rFonts w:eastAsia="Times New Roman"/>
          <w:b/>
          <w:szCs w:val="17"/>
        </w:rPr>
        <w:tab/>
        <w:t>MANAGEMENT OF ENVIRONMENTAL IMPACTS</w:t>
      </w:r>
    </w:p>
    <w:p w:rsidR="00E26C8E" w:rsidRPr="00E26C8E" w:rsidRDefault="00E26C8E" w:rsidP="00E26C8E">
      <w:pPr>
        <w:ind w:left="284"/>
        <w:rPr>
          <w:rFonts w:eastAsia="Times New Roman"/>
          <w:szCs w:val="17"/>
        </w:rPr>
      </w:pPr>
      <w:r w:rsidRPr="00E26C8E">
        <w:rPr>
          <w:rFonts w:eastAsia="Times New Roman"/>
          <w:szCs w:val="17"/>
        </w:rPr>
        <w:t>The applicant is required to conduct an impact assessment to identify all of the potential environmental, social and economic impact events that are likely to occur as a result of the proposed exploration operations, how each of the identified impacts will be managed, and the residual risk, i.e. the level of risk remaining after implementing control and management strategies. Identified potential impact events should be developed based on the aspects of the environment that may be impacted on and the proposed operational details.</w:t>
      </w:r>
    </w:p>
    <w:p w:rsidR="00E26C8E" w:rsidRPr="00E26C8E" w:rsidRDefault="00E26C8E" w:rsidP="00E26C8E">
      <w:pPr>
        <w:ind w:left="709" w:hanging="425"/>
        <w:rPr>
          <w:rFonts w:eastAsia="Times New Roman"/>
          <w:b/>
          <w:szCs w:val="17"/>
        </w:rPr>
      </w:pPr>
      <w:r w:rsidRPr="00E26C8E">
        <w:rPr>
          <w:rFonts w:eastAsia="Times New Roman"/>
          <w:b/>
          <w:szCs w:val="17"/>
        </w:rPr>
        <w:t>6.1</w:t>
      </w:r>
      <w:r w:rsidRPr="00E26C8E">
        <w:rPr>
          <w:rFonts w:eastAsia="Times New Roman"/>
          <w:b/>
          <w:szCs w:val="17"/>
        </w:rPr>
        <w:tab/>
        <w:t>Assessment of environmental impacts</w:t>
      </w:r>
    </w:p>
    <w:p w:rsidR="00E26C8E" w:rsidRPr="00E26C8E" w:rsidRDefault="00E26C8E" w:rsidP="00E26C8E">
      <w:pPr>
        <w:ind w:left="709"/>
        <w:rPr>
          <w:rFonts w:eastAsia="Times New Roman"/>
          <w:szCs w:val="17"/>
        </w:rPr>
      </w:pPr>
      <w:r w:rsidRPr="00E26C8E">
        <w:rPr>
          <w:rFonts w:eastAsia="Times New Roman"/>
          <w:szCs w:val="17"/>
        </w:rPr>
        <w:t>In setting out an assessment of the environmental impacts of the proposed authorised operations in accordance with regulation 63(1)(a)(ii) of the</w:t>
      </w:r>
      <w:r w:rsidRPr="00E26C8E">
        <w:rPr>
          <w:rFonts w:eastAsia="Times New Roman"/>
          <w:i/>
          <w:szCs w:val="17"/>
        </w:rPr>
        <w:t xml:space="preserve"> Mining Regulations 2020</w:t>
      </w:r>
      <w:r w:rsidRPr="00E26C8E">
        <w:rPr>
          <w:rFonts w:eastAsia="Times New Roman"/>
          <w:szCs w:val="17"/>
        </w:rPr>
        <w:t>, the Minister determines in accordance with regulation 63(e) of the</w:t>
      </w:r>
      <w:r w:rsidRPr="00E26C8E">
        <w:rPr>
          <w:rFonts w:eastAsia="Times New Roman"/>
          <w:i/>
          <w:szCs w:val="17"/>
        </w:rPr>
        <w:t xml:space="preserve"> Mining Regulations 2020</w:t>
      </w:r>
      <w:r w:rsidRPr="00E26C8E">
        <w:rPr>
          <w:rFonts w:eastAsia="Times New Roman"/>
          <w:szCs w:val="17"/>
        </w:rPr>
        <w:t xml:space="preserve"> that a PEPR must include information as set out in these Terms of Reference.</w:t>
      </w:r>
    </w:p>
    <w:p w:rsidR="00E26C8E" w:rsidRPr="00E26C8E" w:rsidRDefault="00E26C8E" w:rsidP="00E26C8E">
      <w:pPr>
        <w:ind w:left="709"/>
        <w:rPr>
          <w:rFonts w:eastAsia="Times New Roman"/>
          <w:szCs w:val="17"/>
        </w:rPr>
      </w:pPr>
      <w:r w:rsidRPr="00E26C8E">
        <w:rPr>
          <w:rFonts w:eastAsia="Times New Roman"/>
          <w:szCs w:val="17"/>
        </w:rPr>
        <w:t>The assessment must identify the actual and/or credible potential impact events associated with the proposed mineral exploration program based on the environment components identified in clause 3 (the environment is defined in Section 6(4) of the</w:t>
      </w:r>
      <w:r w:rsidRPr="00E26C8E">
        <w:rPr>
          <w:rFonts w:eastAsia="Times New Roman"/>
          <w:i/>
          <w:szCs w:val="17"/>
        </w:rPr>
        <w:t xml:space="preserve"> Mining Act 1971</w:t>
      </w:r>
      <w:r w:rsidRPr="00E26C8E">
        <w:rPr>
          <w:rFonts w:eastAsia="Times New Roman"/>
          <w:szCs w:val="17"/>
        </w:rPr>
        <w:t>) and proposed exploration operations described in Section 4.</w:t>
      </w:r>
    </w:p>
    <w:p w:rsidR="00E26C8E" w:rsidRPr="00E26C8E" w:rsidRDefault="00E26C8E" w:rsidP="00E26C8E">
      <w:pPr>
        <w:ind w:left="709"/>
        <w:rPr>
          <w:rFonts w:eastAsia="Times New Roman"/>
          <w:szCs w:val="17"/>
        </w:rPr>
      </w:pPr>
      <w:r w:rsidRPr="00E26C8E">
        <w:rPr>
          <w:rFonts w:eastAsia="Times New Roman"/>
          <w:szCs w:val="17"/>
        </w:rPr>
        <w:t>The impact event analysis should take into account the:</w:t>
      </w:r>
    </w:p>
    <w:p w:rsidR="00E26C8E" w:rsidRPr="00E26C8E" w:rsidRDefault="00E26C8E" w:rsidP="00E26C8E">
      <w:pPr>
        <w:ind w:left="993" w:hanging="284"/>
        <w:rPr>
          <w:rFonts w:eastAsia="Times New Roman"/>
          <w:szCs w:val="17"/>
        </w:rPr>
      </w:pPr>
      <w:r w:rsidRPr="00E26C8E">
        <w:rPr>
          <w:rFonts w:eastAsia="Times New Roman"/>
          <w:szCs w:val="17"/>
        </w:rPr>
        <w:t>•</w:t>
      </w:r>
      <w:r w:rsidRPr="00E26C8E">
        <w:rPr>
          <w:rFonts w:eastAsia="Times New Roman"/>
          <w:szCs w:val="17"/>
        </w:rPr>
        <w:tab/>
        <w:t>source—the source of the potential impact event which alone, or in combination, has the potential to cause harm to an environmental receptor</w:t>
      </w:r>
    </w:p>
    <w:p w:rsidR="00E26C8E" w:rsidRPr="00E26C8E" w:rsidRDefault="00E26C8E" w:rsidP="00E26C8E">
      <w:pPr>
        <w:ind w:left="993" w:hanging="284"/>
        <w:rPr>
          <w:rFonts w:eastAsia="Times New Roman"/>
          <w:szCs w:val="17"/>
        </w:rPr>
      </w:pPr>
      <w:r w:rsidRPr="00E26C8E">
        <w:rPr>
          <w:rFonts w:eastAsia="Times New Roman"/>
          <w:szCs w:val="17"/>
        </w:rPr>
        <w:t>•</w:t>
      </w:r>
      <w:r w:rsidRPr="00E26C8E">
        <w:rPr>
          <w:rFonts w:eastAsia="Times New Roman"/>
          <w:szCs w:val="17"/>
        </w:rPr>
        <w:tab/>
        <w:t>pathway—the potential pathway, means or route (with consideration of any natural barriers) by which an identified environmental receptor can be exposed to, or may reasonably be expected to be affected by an identified source</w:t>
      </w:r>
    </w:p>
    <w:p w:rsidR="00E26C8E" w:rsidRPr="00E26C8E" w:rsidRDefault="00E26C8E" w:rsidP="00E26C8E">
      <w:pPr>
        <w:ind w:left="993" w:hanging="284"/>
        <w:rPr>
          <w:rFonts w:eastAsia="Times New Roman"/>
          <w:szCs w:val="17"/>
        </w:rPr>
      </w:pPr>
      <w:r w:rsidRPr="00E26C8E">
        <w:rPr>
          <w:rFonts w:eastAsia="Times New Roman"/>
          <w:szCs w:val="17"/>
        </w:rPr>
        <w:t>•</w:t>
      </w:r>
      <w:r w:rsidRPr="00E26C8E">
        <w:rPr>
          <w:rFonts w:eastAsia="Times New Roman"/>
          <w:szCs w:val="17"/>
        </w:rPr>
        <w:tab/>
        <w:t>environmental receptor—the environmental receptors that may reasonably be expected to be adversely affected by the source, taking into account considerations for the aspect of the environment i.e. who, or what could be affected</w:t>
      </w:r>
    </w:p>
    <w:p w:rsidR="00E26C8E" w:rsidRPr="00E26C8E" w:rsidRDefault="00E26C8E" w:rsidP="00E26C8E">
      <w:pPr>
        <w:ind w:left="993" w:hanging="284"/>
        <w:rPr>
          <w:rFonts w:eastAsia="Times New Roman"/>
          <w:szCs w:val="17"/>
        </w:rPr>
      </w:pPr>
      <w:r w:rsidRPr="00E26C8E">
        <w:rPr>
          <w:rFonts w:eastAsia="Times New Roman"/>
          <w:szCs w:val="17"/>
        </w:rPr>
        <w:t>•</w:t>
      </w:r>
      <w:r w:rsidRPr="00E26C8E">
        <w:rPr>
          <w:rFonts w:eastAsia="Times New Roman"/>
          <w:szCs w:val="17"/>
        </w:rPr>
        <w:tab/>
        <w:t>impact likelihood and consequences</w:t>
      </w:r>
    </w:p>
    <w:p w:rsidR="00E26C8E" w:rsidRPr="00E26C8E" w:rsidRDefault="00E26C8E" w:rsidP="00E26C8E">
      <w:pPr>
        <w:ind w:left="993" w:hanging="284"/>
        <w:rPr>
          <w:rFonts w:eastAsia="Times New Roman"/>
          <w:szCs w:val="17"/>
        </w:rPr>
      </w:pPr>
      <w:r w:rsidRPr="00E26C8E">
        <w:rPr>
          <w:rFonts w:eastAsia="Times New Roman"/>
          <w:szCs w:val="17"/>
        </w:rPr>
        <w:t>•</w:t>
      </w:r>
      <w:r w:rsidRPr="00E26C8E">
        <w:rPr>
          <w:rFonts w:eastAsia="Times New Roman"/>
          <w:szCs w:val="17"/>
        </w:rPr>
        <w:tab/>
        <w:t>description of uncertainty - describe any significant degree of uncertainty pertaining to the evaluation of sources, pathways and environmental receptors, including (but not limited to) lack of site specific information, limitations on modelling and quality of data. Describe any assumptions connected with the identified uncertainty.</w:t>
      </w:r>
    </w:p>
    <w:p w:rsidR="00E26C8E" w:rsidRPr="00E26C8E" w:rsidRDefault="00E26C8E" w:rsidP="00E26C8E">
      <w:pPr>
        <w:ind w:left="709"/>
        <w:rPr>
          <w:rFonts w:eastAsia="Times New Roman"/>
          <w:szCs w:val="17"/>
        </w:rPr>
      </w:pPr>
      <w:r w:rsidRPr="00E26C8E">
        <w:rPr>
          <w:rFonts w:eastAsia="Times New Roman"/>
          <w:szCs w:val="17"/>
        </w:rPr>
        <w:t>With regards to uncertainty, so far as is relevant, identify the sensitivity to change of any assumption that has been made, including whether a change in assumption may result in a new environmental impact.</w:t>
      </w:r>
    </w:p>
    <w:p w:rsidR="00E26C8E" w:rsidRPr="00E26C8E" w:rsidRDefault="00E26C8E" w:rsidP="00E26C8E">
      <w:pPr>
        <w:ind w:left="709" w:hanging="425"/>
        <w:rPr>
          <w:rFonts w:eastAsia="Times New Roman"/>
          <w:b/>
          <w:szCs w:val="17"/>
        </w:rPr>
      </w:pPr>
      <w:r w:rsidRPr="00E26C8E">
        <w:rPr>
          <w:rFonts w:eastAsia="Times New Roman"/>
          <w:b/>
          <w:szCs w:val="17"/>
        </w:rPr>
        <w:t>6.2</w:t>
      </w:r>
      <w:r w:rsidRPr="00E26C8E">
        <w:rPr>
          <w:rFonts w:eastAsia="Times New Roman"/>
          <w:b/>
          <w:szCs w:val="17"/>
        </w:rPr>
        <w:tab/>
        <w:t>Control strategies and uncertainty assessment, statement of environmental outcomes and criteria</w:t>
      </w:r>
    </w:p>
    <w:p w:rsidR="00E26C8E" w:rsidRPr="00E26C8E" w:rsidRDefault="00E26C8E" w:rsidP="00E26C8E">
      <w:pPr>
        <w:ind w:left="709"/>
        <w:rPr>
          <w:rFonts w:eastAsia="Times New Roman"/>
          <w:szCs w:val="17"/>
        </w:rPr>
      </w:pPr>
      <w:r w:rsidRPr="00E26C8E">
        <w:rPr>
          <w:rFonts w:eastAsia="Times New Roman"/>
          <w:szCs w:val="17"/>
        </w:rPr>
        <w:t>For each impact event confirmed in clauses 6.1, the information listed in clauses 6.2.1–6.2.5 below must be provided.</w:t>
      </w:r>
    </w:p>
    <w:p w:rsidR="00E26C8E" w:rsidRPr="00E26C8E" w:rsidRDefault="00E26C8E" w:rsidP="00E26C8E">
      <w:pPr>
        <w:ind w:left="1276" w:hanging="567"/>
        <w:rPr>
          <w:rFonts w:eastAsia="Times New Roman"/>
          <w:b/>
          <w:szCs w:val="17"/>
        </w:rPr>
      </w:pPr>
      <w:r w:rsidRPr="00E26C8E">
        <w:rPr>
          <w:rFonts w:eastAsia="Times New Roman"/>
          <w:b/>
          <w:szCs w:val="17"/>
        </w:rPr>
        <w:t>6.2.1</w:t>
      </w:r>
      <w:r w:rsidRPr="00E26C8E">
        <w:rPr>
          <w:rFonts w:eastAsia="Times New Roman"/>
          <w:b/>
          <w:szCs w:val="17"/>
        </w:rPr>
        <w:tab/>
        <w:t>Control strategies</w:t>
      </w:r>
    </w:p>
    <w:p w:rsidR="00E26C8E" w:rsidRPr="00E26C8E" w:rsidRDefault="00E26C8E" w:rsidP="00E26C8E">
      <w:pPr>
        <w:ind w:left="1276"/>
        <w:rPr>
          <w:rFonts w:eastAsia="Times New Roman"/>
          <w:szCs w:val="17"/>
        </w:rPr>
      </w:pPr>
      <w:r w:rsidRPr="00E26C8E">
        <w:rPr>
          <w:rFonts w:eastAsia="Times New Roman"/>
          <w:szCs w:val="17"/>
        </w:rPr>
        <w:t>In setting out the control strategies adopted to demonstrate that the environmental outcomes can be and will continue to be achieved in accordance with regulation 63(1)(b) of the</w:t>
      </w:r>
      <w:r w:rsidRPr="00E26C8E">
        <w:rPr>
          <w:rFonts w:eastAsia="Times New Roman"/>
          <w:i/>
          <w:szCs w:val="17"/>
        </w:rPr>
        <w:t xml:space="preserve"> Mining Regulations 2020</w:t>
      </w:r>
      <w:r w:rsidRPr="00E26C8E">
        <w:rPr>
          <w:rFonts w:eastAsia="Times New Roman"/>
          <w:szCs w:val="17"/>
        </w:rPr>
        <w:t>, the Minister determines in accordance with regulation 63(3)(e) of the</w:t>
      </w:r>
      <w:r w:rsidRPr="00E26C8E">
        <w:rPr>
          <w:rFonts w:eastAsia="Times New Roman"/>
          <w:i/>
          <w:szCs w:val="17"/>
        </w:rPr>
        <w:t xml:space="preserve"> Mining Regulations 2020</w:t>
      </w:r>
      <w:r w:rsidRPr="00E26C8E">
        <w:rPr>
          <w:rFonts w:eastAsia="Times New Roman"/>
          <w:szCs w:val="17"/>
        </w:rPr>
        <w:t xml:space="preserve"> that a PEPR must:</w:t>
      </w:r>
    </w:p>
    <w:p w:rsidR="00E26C8E" w:rsidRPr="00E26C8E" w:rsidRDefault="00E26C8E" w:rsidP="00E26C8E">
      <w:pPr>
        <w:ind w:left="1276"/>
        <w:rPr>
          <w:rFonts w:eastAsia="Times New Roman"/>
          <w:szCs w:val="17"/>
        </w:rPr>
      </w:pPr>
      <w:r w:rsidRPr="00E26C8E">
        <w:rPr>
          <w:rFonts w:eastAsia="Times New Roman"/>
          <w:szCs w:val="17"/>
        </w:rPr>
        <w:t>Demonstrate that the strategies proposed are commensurate with the potential impacts, achieve compliance with other applicable statutory requirements and promote progressive rehabilitation where necessary.</w:t>
      </w:r>
    </w:p>
    <w:p w:rsidR="00E26C8E" w:rsidRPr="00E26C8E" w:rsidRDefault="00E26C8E" w:rsidP="00E26C8E">
      <w:pPr>
        <w:ind w:left="1276"/>
        <w:rPr>
          <w:rFonts w:eastAsia="Times New Roman"/>
          <w:szCs w:val="17"/>
        </w:rPr>
      </w:pPr>
      <w:r w:rsidRPr="00E26C8E">
        <w:rPr>
          <w:rFonts w:eastAsia="Times New Roman"/>
          <w:szCs w:val="17"/>
        </w:rPr>
        <w:t>The description of rehabilitation strategies must demonstrate that final rehabilitation will be completed within 3 months after the time allocated to complete the approved program.</w:t>
      </w:r>
    </w:p>
    <w:p w:rsidR="00E26C8E" w:rsidRPr="00E26C8E" w:rsidRDefault="00E26C8E" w:rsidP="00E26C8E">
      <w:pPr>
        <w:ind w:left="1276" w:hanging="567"/>
        <w:rPr>
          <w:rFonts w:eastAsia="Times New Roman"/>
          <w:b/>
          <w:szCs w:val="17"/>
        </w:rPr>
      </w:pPr>
      <w:r w:rsidRPr="00E26C8E">
        <w:rPr>
          <w:rFonts w:eastAsia="Times New Roman"/>
          <w:b/>
          <w:szCs w:val="17"/>
        </w:rPr>
        <w:t>6.2.2</w:t>
      </w:r>
      <w:r w:rsidRPr="00E26C8E">
        <w:rPr>
          <w:rFonts w:eastAsia="Times New Roman"/>
          <w:b/>
          <w:szCs w:val="17"/>
        </w:rPr>
        <w:tab/>
        <w:t>Description of uncertainty</w:t>
      </w:r>
    </w:p>
    <w:p w:rsidR="00E26C8E" w:rsidRPr="00E26C8E" w:rsidRDefault="00E26C8E" w:rsidP="00E26C8E">
      <w:pPr>
        <w:ind w:left="1276"/>
        <w:rPr>
          <w:rFonts w:eastAsia="Times New Roman"/>
          <w:szCs w:val="17"/>
        </w:rPr>
      </w:pPr>
      <w:r w:rsidRPr="00E26C8E">
        <w:rPr>
          <w:rFonts w:eastAsia="Times New Roman"/>
          <w:szCs w:val="17"/>
        </w:rPr>
        <w:t>Describe any significant degree of uncertainty pertaining to the likely effectiveness of proposed control strategies, including (but not limited to) the lack of site-specific information, limitations on modelling and quality of data. Describe any assumptions connected with the identified uncertainty.</w:t>
      </w:r>
    </w:p>
    <w:p w:rsidR="00E26C8E" w:rsidRPr="00E26C8E" w:rsidRDefault="00E26C8E" w:rsidP="00E26C8E">
      <w:pPr>
        <w:ind w:left="1276"/>
        <w:rPr>
          <w:rFonts w:eastAsia="Times New Roman"/>
          <w:szCs w:val="17"/>
        </w:rPr>
      </w:pPr>
      <w:r w:rsidRPr="00E26C8E">
        <w:rPr>
          <w:rFonts w:eastAsia="Times New Roman"/>
          <w:szCs w:val="17"/>
        </w:rPr>
        <w:t>So far as is relevant, identify the sensitivity to change of any assumption that has been made and assess the likelihood of an outcome not being achieved if an assumption is later found to be incorrect.</w:t>
      </w:r>
    </w:p>
    <w:p w:rsidR="00E26C8E" w:rsidRPr="00E26C8E" w:rsidRDefault="00E26C8E" w:rsidP="00E26C8E">
      <w:pPr>
        <w:ind w:left="1276" w:hanging="567"/>
        <w:rPr>
          <w:rFonts w:eastAsia="Times New Roman"/>
          <w:b/>
          <w:szCs w:val="17"/>
        </w:rPr>
      </w:pPr>
      <w:r w:rsidRPr="00E26C8E">
        <w:rPr>
          <w:rFonts w:eastAsia="Times New Roman"/>
          <w:b/>
          <w:szCs w:val="17"/>
        </w:rPr>
        <w:t>6.2.3</w:t>
      </w:r>
      <w:r w:rsidRPr="00E26C8E">
        <w:rPr>
          <w:rFonts w:eastAsia="Times New Roman"/>
          <w:b/>
          <w:szCs w:val="17"/>
        </w:rPr>
        <w:tab/>
        <w:t>Risk assessment</w:t>
      </w:r>
    </w:p>
    <w:p w:rsidR="00E26C8E" w:rsidRPr="00E26C8E" w:rsidRDefault="00E26C8E" w:rsidP="00E26C8E">
      <w:pPr>
        <w:ind w:left="1276"/>
        <w:rPr>
          <w:rFonts w:eastAsia="Times New Roman"/>
          <w:szCs w:val="17"/>
        </w:rPr>
      </w:pPr>
      <w:r w:rsidRPr="00E26C8E">
        <w:rPr>
          <w:rFonts w:eastAsia="Times New Roman"/>
          <w:szCs w:val="17"/>
        </w:rPr>
        <w:t>Where a potential impact event has been identified, determine the risk after the implementation of control and management strategies. Both the likelihood and severity of the consequences of impact events must be estimated.</w:t>
      </w:r>
    </w:p>
    <w:p w:rsidR="00E26C8E" w:rsidRPr="00E26C8E" w:rsidRDefault="00E26C8E" w:rsidP="00E26C8E">
      <w:pPr>
        <w:ind w:left="1276"/>
        <w:rPr>
          <w:rFonts w:eastAsia="Times New Roman"/>
          <w:szCs w:val="17"/>
        </w:rPr>
      </w:pPr>
      <w:r w:rsidRPr="00E26C8E">
        <w:rPr>
          <w:rFonts w:eastAsia="Times New Roman"/>
          <w:szCs w:val="17"/>
        </w:rPr>
        <w:t>The risk assessment of the potential impact event must take into account any uncertainty pertaining to the likely effectiveness of proposed control strategies.</w:t>
      </w:r>
    </w:p>
    <w:p w:rsidR="00E26C8E" w:rsidRPr="00E26C8E" w:rsidRDefault="00E26C8E" w:rsidP="00E26C8E">
      <w:pPr>
        <w:ind w:left="1276"/>
        <w:rPr>
          <w:rFonts w:eastAsia="Times New Roman"/>
          <w:szCs w:val="17"/>
        </w:rPr>
      </w:pPr>
      <w:r w:rsidRPr="00E26C8E">
        <w:rPr>
          <w:rFonts w:eastAsia="Times New Roman"/>
          <w:szCs w:val="17"/>
        </w:rPr>
        <w:t>Where risks are moderate to extreme, justify why the level of risk is acceptable, or develop additional control strategies to further lower the risk.</w:t>
      </w:r>
    </w:p>
    <w:p w:rsidR="00E26C8E" w:rsidRPr="00E26C8E" w:rsidRDefault="00E26C8E" w:rsidP="00E26C8E">
      <w:pPr>
        <w:spacing w:after="0" w:line="240" w:lineRule="auto"/>
        <w:jc w:val="left"/>
        <w:rPr>
          <w:rFonts w:eastAsia="Times New Roman"/>
          <w:b/>
          <w:szCs w:val="17"/>
        </w:rPr>
      </w:pPr>
      <w:r w:rsidRPr="00E26C8E">
        <w:rPr>
          <w:rFonts w:eastAsia="Times New Roman"/>
          <w:b/>
          <w:szCs w:val="17"/>
        </w:rPr>
        <w:br w:type="page"/>
      </w:r>
    </w:p>
    <w:p w:rsidR="00E26C8E" w:rsidRPr="00E26C8E" w:rsidRDefault="00E26C8E" w:rsidP="00E26C8E">
      <w:pPr>
        <w:ind w:left="1276" w:hanging="567"/>
        <w:rPr>
          <w:rFonts w:eastAsia="Times New Roman"/>
          <w:b/>
          <w:szCs w:val="17"/>
        </w:rPr>
      </w:pPr>
      <w:r w:rsidRPr="00E26C8E">
        <w:rPr>
          <w:rFonts w:eastAsia="Times New Roman"/>
          <w:b/>
          <w:szCs w:val="17"/>
        </w:rPr>
        <w:t>6.2.4</w:t>
      </w:r>
      <w:r w:rsidRPr="00E26C8E">
        <w:rPr>
          <w:rFonts w:eastAsia="Times New Roman"/>
          <w:b/>
          <w:szCs w:val="17"/>
        </w:rPr>
        <w:tab/>
        <w:t>Statement of environmental outcome(s)</w:t>
      </w:r>
    </w:p>
    <w:p w:rsidR="00E26C8E" w:rsidRPr="00E26C8E" w:rsidRDefault="00E26C8E" w:rsidP="00E26C8E">
      <w:pPr>
        <w:ind w:left="1276"/>
        <w:rPr>
          <w:rFonts w:eastAsia="Times New Roman"/>
          <w:szCs w:val="17"/>
        </w:rPr>
      </w:pPr>
      <w:r w:rsidRPr="00E26C8E">
        <w:rPr>
          <w:rFonts w:eastAsia="Times New Roman"/>
          <w:szCs w:val="17"/>
        </w:rPr>
        <w:t>Statements of the environmental outcomes that are expected to occur are required in accordance with section 70B(2)(b)(i) of the</w:t>
      </w:r>
      <w:r w:rsidRPr="00E26C8E">
        <w:rPr>
          <w:rFonts w:eastAsia="Times New Roman"/>
          <w:i/>
          <w:szCs w:val="17"/>
        </w:rPr>
        <w:t xml:space="preserve"> Mining Act 1971</w:t>
      </w:r>
      <w:r w:rsidRPr="00E26C8E">
        <w:rPr>
          <w:rFonts w:eastAsia="Times New Roman"/>
          <w:szCs w:val="17"/>
        </w:rPr>
        <w:t>. The Minister determines in accordance with regulation 63(e) of the</w:t>
      </w:r>
      <w:r w:rsidRPr="00E26C8E">
        <w:rPr>
          <w:rFonts w:eastAsia="Times New Roman"/>
          <w:i/>
          <w:szCs w:val="17"/>
        </w:rPr>
        <w:t xml:space="preserve"> Mining Regulations 2020</w:t>
      </w:r>
      <w:r w:rsidRPr="00E26C8E">
        <w:rPr>
          <w:rFonts w:eastAsia="Times New Roman"/>
          <w:szCs w:val="17"/>
        </w:rPr>
        <w:t xml:space="preserve"> that a PEPR must:</w:t>
      </w:r>
    </w:p>
    <w:p w:rsidR="00E26C8E" w:rsidRPr="00E26C8E" w:rsidRDefault="00E26C8E" w:rsidP="00E26C8E">
      <w:pPr>
        <w:ind w:left="1560" w:hanging="284"/>
        <w:rPr>
          <w:rFonts w:eastAsia="Times New Roman"/>
          <w:szCs w:val="17"/>
        </w:rPr>
      </w:pPr>
      <w:r w:rsidRPr="00E26C8E">
        <w:rPr>
          <w:rFonts w:eastAsia="Times New Roman"/>
          <w:szCs w:val="17"/>
        </w:rPr>
        <w:t>•</w:t>
      </w:r>
      <w:r w:rsidRPr="00E26C8E">
        <w:rPr>
          <w:rFonts w:eastAsia="Times New Roman"/>
          <w:szCs w:val="17"/>
        </w:rPr>
        <w:tab/>
        <w:t>provide a statement of the proposed environmental outcomes for each impact event confirmed in clause 6.1; and</w:t>
      </w:r>
    </w:p>
    <w:p w:rsidR="00E26C8E" w:rsidRPr="00E26C8E" w:rsidRDefault="00E26C8E" w:rsidP="00E26C8E">
      <w:pPr>
        <w:ind w:left="1560" w:hanging="284"/>
        <w:rPr>
          <w:rFonts w:eastAsia="Times New Roman"/>
          <w:szCs w:val="17"/>
        </w:rPr>
      </w:pPr>
      <w:r w:rsidRPr="00E26C8E">
        <w:rPr>
          <w:rFonts w:eastAsia="Times New Roman"/>
          <w:szCs w:val="17"/>
        </w:rPr>
        <w:t>•</w:t>
      </w:r>
      <w:r w:rsidRPr="00E26C8E">
        <w:rPr>
          <w:rFonts w:eastAsia="Times New Roman"/>
          <w:szCs w:val="17"/>
        </w:rPr>
        <w:tab/>
        <w:t>ensure that the statement of environmental outcomes describe the likely consequence of the expected impact on the environment by the proposed exploration operations subsequent to the implementation of the control strategies described in clause 6.1.</w:t>
      </w:r>
    </w:p>
    <w:p w:rsidR="00E26C8E" w:rsidRPr="00E26C8E" w:rsidRDefault="00E26C8E" w:rsidP="00E26C8E">
      <w:pPr>
        <w:ind w:left="1276" w:hanging="567"/>
        <w:rPr>
          <w:rFonts w:eastAsia="Times New Roman"/>
          <w:b/>
          <w:szCs w:val="17"/>
        </w:rPr>
      </w:pPr>
      <w:r w:rsidRPr="00E26C8E">
        <w:rPr>
          <w:rFonts w:eastAsia="Times New Roman"/>
          <w:b/>
          <w:szCs w:val="17"/>
        </w:rPr>
        <w:t>6.2.5</w:t>
      </w:r>
      <w:r w:rsidRPr="00E26C8E">
        <w:rPr>
          <w:rFonts w:eastAsia="Times New Roman"/>
          <w:b/>
          <w:szCs w:val="17"/>
        </w:rPr>
        <w:tab/>
        <w:t>Measurement criteria</w:t>
      </w:r>
    </w:p>
    <w:p w:rsidR="00E26C8E" w:rsidRPr="00E26C8E" w:rsidRDefault="00E26C8E" w:rsidP="00E26C8E">
      <w:pPr>
        <w:ind w:left="1276"/>
        <w:rPr>
          <w:rFonts w:eastAsia="Times New Roman"/>
          <w:szCs w:val="17"/>
        </w:rPr>
      </w:pPr>
      <w:r w:rsidRPr="00E26C8E">
        <w:rPr>
          <w:rFonts w:eastAsia="Times New Roman"/>
          <w:szCs w:val="17"/>
        </w:rPr>
        <w:t>In preparing a statement of the criteria to be adopted to measure each of the proposed environmental outcomes in accordance with section 70B(2)(b)(ii)) of the</w:t>
      </w:r>
      <w:r w:rsidRPr="00E26C8E">
        <w:rPr>
          <w:rFonts w:eastAsia="Times New Roman"/>
          <w:i/>
          <w:szCs w:val="17"/>
        </w:rPr>
        <w:t xml:space="preserve"> Mining Act 1971</w:t>
      </w:r>
      <w:r w:rsidRPr="00E26C8E">
        <w:rPr>
          <w:rFonts w:eastAsia="Times New Roman"/>
          <w:szCs w:val="17"/>
        </w:rPr>
        <w:t xml:space="preserve"> and regulation 63(c) of the</w:t>
      </w:r>
      <w:r w:rsidRPr="00E26C8E">
        <w:rPr>
          <w:rFonts w:eastAsia="Times New Roman"/>
          <w:i/>
          <w:szCs w:val="17"/>
        </w:rPr>
        <w:t xml:space="preserve"> Mining Regulations 2020</w:t>
      </w:r>
      <w:r w:rsidRPr="00E26C8E">
        <w:rPr>
          <w:rFonts w:eastAsia="Times New Roman"/>
          <w:szCs w:val="17"/>
        </w:rPr>
        <w:t>, the Minister determines in accordance with regulation 63(e) of the</w:t>
      </w:r>
      <w:r w:rsidRPr="00E26C8E">
        <w:rPr>
          <w:rFonts w:eastAsia="Times New Roman"/>
          <w:i/>
          <w:szCs w:val="17"/>
        </w:rPr>
        <w:t xml:space="preserve"> Mining Regulations 2020</w:t>
      </w:r>
      <w:r w:rsidRPr="00E26C8E">
        <w:rPr>
          <w:rFonts w:eastAsia="Times New Roman"/>
          <w:szCs w:val="17"/>
        </w:rPr>
        <w:t xml:space="preserve"> that the draft criteria must:</w:t>
      </w:r>
    </w:p>
    <w:p w:rsidR="00E26C8E" w:rsidRPr="00E26C8E" w:rsidRDefault="00E26C8E" w:rsidP="00E26C8E">
      <w:pPr>
        <w:ind w:left="1560" w:hanging="284"/>
        <w:rPr>
          <w:rFonts w:eastAsia="Times New Roman"/>
          <w:szCs w:val="17"/>
        </w:rPr>
      </w:pPr>
      <w:r w:rsidRPr="00E26C8E">
        <w:rPr>
          <w:rFonts w:eastAsia="Times New Roman"/>
          <w:szCs w:val="17"/>
        </w:rPr>
        <w:t>•</w:t>
      </w:r>
      <w:r w:rsidRPr="00E26C8E">
        <w:rPr>
          <w:rFonts w:eastAsia="Times New Roman"/>
          <w:szCs w:val="17"/>
        </w:rPr>
        <w:tab/>
        <w:t>as far as practical, comply with elements set out in regulation 63(c)</w:t>
      </w:r>
    </w:p>
    <w:p w:rsidR="00E26C8E" w:rsidRPr="00E26C8E" w:rsidRDefault="00E26C8E" w:rsidP="00E26C8E">
      <w:pPr>
        <w:ind w:left="1560" w:hanging="284"/>
        <w:rPr>
          <w:rFonts w:eastAsia="Times New Roman"/>
          <w:szCs w:val="17"/>
        </w:rPr>
      </w:pPr>
      <w:r w:rsidRPr="00E26C8E">
        <w:rPr>
          <w:rFonts w:eastAsia="Times New Roman"/>
          <w:szCs w:val="17"/>
        </w:rPr>
        <w:t>•</w:t>
      </w:r>
      <w:r w:rsidRPr="00E26C8E">
        <w:rPr>
          <w:rFonts w:eastAsia="Times New Roman"/>
          <w:szCs w:val="17"/>
        </w:rPr>
        <w:tab/>
        <w:t>include a demonstration of the successful implementation for the significant environmental benefit, if native vegetation is proposed to be cleared and an on-ground off-set proposed; and</w:t>
      </w:r>
    </w:p>
    <w:p w:rsidR="00E26C8E" w:rsidRPr="00E26C8E" w:rsidRDefault="00E26C8E" w:rsidP="00E26C8E">
      <w:pPr>
        <w:ind w:left="1560" w:hanging="284"/>
        <w:rPr>
          <w:rFonts w:eastAsia="Times New Roman"/>
          <w:szCs w:val="17"/>
        </w:rPr>
      </w:pPr>
      <w:r w:rsidRPr="00E26C8E">
        <w:rPr>
          <w:rFonts w:eastAsia="Times New Roman"/>
          <w:szCs w:val="17"/>
        </w:rPr>
        <w:t>•</w:t>
      </w:r>
      <w:r w:rsidRPr="00E26C8E">
        <w:rPr>
          <w:rFonts w:eastAsia="Times New Roman"/>
          <w:szCs w:val="17"/>
        </w:rPr>
        <w:tab/>
        <w:t>where appropriate, use recognised industry standards, codes of practice, or legislative provisions from other Acts as criteria.</w:t>
      </w:r>
    </w:p>
    <w:p w:rsidR="00E26C8E" w:rsidRPr="00E26C8E" w:rsidRDefault="00E26C8E" w:rsidP="00E26C8E">
      <w:pPr>
        <w:ind w:left="1701" w:hanging="425"/>
        <w:rPr>
          <w:rFonts w:eastAsia="Times New Roman"/>
          <w:sz w:val="16"/>
          <w:szCs w:val="17"/>
        </w:rPr>
      </w:pPr>
      <w:r w:rsidRPr="00E26C8E">
        <w:rPr>
          <w:rFonts w:eastAsia="Times New Roman"/>
          <w:b/>
          <w:i/>
          <w:sz w:val="16"/>
          <w:szCs w:val="17"/>
        </w:rPr>
        <w:t>Note:</w:t>
      </w:r>
      <w:r w:rsidRPr="00E26C8E">
        <w:rPr>
          <w:rFonts w:eastAsia="Times New Roman"/>
          <w:sz w:val="16"/>
          <w:szCs w:val="17"/>
        </w:rPr>
        <w:tab/>
        <w:t>To streamline the environmental impact assessment process, DEM developed potential impact events, environmental outcomes and measurement criteria common to most exploration programs (located within the exploration PEPR templates available from the DEM website). Proponents that use the common potential impact events, environmental outcomes and measurement criteria are required to conduct an impact assessment, including a risk analysis of each impact event and how each impact will be managed i.e. control strategies. In some cases, additional potential impacts events may be identified that require corresponding environmental outcomes and measurement criteria to be developed.</w:t>
      </w:r>
    </w:p>
    <w:p w:rsidR="00E26C8E" w:rsidRPr="00E26C8E" w:rsidRDefault="00E26C8E" w:rsidP="00E26C8E">
      <w:pPr>
        <w:ind w:left="1276"/>
        <w:rPr>
          <w:rFonts w:eastAsia="Times New Roman"/>
          <w:szCs w:val="17"/>
        </w:rPr>
      </w:pPr>
      <w:r w:rsidRPr="00E26C8E">
        <w:rPr>
          <w:rFonts w:eastAsia="Times New Roman"/>
          <w:szCs w:val="17"/>
        </w:rPr>
        <w:t>Alternatively, proponents can modify or develop their own impacts events, environmental outcomes and measurement criteria as outlined in clause 6.1 and 6.2.</w:t>
      </w:r>
    </w:p>
    <w:p w:rsidR="00E26C8E" w:rsidRPr="00E26C8E" w:rsidRDefault="00E26C8E" w:rsidP="00E26C8E">
      <w:pPr>
        <w:ind w:left="284" w:hanging="284"/>
        <w:rPr>
          <w:rFonts w:eastAsia="Times New Roman"/>
          <w:b/>
          <w:szCs w:val="17"/>
        </w:rPr>
      </w:pPr>
      <w:r w:rsidRPr="00E26C8E">
        <w:rPr>
          <w:rFonts w:eastAsia="Times New Roman"/>
          <w:b/>
          <w:szCs w:val="17"/>
        </w:rPr>
        <w:t>8.</w:t>
      </w:r>
      <w:r w:rsidRPr="00E26C8E">
        <w:rPr>
          <w:rFonts w:eastAsia="Times New Roman"/>
          <w:b/>
          <w:szCs w:val="17"/>
        </w:rPr>
        <w:tab/>
        <w:t>OPERATOR CAPABILITY</w:t>
      </w:r>
    </w:p>
    <w:p w:rsidR="00E26C8E" w:rsidRPr="00E26C8E" w:rsidRDefault="00E26C8E" w:rsidP="00E26C8E">
      <w:pPr>
        <w:ind w:left="284"/>
        <w:rPr>
          <w:rFonts w:eastAsia="Times New Roman"/>
          <w:szCs w:val="17"/>
        </w:rPr>
      </w:pPr>
      <w:r w:rsidRPr="00E26C8E">
        <w:rPr>
          <w:rFonts w:eastAsia="Times New Roman"/>
          <w:szCs w:val="17"/>
        </w:rPr>
        <w:t>In preparing information about the ability of the tenement holder (and any other person who may be acting on behalf of the tenement holder) in accordance with section 70B(2)(c) of the</w:t>
      </w:r>
      <w:r w:rsidRPr="00E26C8E">
        <w:rPr>
          <w:rFonts w:eastAsia="Times New Roman"/>
          <w:i/>
          <w:szCs w:val="17"/>
        </w:rPr>
        <w:t xml:space="preserve"> Mining Act 1971</w:t>
      </w:r>
      <w:r w:rsidRPr="00E26C8E">
        <w:rPr>
          <w:rFonts w:eastAsia="Times New Roman"/>
          <w:szCs w:val="17"/>
        </w:rPr>
        <w:t>, the Minister determines, in accordance with regulation 63(3)(e) of the</w:t>
      </w:r>
      <w:r w:rsidRPr="00E26C8E">
        <w:rPr>
          <w:rFonts w:eastAsia="Times New Roman"/>
          <w:i/>
          <w:szCs w:val="17"/>
        </w:rPr>
        <w:t xml:space="preserve"> Mining Regulations 2020</w:t>
      </w:r>
      <w:r w:rsidRPr="00E26C8E">
        <w:rPr>
          <w:rFonts w:eastAsia="Times New Roman"/>
          <w:szCs w:val="17"/>
        </w:rPr>
        <w:t>, that information must be provided by the tenement holder (and any other person who may be acting on behalf of the tenement holder as an operator) that they have appropriate experience, processes and procedures in place to be able to achieve the environmental outcomes.</w:t>
      </w:r>
    </w:p>
    <w:p w:rsidR="00E26C8E" w:rsidRPr="00E26C8E" w:rsidRDefault="00E26C8E" w:rsidP="00E26C8E">
      <w:pPr>
        <w:ind w:left="284" w:hanging="284"/>
        <w:rPr>
          <w:rFonts w:eastAsia="Times New Roman"/>
          <w:b/>
          <w:szCs w:val="17"/>
        </w:rPr>
      </w:pPr>
      <w:r w:rsidRPr="00E26C8E">
        <w:rPr>
          <w:rFonts w:eastAsia="Times New Roman"/>
          <w:b/>
          <w:szCs w:val="17"/>
        </w:rPr>
        <w:t>9.</w:t>
      </w:r>
      <w:r w:rsidRPr="00E26C8E">
        <w:rPr>
          <w:rFonts w:eastAsia="Times New Roman"/>
          <w:b/>
          <w:szCs w:val="17"/>
        </w:rPr>
        <w:tab/>
        <w:t>MAPS AND PLANS</w:t>
      </w:r>
    </w:p>
    <w:p w:rsidR="00E26C8E" w:rsidRPr="00E26C8E" w:rsidRDefault="00E26C8E" w:rsidP="00E26C8E">
      <w:pPr>
        <w:ind w:left="284"/>
        <w:rPr>
          <w:rFonts w:eastAsia="Times New Roman"/>
          <w:szCs w:val="17"/>
        </w:rPr>
      </w:pPr>
      <w:r w:rsidRPr="00E26C8E">
        <w:rPr>
          <w:rFonts w:eastAsia="Times New Roman"/>
          <w:szCs w:val="17"/>
        </w:rPr>
        <w:t>All maps and sections must conform to the following standards:</w:t>
      </w:r>
    </w:p>
    <w:p w:rsidR="00E26C8E" w:rsidRPr="00E26C8E" w:rsidRDefault="00E26C8E" w:rsidP="00E26C8E">
      <w:pPr>
        <w:ind w:left="567" w:hanging="283"/>
        <w:rPr>
          <w:rFonts w:eastAsia="Times New Roman"/>
          <w:szCs w:val="17"/>
        </w:rPr>
      </w:pPr>
      <w:r w:rsidRPr="00E26C8E">
        <w:rPr>
          <w:rFonts w:eastAsia="Times New Roman"/>
          <w:szCs w:val="17"/>
        </w:rPr>
        <w:t>•</w:t>
      </w:r>
      <w:r w:rsidRPr="00E26C8E">
        <w:rPr>
          <w:rFonts w:eastAsia="Times New Roman"/>
          <w:szCs w:val="17"/>
        </w:rPr>
        <w:tab/>
        <w:t>State the relevant datum—e.g. GDA2020, GDA94.</w:t>
      </w:r>
    </w:p>
    <w:p w:rsidR="00E26C8E" w:rsidRPr="00E26C8E" w:rsidRDefault="00E26C8E" w:rsidP="00E26C8E">
      <w:pPr>
        <w:ind w:left="567" w:hanging="283"/>
        <w:rPr>
          <w:rFonts w:eastAsia="Times New Roman"/>
          <w:szCs w:val="17"/>
        </w:rPr>
      </w:pPr>
      <w:r w:rsidRPr="00E26C8E">
        <w:rPr>
          <w:rFonts w:eastAsia="Times New Roman"/>
          <w:szCs w:val="17"/>
        </w:rPr>
        <w:t>•</w:t>
      </w:r>
      <w:r w:rsidRPr="00E26C8E">
        <w:rPr>
          <w:rFonts w:eastAsia="Times New Roman"/>
          <w:szCs w:val="17"/>
        </w:rPr>
        <w:tab/>
        <w:t>Use metric units.</w:t>
      </w:r>
    </w:p>
    <w:p w:rsidR="00E26C8E" w:rsidRPr="00E26C8E" w:rsidRDefault="00E26C8E" w:rsidP="00E26C8E">
      <w:pPr>
        <w:ind w:left="567" w:hanging="283"/>
        <w:rPr>
          <w:rFonts w:eastAsia="Times New Roman"/>
          <w:szCs w:val="17"/>
        </w:rPr>
      </w:pPr>
      <w:r w:rsidRPr="00E26C8E">
        <w:rPr>
          <w:rFonts w:eastAsia="Times New Roman"/>
          <w:szCs w:val="17"/>
        </w:rPr>
        <w:t>•</w:t>
      </w:r>
      <w:r w:rsidRPr="00E26C8E">
        <w:rPr>
          <w:rFonts w:eastAsia="Times New Roman"/>
          <w:szCs w:val="17"/>
        </w:rPr>
        <w:tab/>
        <w:t>Include a title, north arrow, scale bar, text and legend.</w:t>
      </w:r>
    </w:p>
    <w:p w:rsidR="00E26C8E" w:rsidRPr="00E26C8E" w:rsidRDefault="00E26C8E" w:rsidP="00E26C8E">
      <w:pPr>
        <w:ind w:left="567" w:hanging="283"/>
        <w:rPr>
          <w:rFonts w:eastAsia="Times New Roman"/>
          <w:szCs w:val="17"/>
        </w:rPr>
      </w:pPr>
      <w:r w:rsidRPr="00E26C8E">
        <w:rPr>
          <w:rFonts w:eastAsia="Times New Roman"/>
          <w:szCs w:val="17"/>
        </w:rPr>
        <w:t>•</w:t>
      </w:r>
      <w:r w:rsidRPr="00E26C8E">
        <w:rPr>
          <w:rFonts w:eastAsia="Times New Roman"/>
          <w:szCs w:val="17"/>
        </w:rPr>
        <w:tab/>
        <w:t>State the date prepared and author.</w:t>
      </w:r>
    </w:p>
    <w:p w:rsidR="00E26C8E" w:rsidRPr="00E26C8E" w:rsidRDefault="00E26C8E" w:rsidP="00E26C8E">
      <w:pPr>
        <w:ind w:left="567" w:hanging="283"/>
        <w:rPr>
          <w:rFonts w:eastAsia="Times New Roman"/>
          <w:szCs w:val="17"/>
        </w:rPr>
      </w:pPr>
      <w:r w:rsidRPr="00E26C8E">
        <w:rPr>
          <w:rFonts w:eastAsia="Times New Roman"/>
          <w:szCs w:val="17"/>
        </w:rPr>
        <w:t>•</w:t>
      </w:r>
      <w:r w:rsidRPr="00E26C8E">
        <w:rPr>
          <w:rFonts w:eastAsia="Times New Roman"/>
          <w:szCs w:val="17"/>
        </w:rPr>
        <w:tab/>
        <w:t>Be of appropriate resolution and scale to show the represented information.</w:t>
      </w:r>
    </w:p>
    <w:p w:rsidR="00E26C8E" w:rsidRPr="00E26C8E" w:rsidRDefault="00E26C8E" w:rsidP="00E26C8E">
      <w:pPr>
        <w:ind w:left="284"/>
        <w:rPr>
          <w:rFonts w:eastAsia="Times New Roman"/>
          <w:szCs w:val="17"/>
        </w:rPr>
      </w:pPr>
      <w:r w:rsidRPr="00E26C8E">
        <w:rPr>
          <w:rFonts w:eastAsia="Times New Roman"/>
          <w:szCs w:val="17"/>
        </w:rPr>
        <w:t>The exploration proposal must be accompanied by a map(s) showing the following information, where applicable:</w:t>
      </w:r>
    </w:p>
    <w:p w:rsidR="00E26C8E" w:rsidRPr="00E26C8E" w:rsidRDefault="00E26C8E" w:rsidP="00E26C8E">
      <w:pPr>
        <w:ind w:left="567" w:hanging="283"/>
        <w:rPr>
          <w:rFonts w:eastAsia="Times New Roman"/>
          <w:szCs w:val="17"/>
        </w:rPr>
      </w:pPr>
      <w:r w:rsidRPr="00E26C8E">
        <w:rPr>
          <w:rFonts w:eastAsia="Times New Roman"/>
          <w:szCs w:val="17"/>
        </w:rPr>
        <w:t>•</w:t>
      </w:r>
      <w:r w:rsidRPr="00E26C8E">
        <w:rPr>
          <w:rFonts w:eastAsia="Times New Roman"/>
          <w:szCs w:val="17"/>
        </w:rPr>
        <w:tab/>
        <w:t>Tenement boundaries.</w:t>
      </w:r>
    </w:p>
    <w:p w:rsidR="00E26C8E" w:rsidRPr="00E26C8E" w:rsidRDefault="00E26C8E" w:rsidP="00E26C8E">
      <w:pPr>
        <w:ind w:left="567" w:hanging="283"/>
        <w:rPr>
          <w:rFonts w:eastAsia="Times New Roman"/>
          <w:szCs w:val="17"/>
        </w:rPr>
      </w:pPr>
      <w:r w:rsidRPr="00E26C8E">
        <w:rPr>
          <w:rFonts w:eastAsia="Times New Roman"/>
          <w:szCs w:val="17"/>
        </w:rPr>
        <w:t>•</w:t>
      </w:r>
      <w:r w:rsidRPr="00E26C8E">
        <w:rPr>
          <w:rFonts w:eastAsia="Times New Roman"/>
          <w:szCs w:val="17"/>
        </w:rPr>
        <w:tab/>
        <w:t>Cadastral information.</w:t>
      </w:r>
    </w:p>
    <w:p w:rsidR="00E26C8E" w:rsidRPr="00E26C8E" w:rsidRDefault="00E26C8E" w:rsidP="00E26C8E">
      <w:pPr>
        <w:ind w:left="567" w:hanging="283"/>
        <w:rPr>
          <w:rFonts w:eastAsia="Times New Roman"/>
          <w:szCs w:val="17"/>
        </w:rPr>
      </w:pPr>
      <w:r w:rsidRPr="00E26C8E">
        <w:rPr>
          <w:rFonts w:eastAsia="Times New Roman"/>
          <w:szCs w:val="17"/>
        </w:rPr>
        <w:t>•</w:t>
      </w:r>
      <w:r w:rsidRPr="00E26C8E">
        <w:rPr>
          <w:rFonts w:eastAsia="Times New Roman"/>
          <w:szCs w:val="17"/>
        </w:rPr>
        <w:tab/>
        <w:t>Existing surface contours.</w:t>
      </w:r>
    </w:p>
    <w:p w:rsidR="00E26C8E" w:rsidRPr="00E26C8E" w:rsidRDefault="00E26C8E" w:rsidP="00E26C8E">
      <w:pPr>
        <w:ind w:left="567" w:hanging="283"/>
        <w:rPr>
          <w:rFonts w:eastAsia="Times New Roman"/>
          <w:szCs w:val="17"/>
        </w:rPr>
      </w:pPr>
      <w:r w:rsidRPr="00E26C8E">
        <w:rPr>
          <w:rFonts w:eastAsia="Times New Roman"/>
          <w:szCs w:val="17"/>
        </w:rPr>
        <w:t>•</w:t>
      </w:r>
      <w:r w:rsidRPr="00E26C8E">
        <w:rPr>
          <w:rFonts w:eastAsia="Times New Roman"/>
          <w:szCs w:val="17"/>
        </w:rPr>
        <w:tab/>
        <w:t>Existing vegetation.</w:t>
      </w:r>
    </w:p>
    <w:p w:rsidR="00E26C8E" w:rsidRPr="00E26C8E" w:rsidRDefault="00E26C8E" w:rsidP="00E26C8E">
      <w:pPr>
        <w:ind w:left="567" w:hanging="283"/>
        <w:rPr>
          <w:rFonts w:eastAsia="Times New Roman"/>
          <w:szCs w:val="17"/>
        </w:rPr>
      </w:pPr>
      <w:r w:rsidRPr="00E26C8E">
        <w:rPr>
          <w:rFonts w:eastAsia="Times New Roman"/>
          <w:szCs w:val="17"/>
        </w:rPr>
        <w:t>•</w:t>
      </w:r>
      <w:r w:rsidRPr="00E26C8E">
        <w:rPr>
          <w:rFonts w:eastAsia="Times New Roman"/>
          <w:szCs w:val="17"/>
        </w:rPr>
        <w:tab/>
        <w:t>Proposed exploration operations (includes drillholes, existing and new access tracks, drill traverses, overland tracking, water access routes, campsites, laydown areas and other applicable information) and/or the target exploration area(s).</w:t>
      </w:r>
    </w:p>
    <w:p w:rsidR="00E26C8E" w:rsidRPr="00E26C8E" w:rsidRDefault="00E26C8E" w:rsidP="00E26C8E">
      <w:pPr>
        <w:ind w:left="567" w:hanging="283"/>
        <w:rPr>
          <w:rFonts w:eastAsia="Times New Roman"/>
          <w:szCs w:val="17"/>
        </w:rPr>
      </w:pPr>
      <w:r w:rsidRPr="00E26C8E">
        <w:rPr>
          <w:rFonts w:eastAsia="Times New Roman"/>
          <w:szCs w:val="17"/>
        </w:rPr>
        <w:t>•</w:t>
      </w:r>
      <w:r w:rsidRPr="00E26C8E">
        <w:rPr>
          <w:rFonts w:eastAsia="Times New Roman"/>
          <w:szCs w:val="17"/>
        </w:rPr>
        <w:tab/>
        <w:t>Existing ephemeral and permanent rivers, creeks, swamps, streams or watercourses and water management structures.</w:t>
      </w:r>
    </w:p>
    <w:p w:rsidR="00E26C8E" w:rsidRPr="00E26C8E" w:rsidRDefault="00E26C8E" w:rsidP="00E26C8E">
      <w:pPr>
        <w:ind w:left="567" w:hanging="283"/>
        <w:rPr>
          <w:rFonts w:eastAsia="Times New Roman"/>
          <w:szCs w:val="17"/>
        </w:rPr>
      </w:pPr>
      <w:r w:rsidRPr="00E26C8E">
        <w:rPr>
          <w:rFonts w:eastAsia="Times New Roman"/>
          <w:szCs w:val="17"/>
        </w:rPr>
        <w:t>•</w:t>
      </w:r>
      <w:r w:rsidRPr="00E26C8E">
        <w:rPr>
          <w:rFonts w:eastAsia="Times New Roman"/>
          <w:szCs w:val="17"/>
        </w:rPr>
        <w:tab/>
        <w:t>Towns, houses and homesteads, existing roads, rails, fences, transmission lines, buildings, dams and pipelines.</w:t>
      </w:r>
    </w:p>
    <w:p w:rsidR="00E26C8E" w:rsidRPr="00E26C8E" w:rsidRDefault="00E26C8E" w:rsidP="00E26C8E">
      <w:pPr>
        <w:ind w:left="567" w:hanging="283"/>
        <w:rPr>
          <w:rFonts w:eastAsia="Times New Roman"/>
          <w:szCs w:val="17"/>
        </w:rPr>
      </w:pPr>
      <w:r w:rsidRPr="00E26C8E">
        <w:rPr>
          <w:rFonts w:eastAsia="Times New Roman"/>
          <w:szCs w:val="17"/>
        </w:rPr>
        <w:t>•</w:t>
      </w:r>
      <w:r w:rsidRPr="00E26C8E">
        <w:rPr>
          <w:rFonts w:eastAsia="Times New Roman"/>
          <w:szCs w:val="17"/>
        </w:rPr>
        <w:tab/>
        <w:t>Known sightings of listed species.</w:t>
      </w:r>
    </w:p>
    <w:p w:rsidR="00E26C8E" w:rsidRPr="00E26C8E" w:rsidRDefault="00E26C8E" w:rsidP="00E26C8E">
      <w:pPr>
        <w:ind w:left="567" w:hanging="283"/>
        <w:rPr>
          <w:rFonts w:eastAsia="Times New Roman"/>
          <w:szCs w:val="17"/>
        </w:rPr>
      </w:pPr>
      <w:r w:rsidRPr="00E26C8E">
        <w:rPr>
          <w:rFonts w:eastAsia="Times New Roman"/>
          <w:szCs w:val="17"/>
        </w:rPr>
        <w:t>•</w:t>
      </w:r>
      <w:r w:rsidRPr="00E26C8E">
        <w:rPr>
          <w:rFonts w:eastAsia="Times New Roman"/>
          <w:szCs w:val="17"/>
        </w:rPr>
        <w:tab/>
        <w:t>Location and extent of all environmentally sensitive areas.</w:t>
      </w:r>
    </w:p>
    <w:p w:rsidR="00E26C8E" w:rsidRPr="00E26C8E" w:rsidRDefault="00E26C8E" w:rsidP="00E26C8E">
      <w:pPr>
        <w:ind w:left="567" w:hanging="283"/>
        <w:rPr>
          <w:rFonts w:eastAsia="Times New Roman"/>
          <w:szCs w:val="17"/>
        </w:rPr>
      </w:pPr>
      <w:r w:rsidRPr="00E26C8E">
        <w:rPr>
          <w:rFonts w:eastAsia="Times New Roman"/>
          <w:szCs w:val="17"/>
        </w:rPr>
        <w:t>•</w:t>
      </w:r>
      <w:r w:rsidRPr="00E26C8E">
        <w:rPr>
          <w:rFonts w:eastAsia="Times New Roman"/>
          <w:szCs w:val="17"/>
        </w:rPr>
        <w:tab/>
        <w:t>Any relevant land use types—eg parks and reserves, Aboriginal freehold land, Woomera Prohibited Area.</w:t>
      </w:r>
    </w:p>
    <w:p w:rsidR="00E26C8E" w:rsidRPr="00E26C8E" w:rsidRDefault="00E26C8E" w:rsidP="00E26C8E">
      <w:pPr>
        <w:ind w:left="284" w:hanging="284"/>
        <w:rPr>
          <w:rFonts w:eastAsia="Times New Roman"/>
          <w:b/>
          <w:szCs w:val="17"/>
        </w:rPr>
      </w:pPr>
      <w:r w:rsidRPr="00E26C8E">
        <w:rPr>
          <w:rFonts w:eastAsia="Times New Roman"/>
          <w:b/>
          <w:szCs w:val="17"/>
        </w:rPr>
        <w:t>10.</w:t>
      </w:r>
      <w:r w:rsidRPr="00E26C8E">
        <w:rPr>
          <w:rFonts w:eastAsia="Times New Roman"/>
          <w:b/>
          <w:szCs w:val="17"/>
        </w:rPr>
        <w:tab/>
        <w:t>ADDITIONAL INFORMATION</w:t>
      </w:r>
    </w:p>
    <w:p w:rsidR="00E26C8E" w:rsidRPr="00E26C8E" w:rsidRDefault="00E26C8E" w:rsidP="00E26C8E">
      <w:pPr>
        <w:ind w:left="284"/>
        <w:rPr>
          <w:rFonts w:eastAsia="Times New Roman"/>
          <w:szCs w:val="17"/>
        </w:rPr>
      </w:pPr>
      <w:r w:rsidRPr="00E26C8E">
        <w:rPr>
          <w:rFonts w:eastAsia="Times New Roman"/>
          <w:szCs w:val="17"/>
        </w:rPr>
        <w:t>An application for an Exploration PEPR must include additional information as set out in regulations 63(e) of the</w:t>
      </w:r>
      <w:r w:rsidRPr="00E26C8E">
        <w:rPr>
          <w:rFonts w:eastAsia="Times New Roman"/>
          <w:i/>
          <w:szCs w:val="17"/>
        </w:rPr>
        <w:t xml:space="preserve"> Mining Regulations 2020</w:t>
      </w:r>
      <w:r w:rsidRPr="00E26C8E">
        <w:rPr>
          <w:rFonts w:eastAsia="Times New Roman"/>
          <w:szCs w:val="17"/>
        </w:rPr>
        <w:t>, and must comply with the determinations of these Terms of Reference as set out below:</w:t>
      </w:r>
    </w:p>
    <w:p w:rsidR="00E26C8E" w:rsidRPr="00E26C8E" w:rsidRDefault="00E26C8E" w:rsidP="00E26C8E">
      <w:pPr>
        <w:ind w:left="709" w:hanging="425"/>
        <w:rPr>
          <w:rFonts w:eastAsia="Times New Roman"/>
          <w:b/>
          <w:szCs w:val="17"/>
        </w:rPr>
      </w:pPr>
      <w:r w:rsidRPr="00E26C8E">
        <w:rPr>
          <w:rFonts w:eastAsia="Times New Roman"/>
          <w:b/>
          <w:szCs w:val="17"/>
        </w:rPr>
        <w:t>10.1</w:t>
      </w:r>
      <w:r w:rsidRPr="00E26C8E">
        <w:rPr>
          <w:rFonts w:eastAsia="Times New Roman"/>
          <w:b/>
          <w:szCs w:val="17"/>
        </w:rPr>
        <w:tab/>
        <w:t>Exploration operations period</w:t>
      </w:r>
    </w:p>
    <w:p w:rsidR="00E26C8E" w:rsidRPr="00E26C8E" w:rsidRDefault="00E26C8E" w:rsidP="00E26C8E">
      <w:pPr>
        <w:ind w:left="709"/>
        <w:rPr>
          <w:rFonts w:eastAsia="Times New Roman"/>
          <w:szCs w:val="17"/>
        </w:rPr>
      </w:pPr>
      <w:r w:rsidRPr="00E26C8E">
        <w:rPr>
          <w:rFonts w:eastAsia="Times New Roman"/>
          <w:szCs w:val="17"/>
        </w:rPr>
        <w:t>Where the exploration operations described in accordance with section 70B(2)(a) of the</w:t>
      </w:r>
      <w:r w:rsidRPr="00E26C8E">
        <w:rPr>
          <w:rFonts w:eastAsia="Times New Roman"/>
          <w:i/>
          <w:szCs w:val="17"/>
        </w:rPr>
        <w:t xml:space="preserve"> Mining Act 1971</w:t>
      </w:r>
      <w:r w:rsidRPr="00E26C8E">
        <w:rPr>
          <w:rFonts w:eastAsia="Times New Roman"/>
          <w:szCs w:val="17"/>
        </w:rPr>
        <w:t xml:space="preserve"> exceed 12 months in duration, the following additional information must be provided:</w:t>
      </w:r>
    </w:p>
    <w:p w:rsidR="00E26C8E" w:rsidRPr="00E26C8E" w:rsidRDefault="00E26C8E" w:rsidP="00E26C8E">
      <w:pPr>
        <w:ind w:left="993" w:hanging="284"/>
        <w:rPr>
          <w:rFonts w:eastAsia="Times New Roman"/>
          <w:szCs w:val="17"/>
        </w:rPr>
      </w:pPr>
      <w:r w:rsidRPr="00E26C8E">
        <w:rPr>
          <w:rFonts w:eastAsia="Times New Roman"/>
          <w:szCs w:val="17"/>
        </w:rPr>
        <w:t>•</w:t>
      </w:r>
      <w:r w:rsidRPr="00E26C8E">
        <w:rPr>
          <w:rFonts w:eastAsia="Times New Roman"/>
          <w:szCs w:val="17"/>
        </w:rPr>
        <w:tab/>
        <w:t>Scope of the proposed exploration operations.</w:t>
      </w:r>
    </w:p>
    <w:p w:rsidR="00E26C8E" w:rsidRPr="00E26C8E" w:rsidRDefault="00E26C8E" w:rsidP="00E26C8E">
      <w:pPr>
        <w:ind w:left="993" w:hanging="284"/>
        <w:rPr>
          <w:rFonts w:eastAsia="Times New Roman"/>
          <w:szCs w:val="17"/>
        </w:rPr>
      </w:pPr>
      <w:r w:rsidRPr="00E26C8E">
        <w:rPr>
          <w:rFonts w:eastAsia="Times New Roman"/>
          <w:szCs w:val="17"/>
        </w:rPr>
        <w:t>•</w:t>
      </w:r>
      <w:r w:rsidRPr="00E26C8E">
        <w:rPr>
          <w:rFonts w:eastAsia="Times New Roman"/>
          <w:szCs w:val="17"/>
        </w:rPr>
        <w:tab/>
        <w:t>All exploration methods to be covered by the PEPR.</w:t>
      </w:r>
    </w:p>
    <w:p w:rsidR="00E26C8E" w:rsidRPr="00E26C8E" w:rsidRDefault="00E26C8E" w:rsidP="00E26C8E">
      <w:pPr>
        <w:ind w:left="993" w:hanging="284"/>
        <w:rPr>
          <w:rFonts w:eastAsia="Times New Roman"/>
          <w:szCs w:val="17"/>
        </w:rPr>
      </w:pPr>
      <w:r w:rsidRPr="00E26C8E">
        <w:rPr>
          <w:rFonts w:eastAsia="Times New Roman"/>
          <w:szCs w:val="17"/>
        </w:rPr>
        <w:t>•</w:t>
      </w:r>
      <w:r w:rsidRPr="00E26C8E">
        <w:rPr>
          <w:rFonts w:eastAsia="Times New Roman"/>
          <w:szCs w:val="17"/>
        </w:rPr>
        <w:tab/>
        <w:t>Extent of exploration operations—e.g. drillhole spacing and drill line density.</w:t>
      </w:r>
    </w:p>
    <w:p w:rsidR="00E26C8E" w:rsidRPr="00E26C8E" w:rsidRDefault="00E26C8E" w:rsidP="00E26C8E">
      <w:pPr>
        <w:ind w:left="993" w:hanging="284"/>
        <w:rPr>
          <w:rFonts w:eastAsia="Times New Roman"/>
          <w:szCs w:val="17"/>
        </w:rPr>
      </w:pPr>
      <w:r w:rsidRPr="00E26C8E">
        <w:rPr>
          <w:rFonts w:eastAsia="Times New Roman"/>
          <w:szCs w:val="17"/>
        </w:rPr>
        <w:t>•</w:t>
      </w:r>
      <w:r w:rsidRPr="00E26C8E">
        <w:rPr>
          <w:rFonts w:eastAsia="Times New Roman"/>
          <w:szCs w:val="17"/>
        </w:rPr>
        <w:tab/>
        <w:t>Geographic extent of the area covered by the PEPR, including a general locality plan with tenement details, landowner boundaries and areas with environmental classifications or sensitivities.</w:t>
      </w:r>
    </w:p>
    <w:p w:rsidR="00E26C8E" w:rsidRPr="00E26C8E" w:rsidRDefault="00E26C8E" w:rsidP="00E26C8E">
      <w:pPr>
        <w:ind w:left="993" w:hanging="284"/>
        <w:rPr>
          <w:rFonts w:eastAsia="Times New Roman"/>
          <w:szCs w:val="17"/>
        </w:rPr>
      </w:pPr>
      <w:r w:rsidRPr="00E26C8E">
        <w:rPr>
          <w:rFonts w:eastAsia="Times New Roman"/>
          <w:szCs w:val="17"/>
        </w:rPr>
        <w:t>•</w:t>
      </w:r>
      <w:r w:rsidRPr="00E26C8E">
        <w:rPr>
          <w:rFonts w:eastAsia="Times New Roman"/>
          <w:szCs w:val="17"/>
        </w:rPr>
        <w:tab/>
        <w:t>Specific environments where exploration operations will not be conducted—e.g. parks, reserves, salt lakes etc.</w:t>
      </w:r>
    </w:p>
    <w:p w:rsidR="00E26C8E" w:rsidRPr="00E26C8E" w:rsidRDefault="00E26C8E" w:rsidP="00E26C8E">
      <w:pPr>
        <w:spacing w:after="0" w:line="240" w:lineRule="auto"/>
        <w:jc w:val="left"/>
        <w:rPr>
          <w:rFonts w:eastAsia="Times New Roman"/>
          <w:b/>
          <w:szCs w:val="17"/>
        </w:rPr>
      </w:pPr>
      <w:r w:rsidRPr="00E26C8E">
        <w:rPr>
          <w:rFonts w:eastAsia="Times New Roman"/>
          <w:b/>
          <w:szCs w:val="17"/>
        </w:rPr>
        <w:br w:type="page"/>
      </w:r>
    </w:p>
    <w:p w:rsidR="00E26C8E" w:rsidRPr="00E26C8E" w:rsidRDefault="00E26C8E" w:rsidP="00E26C8E">
      <w:pPr>
        <w:ind w:left="709" w:hanging="425"/>
        <w:rPr>
          <w:rFonts w:eastAsia="Times New Roman"/>
          <w:b/>
          <w:szCs w:val="17"/>
        </w:rPr>
      </w:pPr>
      <w:r w:rsidRPr="00E26C8E">
        <w:rPr>
          <w:rFonts w:eastAsia="Times New Roman"/>
          <w:b/>
          <w:szCs w:val="17"/>
        </w:rPr>
        <w:t>10.2</w:t>
      </w:r>
      <w:r w:rsidRPr="00E26C8E">
        <w:rPr>
          <w:rFonts w:eastAsia="Times New Roman"/>
          <w:b/>
          <w:szCs w:val="17"/>
        </w:rPr>
        <w:tab/>
        <w:t>Work undertaken in preparing the PEPR</w:t>
      </w:r>
    </w:p>
    <w:p w:rsidR="00E26C8E" w:rsidRPr="00E26C8E" w:rsidRDefault="00E26C8E" w:rsidP="00E26C8E">
      <w:pPr>
        <w:ind w:left="709"/>
        <w:rPr>
          <w:rFonts w:eastAsia="Times New Roman"/>
          <w:szCs w:val="17"/>
        </w:rPr>
      </w:pPr>
      <w:r w:rsidRPr="00E26C8E">
        <w:rPr>
          <w:rFonts w:eastAsia="Times New Roman"/>
          <w:szCs w:val="17"/>
        </w:rPr>
        <w:t>Summarise the research and fieldwork undertaken in preparing the PEPR including:</w:t>
      </w:r>
    </w:p>
    <w:p w:rsidR="00E26C8E" w:rsidRPr="00E26C8E" w:rsidRDefault="00E26C8E" w:rsidP="00E26C8E">
      <w:pPr>
        <w:ind w:left="993" w:hanging="284"/>
        <w:rPr>
          <w:rFonts w:eastAsia="Times New Roman"/>
          <w:szCs w:val="17"/>
        </w:rPr>
      </w:pPr>
      <w:r w:rsidRPr="00E26C8E">
        <w:rPr>
          <w:rFonts w:eastAsia="Times New Roman"/>
          <w:szCs w:val="17"/>
        </w:rPr>
        <w:t>•</w:t>
      </w:r>
      <w:r w:rsidRPr="00E26C8E">
        <w:rPr>
          <w:rFonts w:eastAsia="Times New Roman"/>
          <w:szCs w:val="17"/>
        </w:rPr>
        <w:tab/>
        <w:t>Desktop reviews of existing information.</w:t>
      </w:r>
    </w:p>
    <w:p w:rsidR="00E26C8E" w:rsidRPr="00E26C8E" w:rsidRDefault="00E26C8E" w:rsidP="00E26C8E">
      <w:pPr>
        <w:ind w:left="993" w:hanging="284"/>
        <w:rPr>
          <w:rFonts w:eastAsia="Times New Roman"/>
          <w:szCs w:val="17"/>
        </w:rPr>
      </w:pPr>
      <w:r w:rsidRPr="00E26C8E">
        <w:rPr>
          <w:rFonts w:eastAsia="Times New Roman"/>
          <w:szCs w:val="17"/>
        </w:rPr>
        <w:t>•</w:t>
      </w:r>
      <w:r w:rsidRPr="00E26C8E">
        <w:rPr>
          <w:rFonts w:eastAsia="Times New Roman"/>
          <w:szCs w:val="17"/>
        </w:rPr>
        <w:tab/>
        <w:t>Field visits for reconnaissance.</w:t>
      </w:r>
    </w:p>
    <w:p w:rsidR="00E26C8E" w:rsidRPr="00E26C8E" w:rsidRDefault="00E26C8E" w:rsidP="00E26C8E">
      <w:pPr>
        <w:ind w:left="993" w:hanging="284"/>
        <w:rPr>
          <w:rFonts w:eastAsia="Times New Roman"/>
          <w:szCs w:val="17"/>
        </w:rPr>
      </w:pPr>
      <w:r w:rsidRPr="00E26C8E">
        <w:rPr>
          <w:rFonts w:eastAsia="Times New Roman"/>
          <w:szCs w:val="17"/>
        </w:rPr>
        <w:t>•</w:t>
      </w:r>
      <w:r w:rsidRPr="00E26C8E">
        <w:rPr>
          <w:rFonts w:eastAsia="Times New Roman"/>
          <w:szCs w:val="17"/>
        </w:rPr>
        <w:tab/>
        <w:t>Contractor consultation i.e. equipment scale, type.</w:t>
      </w:r>
    </w:p>
    <w:p w:rsidR="00E26C8E" w:rsidRPr="00E26C8E" w:rsidRDefault="00E26C8E" w:rsidP="00E26C8E">
      <w:pPr>
        <w:ind w:left="709"/>
        <w:rPr>
          <w:rFonts w:eastAsia="Times New Roman"/>
          <w:szCs w:val="17"/>
        </w:rPr>
      </w:pPr>
      <w:r w:rsidRPr="00E26C8E">
        <w:rPr>
          <w:rFonts w:eastAsia="Times New Roman"/>
          <w:szCs w:val="17"/>
        </w:rPr>
        <w:t>Other information used when planning the proposed program.</w:t>
      </w:r>
    </w:p>
    <w:p w:rsidR="00E26C8E" w:rsidRPr="00E26C8E" w:rsidRDefault="00E26C8E" w:rsidP="00E26C8E">
      <w:pPr>
        <w:spacing w:after="0"/>
        <w:rPr>
          <w:rFonts w:eastAsia="Times New Roman"/>
          <w:szCs w:val="17"/>
        </w:rPr>
      </w:pPr>
      <w:r w:rsidRPr="00E26C8E">
        <w:rPr>
          <w:rFonts w:eastAsia="Times New Roman"/>
          <w:szCs w:val="17"/>
        </w:rPr>
        <w:t>Dated: 11 December 2020</w:t>
      </w:r>
    </w:p>
    <w:p w:rsidR="00E26C8E" w:rsidRPr="00E26C8E" w:rsidRDefault="00E26C8E" w:rsidP="00E26C8E">
      <w:pPr>
        <w:spacing w:after="0"/>
        <w:jc w:val="right"/>
        <w:rPr>
          <w:rFonts w:eastAsia="Times New Roman"/>
          <w:smallCaps/>
          <w:szCs w:val="20"/>
        </w:rPr>
      </w:pPr>
      <w:r w:rsidRPr="00E26C8E">
        <w:rPr>
          <w:rFonts w:eastAsia="Times New Roman"/>
          <w:smallCaps/>
          <w:szCs w:val="20"/>
        </w:rPr>
        <w:t>Hon. Daniel van Holst Pellekaan</w:t>
      </w:r>
    </w:p>
    <w:p w:rsidR="00E26C8E" w:rsidRPr="00E26C8E" w:rsidRDefault="00E26C8E" w:rsidP="00E26C8E">
      <w:pPr>
        <w:spacing w:after="0"/>
        <w:jc w:val="right"/>
        <w:rPr>
          <w:rFonts w:eastAsia="Times New Roman"/>
          <w:szCs w:val="17"/>
        </w:rPr>
      </w:pPr>
      <w:r w:rsidRPr="00E26C8E">
        <w:rPr>
          <w:rFonts w:eastAsia="Times New Roman"/>
          <w:szCs w:val="17"/>
        </w:rPr>
        <w:t>Minister for Energy and Mining</w:t>
      </w:r>
    </w:p>
    <w:p w:rsidR="00E26C8E" w:rsidRPr="00E26C8E" w:rsidRDefault="00E26C8E" w:rsidP="00E26C8E">
      <w:pPr>
        <w:pBdr>
          <w:top w:val="single" w:sz="4" w:space="1" w:color="auto"/>
        </w:pBdr>
        <w:spacing w:before="100" w:after="0" w:line="14" w:lineRule="exact"/>
        <w:jc w:val="center"/>
        <w:rPr>
          <w:rFonts w:eastAsia="Times New Roman"/>
          <w:szCs w:val="17"/>
        </w:rPr>
      </w:pPr>
    </w:p>
    <w:p w:rsidR="00E26C8E" w:rsidRPr="00E26C8E" w:rsidRDefault="00E26C8E" w:rsidP="00E26C8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E26C8E" w:rsidRPr="00E26C8E" w:rsidRDefault="00E26C8E" w:rsidP="00E26C8E">
      <w:pPr>
        <w:jc w:val="center"/>
        <w:rPr>
          <w:caps/>
          <w:szCs w:val="17"/>
        </w:rPr>
      </w:pPr>
      <w:r w:rsidRPr="00E26C8E">
        <w:rPr>
          <w:caps/>
          <w:szCs w:val="17"/>
        </w:rPr>
        <w:t>Mining Act 1971</w:t>
      </w:r>
    </w:p>
    <w:p w:rsidR="00E26C8E" w:rsidRPr="00E26C8E" w:rsidRDefault="00E26C8E" w:rsidP="00E26C8E">
      <w:pPr>
        <w:jc w:val="center"/>
        <w:rPr>
          <w:smallCaps/>
          <w:szCs w:val="17"/>
        </w:rPr>
      </w:pPr>
      <w:r w:rsidRPr="00E26C8E">
        <w:rPr>
          <w:smallCaps/>
          <w:szCs w:val="17"/>
        </w:rPr>
        <w:t>Part 10A</w:t>
      </w:r>
    </w:p>
    <w:p w:rsidR="00E26C8E" w:rsidRPr="00E26C8E" w:rsidRDefault="00E26C8E" w:rsidP="00E26C8E">
      <w:pPr>
        <w:jc w:val="center"/>
        <w:rPr>
          <w:i/>
          <w:szCs w:val="17"/>
        </w:rPr>
      </w:pPr>
      <w:r w:rsidRPr="00E26C8E">
        <w:rPr>
          <w:i/>
          <w:szCs w:val="17"/>
        </w:rPr>
        <w:t>Terms of Reference for Metallic and Industrial Mineral PEPRS</w:t>
      </w:r>
    </w:p>
    <w:p w:rsidR="00E26C8E" w:rsidRPr="00E26C8E" w:rsidRDefault="00E26C8E" w:rsidP="00E26C8E">
      <w:pPr>
        <w:rPr>
          <w:rFonts w:eastAsia="Times New Roman"/>
          <w:szCs w:val="17"/>
        </w:rPr>
      </w:pPr>
      <w:r w:rsidRPr="00E26C8E">
        <w:rPr>
          <w:rFonts w:eastAsia="Times New Roman"/>
          <w:szCs w:val="17"/>
        </w:rPr>
        <w:t>A Program for Environment Protection and Rehabilitation (PEPR) under Part 10A of the</w:t>
      </w:r>
      <w:r w:rsidRPr="00E26C8E">
        <w:rPr>
          <w:rFonts w:eastAsia="Times New Roman"/>
          <w:i/>
          <w:szCs w:val="17"/>
        </w:rPr>
        <w:t xml:space="preserve"> Mining Act 1971</w:t>
      </w:r>
      <w:r w:rsidRPr="00E26C8E">
        <w:rPr>
          <w:rFonts w:eastAsia="Times New Roman"/>
          <w:szCs w:val="17"/>
        </w:rPr>
        <w:t xml:space="preserve"> for the recovery of metallic or industrial minerals must:</w:t>
      </w:r>
    </w:p>
    <w:p w:rsidR="00E26C8E" w:rsidRPr="00E26C8E" w:rsidRDefault="00E26C8E" w:rsidP="00E26C8E">
      <w:pPr>
        <w:ind w:left="426" w:hanging="284"/>
        <w:rPr>
          <w:rFonts w:eastAsia="Times New Roman"/>
          <w:szCs w:val="17"/>
        </w:rPr>
      </w:pPr>
      <w:r w:rsidRPr="00E26C8E">
        <w:rPr>
          <w:rFonts w:eastAsia="Times New Roman"/>
          <w:szCs w:val="17"/>
        </w:rPr>
        <w:t>•</w:t>
      </w:r>
      <w:r w:rsidRPr="00E26C8E">
        <w:rPr>
          <w:rFonts w:eastAsia="Times New Roman"/>
          <w:szCs w:val="17"/>
        </w:rPr>
        <w:tab/>
        <w:t>comply with sections 70B and 70C of the</w:t>
      </w:r>
      <w:r w:rsidRPr="00E26C8E">
        <w:rPr>
          <w:rFonts w:eastAsia="Times New Roman"/>
          <w:i/>
          <w:szCs w:val="17"/>
        </w:rPr>
        <w:t xml:space="preserve"> Mining Act 1971</w:t>
      </w:r>
      <w:r w:rsidRPr="00E26C8E">
        <w:rPr>
          <w:rFonts w:eastAsia="Times New Roman"/>
          <w:szCs w:val="17"/>
        </w:rPr>
        <w:t>, regulations 63, 64 and 66 of the</w:t>
      </w:r>
      <w:r w:rsidRPr="00E26C8E">
        <w:rPr>
          <w:rFonts w:eastAsia="Times New Roman"/>
          <w:i/>
          <w:szCs w:val="17"/>
        </w:rPr>
        <w:t xml:space="preserve"> Mining Regulations 2020</w:t>
      </w:r>
      <w:r w:rsidRPr="00E26C8E">
        <w:rPr>
          <w:rFonts w:eastAsia="Times New Roman"/>
          <w:szCs w:val="17"/>
        </w:rPr>
        <w:t xml:space="preserve"> and any determinations set out in this Terms of Reference; and</w:t>
      </w:r>
    </w:p>
    <w:p w:rsidR="00E26C8E" w:rsidRPr="00E26C8E" w:rsidRDefault="00E26C8E" w:rsidP="00E26C8E">
      <w:pPr>
        <w:ind w:left="426" w:hanging="284"/>
        <w:rPr>
          <w:rFonts w:eastAsia="Times New Roman"/>
          <w:szCs w:val="17"/>
        </w:rPr>
      </w:pPr>
      <w:r w:rsidRPr="00E26C8E">
        <w:rPr>
          <w:rFonts w:eastAsia="Times New Roman"/>
          <w:szCs w:val="17"/>
        </w:rPr>
        <w:t>•</w:t>
      </w:r>
      <w:r w:rsidRPr="00E26C8E">
        <w:rPr>
          <w:rFonts w:eastAsia="Times New Roman"/>
          <w:szCs w:val="17"/>
        </w:rPr>
        <w:tab/>
        <w:t>be accompanied by a declaration of accuracy that complies with regulation 84 of the</w:t>
      </w:r>
      <w:r w:rsidRPr="00E26C8E">
        <w:rPr>
          <w:rFonts w:eastAsia="Times New Roman"/>
          <w:i/>
          <w:szCs w:val="17"/>
        </w:rPr>
        <w:t xml:space="preserve"> Mining Regulations 2020</w:t>
      </w:r>
      <w:r w:rsidRPr="00E26C8E">
        <w:rPr>
          <w:rFonts w:eastAsia="Times New Roman"/>
          <w:szCs w:val="17"/>
        </w:rPr>
        <w:t>; and</w:t>
      </w:r>
    </w:p>
    <w:p w:rsidR="00E26C8E" w:rsidRPr="00E26C8E" w:rsidRDefault="00E26C8E" w:rsidP="00E26C8E">
      <w:pPr>
        <w:ind w:left="426" w:hanging="284"/>
        <w:rPr>
          <w:rFonts w:eastAsia="Times New Roman"/>
          <w:szCs w:val="17"/>
        </w:rPr>
      </w:pPr>
      <w:r w:rsidRPr="00E26C8E">
        <w:rPr>
          <w:rFonts w:eastAsia="Times New Roman"/>
          <w:szCs w:val="17"/>
        </w:rPr>
        <w:t>•</w:t>
      </w:r>
      <w:r w:rsidRPr="00E26C8E">
        <w:rPr>
          <w:rFonts w:eastAsia="Times New Roman"/>
          <w:szCs w:val="17"/>
        </w:rPr>
        <w:tab/>
        <w:t>be accompanied by the relevant application fee.</w:t>
      </w:r>
    </w:p>
    <w:p w:rsidR="00E26C8E" w:rsidRPr="00E26C8E" w:rsidRDefault="00E26C8E" w:rsidP="00E26C8E">
      <w:pPr>
        <w:rPr>
          <w:rFonts w:eastAsia="Times New Roman"/>
          <w:b/>
          <w:szCs w:val="17"/>
        </w:rPr>
      </w:pPr>
      <w:r w:rsidRPr="00E26C8E">
        <w:rPr>
          <w:rFonts w:eastAsia="Times New Roman"/>
          <w:b/>
          <w:szCs w:val="17"/>
        </w:rPr>
        <w:t>FORM OF THE PEPR</w:t>
      </w:r>
    </w:p>
    <w:p w:rsidR="00E26C8E" w:rsidRPr="00E26C8E" w:rsidRDefault="00E26C8E" w:rsidP="00E26C8E">
      <w:pPr>
        <w:ind w:left="142"/>
        <w:rPr>
          <w:rFonts w:eastAsia="Times New Roman"/>
          <w:szCs w:val="17"/>
        </w:rPr>
      </w:pPr>
      <w:r w:rsidRPr="00E26C8E">
        <w:rPr>
          <w:rFonts w:eastAsia="Times New Roman"/>
          <w:szCs w:val="17"/>
        </w:rPr>
        <w:t>A PEPR for a ML and/or MPL for minerals or industrial minerals must in accordance with section 70B(4a) of the</w:t>
      </w:r>
      <w:r w:rsidRPr="00E26C8E">
        <w:rPr>
          <w:rFonts w:eastAsia="Times New Roman"/>
          <w:i/>
          <w:szCs w:val="17"/>
        </w:rPr>
        <w:t xml:space="preserve"> Mining Act 1971</w:t>
      </w:r>
      <w:r w:rsidRPr="00E26C8E">
        <w:rPr>
          <w:rFonts w:eastAsia="Times New Roman"/>
          <w:szCs w:val="17"/>
        </w:rPr>
        <w:t xml:space="preserve"> be submitted to the Minister for approval in the following form, unless otherwise specified by the Director of Mines or an authorised officer:</w:t>
      </w:r>
    </w:p>
    <w:p w:rsidR="00E26C8E" w:rsidRPr="00E26C8E" w:rsidRDefault="00E26C8E" w:rsidP="00E26C8E">
      <w:pPr>
        <w:ind w:left="567" w:hanging="284"/>
        <w:rPr>
          <w:rFonts w:eastAsia="Times New Roman"/>
          <w:szCs w:val="17"/>
        </w:rPr>
      </w:pPr>
      <w:r w:rsidRPr="00E26C8E">
        <w:rPr>
          <w:rFonts w:eastAsia="Times New Roman"/>
          <w:szCs w:val="17"/>
        </w:rPr>
        <w:t>•</w:t>
      </w:r>
      <w:r w:rsidRPr="00E26C8E">
        <w:rPr>
          <w:rFonts w:eastAsia="Times New Roman"/>
          <w:szCs w:val="17"/>
        </w:rPr>
        <w:tab/>
        <w:t>an electronic version of the PEPR must be submitted online through the relevant government website, or if approved by the Director of Mines or an authorised officer, submitted via email, post or courier and should be marked ‘Attention: Mining Assessments’;</w:t>
      </w:r>
    </w:p>
    <w:p w:rsidR="00E26C8E" w:rsidRPr="00E26C8E" w:rsidRDefault="00E26C8E" w:rsidP="00E26C8E">
      <w:pPr>
        <w:ind w:left="567" w:hanging="284"/>
        <w:rPr>
          <w:rFonts w:eastAsia="Times New Roman"/>
          <w:szCs w:val="17"/>
        </w:rPr>
      </w:pPr>
      <w:r w:rsidRPr="00E26C8E">
        <w:rPr>
          <w:rFonts w:eastAsia="Times New Roman"/>
          <w:szCs w:val="17"/>
        </w:rPr>
        <w:t>•</w:t>
      </w:r>
      <w:r w:rsidRPr="00E26C8E">
        <w:rPr>
          <w:rFonts w:eastAsia="Times New Roman"/>
          <w:szCs w:val="17"/>
        </w:rPr>
        <w:tab/>
        <w:t>each page, plan or other separate sheet must include the tenement number(s), date of the PEPR preparation and sequential page numbering; and</w:t>
      </w:r>
    </w:p>
    <w:p w:rsidR="00E26C8E" w:rsidRPr="00E26C8E" w:rsidRDefault="00E26C8E" w:rsidP="00E26C8E">
      <w:pPr>
        <w:ind w:left="567" w:hanging="284"/>
        <w:rPr>
          <w:rFonts w:eastAsia="Times New Roman"/>
          <w:szCs w:val="17"/>
        </w:rPr>
      </w:pPr>
      <w:r w:rsidRPr="00E26C8E">
        <w:rPr>
          <w:rFonts w:eastAsia="Times New Roman"/>
          <w:szCs w:val="17"/>
        </w:rPr>
        <w:t>•</w:t>
      </w:r>
      <w:r w:rsidRPr="00E26C8E">
        <w:rPr>
          <w:rFonts w:eastAsia="Times New Roman"/>
          <w:szCs w:val="17"/>
        </w:rPr>
        <w:tab/>
        <w:t>the electronic version must be submitted in one single Acrobat PDF file or if requested by the Director of Mines or an authorised officer, Microsoft Word compatible files must be submitted;</w:t>
      </w:r>
    </w:p>
    <w:p w:rsidR="00E26C8E" w:rsidRPr="00E26C8E" w:rsidRDefault="00E26C8E" w:rsidP="00E26C8E">
      <w:pPr>
        <w:ind w:left="142"/>
        <w:rPr>
          <w:rFonts w:eastAsia="Times New Roman"/>
          <w:szCs w:val="17"/>
        </w:rPr>
      </w:pPr>
      <w:r w:rsidRPr="00E26C8E">
        <w:rPr>
          <w:rFonts w:eastAsia="Times New Roman"/>
          <w:szCs w:val="17"/>
        </w:rPr>
        <w:t>A reviewed PEPR submitted to the Minister for approval under section 70C of the</w:t>
      </w:r>
      <w:r w:rsidRPr="00E26C8E">
        <w:rPr>
          <w:rFonts w:eastAsia="Times New Roman"/>
          <w:i/>
          <w:szCs w:val="17"/>
        </w:rPr>
        <w:t xml:space="preserve"> Mining Act 1971</w:t>
      </w:r>
      <w:r w:rsidRPr="00E26C8E">
        <w:rPr>
          <w:rFonts w:eastAsia="Times New Roman"/>
          <w:szCs w:val="17"/>
        </w:rPr>
        <w:t>, must in accordance with regulation 63(1)(e) include a description or summary of all content changes made to the submitted PEPR.</w:t>
      </w:r>
    </w:p>
    <w:p w:rsidR="00E26C8E" w:rsidRPr="00E26C8E" w:rsidRDefault="00E26C8E" w:rsidP="00E26C8E">
      <w:pPr>
        <w:rPr>
          <w:rFonts w:eastAsia="Times New Roman"/>
          <w:b/>
          <w:szCs w:val="17"/>
        </w:rPr>
      </w:pPr>
      <w:r w:rsidRPr="00E26C8E">
        <w:rPr>
          <w:rFonts w:eastAsia="Times New Roman"/>
          <w:b/>
          <w:szCs w:val="17"/>
        </w:rPr>
        <w:t>PEPR</w:t>
      </w:r>
    </w:p>
    <w:p w:rsidR="00E26C8E" w:rsidRPr="00E26C8E" w:rsidRDefault="00E26C8E" w:rsidP="00E26C8E">
      <w:pPr>
        <w:ind w:left="142"/>
        <w:rPr>
          <w:rFonts w:eastAsia="Times New Roman"/>
          <w:szCs w:val="17"/>
        </w:rPr>
      </w:pPr>
      <w:r w:rsidRPr="00E26C8E">
        <w:rPr>
          <w:rFonts w:eastAsia="Times New Roman"/>
          <w:szCs w:val="17"/>
        </w:rPr>
        <w:t>A PEPR for a ML and/or MPL must comply with sections 70B and 70C of the</w:t>
      </w:r>
      <w:r w:rsidRPr="00E26C8E">
        <w:rPr>
          <w:rFonts w:eastAsia="Times New Roman"/>
          <w:i/>
          <w:szCs w:val="17"/>
        </w:rPr>
        <w:t xml:space="preserve"> Mining Act 1971</w:t>
      </w:r>
      <w:r w:rsidRPr="00E26C8E">
        <w:rPr>
          <w:rFonts w:eastAsia="Times New Roman"/>
          <w:szCs w:val="17"/>
        </w:rPr>
        <w:t xml:space="preserve"> and regulations 63, 64 and 66 of the</w:t>
      </w:r>
      <w:r w:rsidRPr="00E26C8E">
        <w:rPr>
          <w:rFonts w:eastAsia="Times New Roman"/>
          <w:i/>
          <w:szCs w:val="17"/>
        </w:rPr>
        <w:t xml:space="preserve"> Mining Regulations 2020</w:t>
      </w:r>
      <w:r w:rsidRPr="00E26C8E">
        <w:rPr>
          <w:rFonts w:eastAsia="Times New Roman"/>
          <w:szCs w:val="17"/>
        </w:rPr>
        <w:t>, and must comply with the following determinations of this Terms of Reference as set out below:</w:t>
      </w:r>
    </w:p>
    <w:p w:rsidR="00E26C8E" w:rsidRPr="00E26C8E" w:rsidRDefault="00E26C8E" w:rsidP="00E26C8E">
      <w:pPr>
        <w:ind w:left="426" w:hanging="284"/>
        <w:rPr>
          <w:rFonts w:eastAsia="Times New Roman"/>
          <w:b/>
          <w:szCs w:val="17"/>
        </w:rPr>
      </w:pPr>
      <w:r w:rsidRPr="00E26C8E">
        <w:rPr>
          <w:rFonts w:eastAsia="Times New Roman"/>
          <w:b/>
          <w:szCs w:val="17"/>
        </w:rPr>
        <w:t>1.</w:t>
      </w:r>
      <w:r w:rsidRPr="00E26C8E">
        <w:rPr>
          <w:rFonts w:eastAsia="Times New Roman"/>
          <w:b/>
          <w:szCs w:val="17"/>
        </w:rPr>
        <w:tab/>
        <w:t>DESCRIPTION OF THE ENVIRONMENT</w:t>
      </w:r>
    </w:p>
    <w:p w:rsidR="00E26C8E" w:rsidRPr="00E26C8E" w:rsidRDefault="00E26C8E" w:rsidP="00E26C8E">
      <w:pPr>
        <w:ind w:left="426"/>
        <w:rPr>
          <w:rFonts w:eastAsia="Times New Roman"/>
          <w:szCs w:val="17"/>
        </w:rPr>
      </w:pPr>
      <w:r w:rsidRPr="00E26C8E">
        <w:rPr>
          <w:rFonts w:eastAsia="Times New Roman"/>
          <w:szCs w:val="17"/>
        </w:rPr>
        <w:t>In setting out a statement of criteria in accordance with section 70B(2)(b) of the</w:t>
      </w:r>
      <w:r w:rsidRPr="00E26C8E">
        <w:rPr>
          <w:rFonts w:eastAsia="Times New Roman"/>
          <w:i/>
          <w:szCs w:val="17"/>
        </w:rPr>
        <w:t xml:space="preserve"> Mining Act 1971</w:t>
      </w:r>
      <w:r w:rsidRPr="00E26C8E">
        <w:rPr>
          <w:rFonts w:eastAsia="Times New Roman"/>
          <w:szCs w:val="17"/>
        </w:rPr>
        <w:t xml:space="preserve"> and setting out strategies and criteria in accordance with regulation 63(b) and (c) of the</w:t>
      </w:r>
      <w:r w:rsidRPr="00E26C8E">
        <w:rPr>
          <w:rFonts w:eastAsia="Times New Roman"/>
          <w:i/>
          <w:szCs w:val="17"/>
        </w:rPr>
        <w:t xml:space="preserve"> Mining Regulations 2020</w:t>
      </w:r>
      <w:r w:rsidRPr="00E26C8E">
        <w:rPr>
          <w:rFonts w:eastAsia="Times New Roman"/>
          <w:szCs w:val="17"/>
        </w:rPr>
        <w:t>, the Minister determines in accordance with regulation 63(1)(e) of the</w:t>
      </w:r>
      <w:r w:rsidRPr="00E26C8E">
        <w:rPr>
          <w:rFonts w:eastAsia="Times New Roman"/>
          <w:i/>
          <w:szCs w:val="17"/>
        </w:rPr>
        <w:t xml:space="preserve"> Mining Regulations 2020</w:t>
      </w:r>
      <w:r w:rsidRPr="00E26C8E">
        <w:rPr>
          <w:rFonts w:eastAsia="Times New Roman"/>
          <w:szCs w:val="17"/>
        </w:rPr>
        <w:t xml:space="preserve"> that a PEPR must include any new baseline environmental data relevant to the control strategies or criteria set out in clause 4, since the previous description of the environment or criteria was provided (in a proposal, approved PEPR or change to operations proposal).</w:t>
      </w:r>
    </w:p>
    <w:p w:rsidR="00E26C8E" w:rsidRPr="00E26C8E" w:rsidRDefault="00E26C8E" w:rsidP="00E26C8E">
      <w:pPr>
        <w:ind w:left="426"/>
        <w:rPr>
          <w:rFonts w:eastAsia="Times New Roman"/>
          <w:szCs w:val="17"/>
        </w:rPr>
      </w:pPr>
      <w:r w:rsidRPr="00E26C8E">
        <w:rPr>
          <w:rFonts w:eastAsia="Times New Roman"/>
          <w:szCs w:val="17"/>
        </w:rPr>
        <w:t>Where changes to the environment are identified, a PEPR must provide an updated description of the environment to describe the changes.</w:t>
      </w:r>
    </w:p>
    <w:p w:rsidR="00E26C8E" w:rsidRPr="00E26C8E" w:rsidRDefault="00E26C8E" w:rsidP="00E26C8E">
      <w:pPr>
        <w:ind w:left="426" w:hanging="284"/>
        <w:rPr>
          <w:rFonts w:eastAsia="Times New Roman"/>
          <w:b/>
          <w:szCs w:val="17"/>
        </w:rPr>
      </w:pPr>
      <w:r w:rsidRPr="00E26C8E">
        <w:rPr>
          <w:rFonts w:eastAsia="Times New Roman"/>
          <w:b/>
          <w:szCs w:val="17"/>
        </w:rPr>
        <w:t>2.</w:t>
      </w:r>
      <w:r w:rsidRPr="00E26C8E">
        <w:rPr>
          <w:rFonts w:eastAsia="Times New Roman"/>
          <w:b/>
          <w:szCs w:val="17"/>
        </w:rPr>
        <w:tab/>
        <w:t>DESCRIPTION OF THE MINING OPERATIONS</w:t>
      </w:r>
    </w:p>
    <w:p w:rsidR="00E26C8E" w:rsidRPr="00E26C8E" w:rsidRDefault="00E26C8E" w:rsidP="00E26C8E">
      <w:pPr>
        <w:ind w:left="426"/>
        <w:rPr>
          <w:rFonts w:eastAsia="Times New Roman"/>
          <w:szCs w:val="17"/>
        </w:rPr>
      </w:pPr>
      <w:r w:rsidRPr="00E26C8E">
        <w:rPr>
          <w:rFonts w:eastAsia="Times New Roman"/>
          <w:szCs w:val="17"/>
        </w:rPr>
        <w:t>In specifying the authorised operations that are proposed in accordance with section 70B(2)(a) of the</w:t>
      </w:r>
      <w:r w:rsidRPr="00E26C8E">
        <w:rPr>
          <w:rFonts w:eastAsia="Times New Roman"/>
          <w:i/>
          <w:szCs w:val="17"/>
        </w:rPr>
        <w:t xml:space="preserve"> Mining Act 1971</w:t>
      </w:r>
      <w:r w:rsidRPr="00E26C8E">
        <w:rPr>
          <w:rFonts w:eastAsia="Times New Roman"/>
          <w:szCs w:val="17"/>
        </w:rPr>
        <w:t>, the Minister determines in accordance with regulation 63(3)(e) of the</w:t>
      </w:r>
      <w:r w:rsidRPr="00E26C8E">
        <w:rPr>
          <w:rFonts w:eastAsia="Times New Roman"/>
          <w:i/>
          <w:szCs w:val="17"/>
        </w:rPr>
        <w:t xml:space="preserve"> Mining Regulations 2020</w:t>
      </w:r>
      <w:r w:rsidRPr="00E26C8E">
        <w:rPr>
          <w:rFonts w:eastAsia="Times New Roman"/>
          <w:szCs w:val="17"/>
        </w:rPr>
        <w:t xml:space="preserve"> that a PEPR must include a description of the proposed operations as set out in this Terms of Reference. Each of the elements listed in clauses 2.1–2.10 must be described only to the extent that they apply to the mining operation.</w:t>
      </w:r>
    </w:p>
    <w:p w:rsidR="00E26C8E" w:rsidRPr="00E26C8E" w:rsidRDefault="00E26C8E" w:rsidP="00E26C8E">
      <w:pPr>
        <w:ind w:left="851" w:hanging="425"/>
        <w:rPr>
          <w:rFonts w:eastAsia="Times New Roman"/>
          <w:b/>
          <w:szCs w:val="17"/>
        </w:rPr>
      </w:pPr>
      <w:r w:rsidRPr="00E26C8E">
        <w:rPr>
          <w:rFonts w:eastAsia="Times New Roman"/>
          <w:b/>
          <w:szCs w:val="17"/>
        </w:rPr>
        <w:t>2.1.</w:t>
      </w:r>
      <w:r w:rsidRPr="00E26C8E">
        <w:rPr>
          <w:rFonts w:eastAsia="Times New Roman"/>
          <w:b/>
          <w:szCs w:val="17"/>
        </w:rPr>
        <w:tab/>
        <w:t>General Description and Maps/Plans of Operations</w:t>
      </w:r>
    </w:p>
    <w:p w:rsidR="00E26C8E" w:rsidRPr="00E26C8E" w:rsidRDefault="00E26C8E" w:rsidP="00E26C8E">
      <w:pPr>
        <w:ind w:left="426"/>
        <w:rPr>
          <w:rFonts w:eastAsia="Times New Roman"/>
          <w:szCs w:val="17"/>
        </w:rPr>
      </w:pPr>
      <w:r w:rsidRPr="00E26C8E">
        <w:rPr>
          <w:rFonts w:eastAsia="Times New Roman"/>
          <w:szCs w:val="17"/>
        </w:rPr>
        <w:t>Provide a summary description of all elements of the operation, including mining, processing and waste management (include maps/plans and sections as per clause 7).</w:t>
      </w:r>
    </w:p>
    <w:p w:rsidR="00E26C8E" w:rsidRPr="00E26C8E" w:rsidRDefault="00E26C8E" w:rsidP="00E26C8E">
      <w:pPr>
        <w:ind w:left="851" w:hanging="425"/>
        <w:rPr>
          <w:rFonts w:eastAsia="Times New Roman"/>
          <w:b/>
          <w:szCs w:val="17"/>
        </w:rPr>
      </w:pPr>
      <w:r w:rsidRPr="00E26C8E">
        <w:rPr>
          <w:rFonts w:eastAsia="Times New Roman"/>
          <w:b/>
          <w:szCs w:val="17"/>
        </w:rPr>
        <w:t>2.2.</w:t>
      </w:r>
      <w:r w:rsidRPr="00E26C8E">
        <w:rPr>
          <w:rFonts w:eastAsia="Times New Roman"/>
          <w:b/>
          <w:szCs w:val="17"/>
        </w:rPr>
        <w:tab/>
        <w:t>Reserves, Products and Market</w:t>
      </w:r>
    </w:p>
    <w:p w:rsidR="00E26C8E" w:rsidRPr="00E26C8E" w:rsidRDefault="00E26C8E" w:rsidP="00E26C8E">
      <w:pPr>
        <w:ind w:left="1418" w:hanging="567"/>
        <w:rPr>
          <w:rFonts w:eastAsia="Times New Roman"/>
          <w:i/>
          <w:szCs w:val="17"/>
        </w:rPr>
      </w:pPr>
      <w:r w:rsidRPr="00E26C8E">
        <w:rPr>
          <w:rFonts w:eastAsia="Times New Roman"/>
          <w:i/>
          <w:szCs w:val="17"/>
        </w:rPr>
        <w:t>2.2.1</w:t>
      </w:r>
      <w:r w:rsidRPr="00E26C8E">
        <w:rPr>
          <w:rFonts w:eastAsia="Times New Roman"/>
          <w:i/>
          <w:szCs w:val="17"/>
        </w:rPr>
        <w:tab/>
        <w:t>Ore Reserves or Mineral Resources (or both)</w:t>
      </w:r>
    </w:p>
    <w:p w:rsidR="00E26C8E" w:rsidRPr="00E26C8E" w:rsidRDefault="00E26C8E" w:rsidP="00E26C8E">
      <w:pPr>
        <w:ind w:left="1418"/>
        <w:rPr>
          <w:rFonts w:eastAsia="Times New Roman"/>
          <w:szCs w:val="17"/>
        </w:rPr>
      </w:pPr>
      <w:r w:rsidRPr="00E26C8E">
        <w:rPr>
          <w:rFonts w:eastAsia="Times New Roman"/>
          <w:szCs w:val="17"/>
        </w:rPr>
        <w:t>Provide: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 statement of the current Australasian Joint Ore Reserves Committee (JORC) compliant ore reserve or mineral resource estimates (or both) in the tenement area;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 statement of what reserve and/or resource forms the basis for the mining operation;</w:t>
      </w:r>
    </w:p>
    <w:p w:rsidR="00E26C8E" w:rsidRPr="00E26C8E" w:rsidRDefault="00E26C8E" w:rsidP="00E26C8E">
      <w:pPr>
        <w:ind w:left="1418"/>
        <w:rPr>
          <w:rFonts w:eastAsia="Times New Roman"/>
          <w:szCs w:val="17"/>
        </w:rPr>
      </w:pPr>
      <w:r w:rsidRPr="00E26C8E">
        <w:rPr>
          <w:rFonts w:eastAsia="Times New Roman"/>
          <w:szCs w:val="17"/>
        </w:rPr>
        <w:t>or (if a JORC compliant reserve or resource (or both) has not been reported)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an estimate of the resource to be mined and the basis of this estimate.</w:t>
      </w:r>
    </w:p>
    <w:p w:rsidR="00E26C8E" w:rsidRPr="00E26C8E" w:rsidRDefault="00E26C8E" w:rsidP="00E26C8E">
      <w:pPr>
        <w:ind w:left="1418"/>
        <w:rPr>
          <w:rFonts w:eastAsia="Times New Roman"/>
          <w:szCs w:val="17"/>
        </w:rPr>
      </w:pPr>
      <w:r w:rsidRPr="00E26C8E">
        <w:rPr>
          <w:rFonts w:eastAsia="Times New Roman"/>
          <w:szCs w:val="17"/>
        </w:rPr>
        <w:t>Provide steps that have been taken to ensure mining operations will not sterilise/prevent future extraction of mineral resources.</w:t>
      </w:r>
    </w:p>
    <w:p w:rsidR="00E26C8E" w:rsidRPr="00E26C8E" w:rsidRDefault="00E26C8E" w:rsidP="00E26C8E">
      <w:pPr>
        <w:spacing w:after="0" w:line="240" w:lineRule="auto"/>
        <w:jc w:val="left"/>
        <w:rPr>
          <w:rFonts w:eastAsia="Times New Roman"/>
          <w:i/>
          <w:szCs w:val="17"/>
        </w:rPr>
      </w:pPr>
      <w:r w:rsidRPr="00E26C8E">
        <w:rPr>
          <w:rFonts w:eastAsia="Times New Roman"/>
          <w:i/>
          <w:szCs w:val="17"/>
        </w:rPr>
        <w:br w:type="page"/>
      </w:r>
    </w:p>
    <w:p w:rsidR="00E26C8E" w:rsidRPr="00E26C8E" w:rsidRDefault="00E26C8E" w:rsidP="00E26C8E">
      <w:pPr>
        <w:ind w:left="1418" w:hanging="567"/>
        <w:rPr>
          <w:rFonts w:eastAsia="Times New Roman"/>
          <w:i/>
          <w:szCs w:val="17"/>
        </w:rPr>
      </w:pPr>
      <w:r w:rsidRPr="00E26C8E">
        <w:rPr>
          <w:rFonts w:eastAsia="Times New Roman"/>
          <w:i/>
          <w:szCs w:val="17"/>
        </w:rPr>
        <w:t>2.2.2</w:t>
      </w:r>
      <w:r w:rsidRPr="00E26C8E">
        <w:rPr>
          <w:rFonts w:eastAsia="Times New Roman"/>
          <w:i/>
          <w:szCs w:val="17"/>
        </w:rPr>
        <w:tab/>
        <w:t>Production Rate and Products</w:t>
      </w:r>
    </w:p>
    <w:p w:rsidR="00E26C8E" w:rsidRPr="00E26C8E" w:rsidRDefault="00E26C8E" w:rsidP="00E26C8E">
      <w:pPr>
        <w:ind w:left="1418"/>
        <w:rPr>
          <w:rFonts w:eastAsia="Times New Roman"/>
          <w:szCs w:val="17"/>
        </w:rPr>
      </w:pPr>
      <w:r w:rsidRPr="00E26C8E">
        <w:rPr>
          <w:rFonts w:eastAsia="Times New Roman"/>
          <w:szCs w:val="17"/>
        </w:rPr>
        <w:t>Provide: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 statement of the relevant commodities that are to be extracted, processed and sold, and the expected market or end use;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 statement of any other commodities present in the tenement area that are not to be recovered for sale, and the reasons for this decision;</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 quantitative estimate of production of mine gate product(s) for the life of mine, and a schedule of the annual production of mine gate product(s);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 statement if any extractive minerals (as defined by Section 6 of the</w:t>
      </w:r>
      <w:r w:rsidRPr="00E26C8E">
        <w:rPr>
          <w:rFonts w:eastAsia="Times New Roman"/>
          <w:i/>
          <w:szCs w:val="17"/>
        </w:rPr>
        <w:t xml:space="preserve"> Mining Act 1971</w:t>
      </w:r>
      <w:r w:rsidRPr="00E26C8E">
        <w:rPr>
          <w:rFonts w:eastAsia="Times New Roman"/>
          <w:szCs w:val="17"/>
        </w:rPr>
        <w:t>) will leave the lease.</w:t>
      </w:r>
    </w:p>
    <w:p w:rsidR="00E26C8E" w:rsidRPr="00E26C8E" w:rsidRDefault="00E26C8E" w:rsidP="00E26C8E">
      <w:pPr>
        <w:ind w:left="851" w:hanging="425"/>
        <w:rPr>
          <w:rFonts w:eastAsia="Times New Roman"/>
          <w:b/>
          <w:szCs w:val="17"/>
        </w:rPr>
      </w:pPr>
      <w:r w:rsidRPr="00E26C8E">
        <w:rPr>
          <w:rFonts w:eastAsia="Times New Roman"/>
          <w:b/>
          <w:szCs w:val="17"/>
        </w:rPr>
        <w:t>2.3</w:t>
      </w:r>
      <w:r w:rsidRPr="00E26C8E">
        <w:rPr>
          <w:rFonts w:eastAsia="Times New Roman"/>
          <w:b/>
          <w:szCs w:val="17"/>
        </w:rPr>
        <w:tab/>
        <w:t>Exploration Activities</w:t>
      </w:r>
    </w:p>
    <w:p w:rsidR="00E26C8E" w:rsidRPr="00E26C8E" w:rsidRDefault="00E26C8E" w:rsidP="00E26C8E">
      <w:pPr>
        <w:ind w:left="1418"/>
        <w:rPr>
          <w:rFonts w:eastAsia="Times New Roman"/>
          <w:szCs w:val="17"/>
        </w:rPr>
      </w:pPr>
      <w:r w:rsidRPr="00E26C8E">
        <w:rPr>
          <w:rFonts w:eastAsia="Times New Roman"/>
          <w:szCs w:val="17"/>
        </w:rPr>
        <w:t>Provide information that details all exploration activities to be undertaken within the tenement area as a part of the mining operation, including:</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purpose of the activities (i.e. resource drill-out or resource extension);</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types of drilling;</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geophysical techniques likely to be used;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earthworks required to conduct exploration activities;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equipment required to conduct exploration activities;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rehabilitation methods for exploration works (including that not yet rehabilitated from previous tenure).</w:t>
      </w:r>
    </w:p>
    <w:p w:rsidR="00E26C8E" w:rsidRPr="00E26C8E" w:rsidRDefault="00E26C8E" w:rsidP="00E26C8E">
      <w:pPr>
        <w:ind w:left="1418"/>
        <w:rPr>
          <w:rFonts w:eastAsia="Times New Roman"/>
          <w:szCs w:val="17"/>
        </w:rPr>
      </w:pPr>
      <w:r w:rsidRPr="00E26C8E">
        <w:rPr>
          <w:rFonts w:eastAsia="Times New Roman"/>
          <w:szCs w:val="17"/>
        </w:rPr>
        <w:t>Any clearance of native vegetation due to exploration activities that had not been rehabilitated at the grant of the mining lease or licence must be included within the significant environmental benefit calculations detailed within the native vegetation management plan.</w:t>
      </w:r>
    </w:p>
    <w:p w:rsidR="00E26C8E" w:rsidRPr="00E26C8E" w:rsidRDefault="00E26C8E" w:rsidP="00E26C8E">
      <w:pPr>
        <w:ind w:left="851" w:hanging="425"/>
        <w:rPr>
          <w:rFonts w:eastAsia="Times New Roman"/>
          <w:b/>
          <w:szCs w:val="17"/>
        </w:rPr>
      </w:pPr>
      <w:r w:rsidRPr="00E26C8E">
        <w:rPr>
          <w:rFonts w:eastAsia="Times New Roman"/>
          <w:b/>
          <w:szCs w:val="17"/>
        </w:rPr>
        <w:t>2.4</w:t>
      </w:r>
      <w:r w:rsidRPr="00E26C8E">
        <w:rPr>
          <w:rFonts w:eastAsia="Times New Roman"/>
          <w:b/>
          <w:szCs w:val="17"/>
        </w:rPr>
        <w:tab/>
        <w:t>Mining Activities</w:t>
      </w:r>
    </w:p>
    <w:p w:rsidR="00E26C8E" w:rsidRPr="00E26C8E" w:rsidRDefault="00E26C8E" w:rsidP="00E26C8E">
      <w:pPr>
        <w:ind w:left="1418" w:hanging="567"/>
        <w:rPr>
          <w:rFonts w:eastAsia="Times New Roman"/>
          <w:i/>
          <w:szCs w:val="17"/>
        </w:rPr>
      </w:pPr>
      <w:r w:rsidRPr="00E26C8E">
        <w:rPr>
          <w:rFonts w:eastAsia="Times New Roman"/>
          <w:i/>
          <w:szCs w:val="17"/>
        </w:rPr>
        <w:t>2.4.1</w:t>
      </w:r>
      <w:r w:rsidRPr="00E26C8E">
        <w:rPr>
          <w:rFonts w:eastAsia="Times New Roman"/>
          <w:i/>
          <w:szCs w:val="17"/>
        </w:rPr>
        <w:tab/>
        <w:t>Type or Types of Mining Operation to be Carried Out</w:t>
      </w:r>
    </w:p>
    <w:p w:rsidR="00E26C8E" w:rsidRPr="00E26C8E" w:rsidRDefault="00E26C8E" w:rsidP="00E26C8E">
      <w:pPr>
        <w:ind w:left="1418"/>
        <w:rPr>
          <w:rFonts w:eastAsia="Times New Roman"/>
          <w:szCs w:val="17"/>
        </w:rPr>
      </w:pPr>
      <w:r w:rsidRPr="00E26C8E">
        <w:rPr>
          <w:rFonts w:eastAsia="Times New Roman"/>
          <w:szCs w:val="17"/>
        </w:rPr>
        <w:t>Provide a clear statement on the type or types of mining operation to be carried out, such as: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the mining method(s) to be adopted.</w:t>
      </w:r>
    </w:p>
    <w:p w:rsidR="00E26C8E" w:rsidRPr="00E26C8E" w:rsidRDefault="00E26C8E" w:rsidP="00E26C8E">
      <w:pPr>
        <w:ind w:left="1418" w:hanging="567"/>
        <w:rPr>
          <w:rFonts w:eastAsia="Times New Roman"/>
          <w:i/>
          <w:szCs w:val="17"/>
        </w:rPr>
      </w:pPr>
      <w:r w:rsidRPr="00E26C8E">
        <w:rPr>
          <w:rFonts w:eastAsia="Times New Roman"/>
          <w:i/>
          <w:szCs w:val="17"/>
        </w:rPr>
        <w:t>2.4.2</w:t>
      </w:r>
      <w:r w:rsidRPr="00E26C8E">
        <w:rPr>
          <w:rFonts w:eastAsia="Times New Roman"/>
          <w:i/>
          <w:szCs w:val="17"/>
        </w:rPr>
        <w:tab/>
        <w:t>Open Pit</w:t>
      </w:r>
    </w:p>
    <w:p w:rsidR="00E26C8E" w:rsidRPr="00E26C8E" w:rsidRDefault="00E26C8E" w:rsidP="00E26C8E">
      <w:pPr>
        <w:ind w:left="1418"/>
        <w:rPr>
          <w:rFonts w:eastAsia="Times New Roman"/>
          <w:szCs w:val="17"/>
        </w:rPr>
      </w:pPr>
      <w:r w:rsidRPr="00E26C8E">
        <w:rPr>
          <w:rFonts w:eastAsia="Times New Roman"/>
          <w:szCs w:val="17"/>
        </w:rPr>
        <w:t>Describe, for the life of mine from inception to cessation, all open pit workings, including (but not limited to):</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overall pit wall angles, bench height, berm width;</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dimensions and depth of pit;</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access ramps;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maps, plans and cross-sections (as per 7.1.1, 7.1.2, 7.1.7, 7.2.1 and 7.2.2).</w:t>
      </w:r>
    </w:p>
    <w:p w:rsidR="00E26C8E" w:rsidRPr="00E26C8E" w:rsidRDefault="00E26C8E" w:rsidP="00E26C8E">
      <w:pPr>
        <w:ind w:left="1418" w:hanging="567"/>
        <w:rPr>
          <w:rFonts w:eastAsia="Times New Roman"/>
          <w:i/>
          <w:szCs w:val="17"/>
        </w:rPr>
      </w:pPr>
      <w:r w:rsidRPr="00E26C8E">
        <w:rPr>
          <w:rFonts w:eastAsia="Times New Roman"/>
          <w:i/>
          <w:szCs w:val="17"/>
        </w:rPr>
        <w:t>2.4.3</w:t>
      </w:r>
      <w:r w:rsidRPr="00E26C8E">
        <w:rPr>
          <w:rFonts w:eastAsia="Times New Roman"/>
          <w:i/>
          <w:szCs w:val="17"/>
        </w:rPr>
        <w:tab/>
        <w:t>Underground Workings</w:t>
      </w:r>
    </w:p>
    <w:p w:rsidR="00E26C8E" w:rsidRPr="00E26C8E" w:rsidRDefault="00E26C8E" w:rsidP="00E26C8E">
      <w:pPr>
        <w:ind w:left="1418"/>
        <w:rPr>
          <w:rFonts w:eastAsia="Times New Roman"/>
          <w:szCs w:val="17"/>
        </w:rPr>
      </w:pPr>
      <w:r w:rsidRPr="00E26C8E">
        <w:rPr>
          <w:rFonts w:eastAsia="Times New Roman"/>
          <w:szCs w:val="17"/>
        </w:rPr>
        <w:t>Describe underground workings, including (but not limited to):</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stoping methods;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potential surface disturbance resulting from underground mining;</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declines, shafts, tunnels, bore holes, ventilation intakes and exhausts;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maps, plans and cross-sections (as per 7.1.1, 7.1.2, and 7.2.1). Where underground fill is used, describe: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type of fill to be used;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the volume percentage of underground void to be filled;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sequence of filling;</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source and proportion of fill;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maps, plans and cross-sections showing the fill (as per 7.1.7 and 7.2.2).</w:t>
      </w:r>
    </w:p>
    <w:p w:rsidR="00E26C8E" w:rsidRPr="00E26C8E" w:rsidRDefault="00E26C8E" w:rsidP="00E26C8E">
      <w:pPr>
        <w:ind w:left="1418" w:hanging="567"/>
        <w:rPr>
          <w:rFonts w:eastAsia="Times New Roman"/>
          <w:i/>
          <w:szCs w:val="17"/>
        </w:rPr>
      </w:pPr>
      <w:r w:rsidRPr="00E26C8E">
        <w:rPr>
          <w:rFonts w:eastAsia="Times New Roman"/>
          <w:i/>
          <w:szCs w:val="17"/>
        </w:rPr>
        <w:t>2.4.4</w:t>
      </w:r>
      <w:r w:rsidRPr="00E26C8E">
        <w:rPr>
          <w:rFonts w:eastAsia="Times New Roman"/>
          <w:i/>
          <w:szCs w:val="17"/>
        </w:rPr>
        <w:tab/>
        <w:t>Material Movements</w:t>
      </w:r>
    </w:p>
    <w:p w:rsidR="00E26C8E" w:rsidRPr="00E26C8E" w:rsidRDefault="00E26C8E" w:rsidP="00E26C8E">
      <w:pPr>
        <w:ind w:left="1418"/>
        <w:rPr>
          <w:rFonts w:eastAsia="Times New Roman"/>
          <w:szCs w:val="17"/>
        </w:rPr>
      </w:pPr>
      <w:r w:rsidRPr="00E26C8E">
        <w:rPr>
          <w:rFonts w:eastAsia="Times New Roman"/>
          <w:szCs w:val="17"/>
        </w:rPr>
        <w:t>Provide: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expected life of mine (including scope for extension);</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annual mine production rates and mine production schedule of ore and waste rock over the life of mine;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life of mine and annual strip ratios.</w:t>
      </w:r>
    </w:p>
    <w:p w:rsidR="00E26C8E" w:rsidRPr="00E26C8E" w:rsidRDefault="00E26C8E" w:rsidP="00E26C8E">
      <w:pPr>
        <w:ind w:left="1418" w:hanging="567"/>
        <w:rPr>
          <w:rFonts w:eastAsia="Times New Roman"/>
          <w:i/>
          <w:szCs w:val="17"/>
        </w:rPr>
      </w:pPr>
      <w:r w:rsidRPr="00E26C8E">
        <w:rPr>
          <w:rFonts w:eastAsia="Times New Roman"/>
          <w:i/>
          <w:szCs w:val="17"/>
        </w:rPr>
        <w:t>2.4.5</w:t>
      </w:r>
      <w:r w:rsidRPr="00E26C8E">
        <w:rPr>
          <w:rFonts w:eastAsia="Times New Roman"/>
          <w:i/>
          <w:szCs w:val="17"/>
        </w:rPr>
        <w:tab/>
        <w:t>Stockpiles</w:t>
      </w:r>
    </w:p>
    <w:p w:rsidR="00E26C8E" w:rsidRPr="00E26C8E" w:rsidRDefault="00E26C8E" w:rsidP="00E26C8E">
      <w:pPr>
        <w:ind w:left="1418"/>
        <w:rPr>
          <w:rFonts w:eastAsia="Times New Roman"/>
          <w:szCs w:val="17"/>
        </w:rPr>
      </w:pPr>
      <w:r w:rsidRPr="00E26C8E">
        <w:rPr>
          <w:rFonts w:eastAsia="Times New Roman"/>
          <w:szCs w:val="17"/>
        </w:rPr>
        <w:t>Describe for all ore, product, subsoil and topsoil stockpiles the: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location, size, shape and height of ore, product, subsoil and topsoil stockpiles;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method of placement;</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method of stabilisation and erosion control of all stockpiles;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water movement through stockpiles.</w:t>
      </w:r>
    </w:p>
    <w:p w:rsidR="00E26C8E" w:rsidRPr="00E26C8E" w:rsidRDefault="00E26C8E" w:rsidP="00E26C8E">
      <w:pPr>
        <w:ind w:left="1418"/>
        <w:rPr>
          <w:rFonts w:eastAsia="Times New Roman"/>
          <w:szCs w:val="17"/>
        </w:rPr>
      </w:pPr>
      <w:r w:rsidRPr="00E26C8E">
        <w:rPr>
          <w:rFonts w:eastAsia="Times New Roman"/>
          <w:szCs w:val="17"/>
        </w:rPr>
        <w:t>The location, maximum height and extent of all stockpiles must be shown on a map (as per 7.1.1).</w:t>
      </w:r>
    </w:p>
    <w:p w:rsidR="00E26C8E" w:rsidRPr="00E26C8E" w:rsidRDefault="00E26C8E" w:rsidP="00E26C8E">
      <w:pPr>
        <w:spacing w:after="0" w:line="240" w:lineRule="auto"/>
        <w:jc w:val="left"/>
        <w:rPr>
          <w:rFonts w:eastAsia="Times New Roman"/>
          <w:i/>
          <w:szCs w:val="17"/>
        </w:rPr>
      </w:pPr>
      <w:r w:rsidRPr="00E26C8E">
        <w:rPr>
          <w:rFonts w:eastAsia="Times New Roman"/>
          <w:i/>
          <w:szCs w:val="17"/>
        </w:rPr>
        <w:br w:type="page"/>
      </w:r>
    </w:p>
    <w:p w:rsidR="00E26C8E" w:rsidRPr="00E26C8E" w:rsidRDefault="00E26C8E" w:rsidP="00E26C8E">
      <w:pPr>
        <w:ind w:left="1418" w:hanging="567"/>
        <w:rPr>
          <w:rFonts w:eastAsia="Times New Roman"/>
          <w:i/>
          <w:szCs w:val="17"/>
        </w:rPr>
      </w:pPr>
      <w:r w:rsidRPr="00E26C8E">
        <w:rPr>
          <w:rFonts w:eastAsia="Times New Roman"/>
          <w:i/>
          <w:szCs w:val="17"/>
        </w:rPr>
        <w:t>2.4.6</w:t>
      </w:r>
      <w:r w:rsidRPr="00E26C8E">
        <w:rPr>
          <w:rFonts w:eastAsia="Times New Roman"/>
          <w:i/>
          <w:szCs w:val="17"/>
        </w:rPr>
        <w:tab/>
        <w:t>Use of Explosives</w:t>
      </w:r>
    </w:p>
    <w:p w:rsidR="00E26C8E" w:rsidRPr="00E26C8E" w:rsidRDefault="00E26C8E" w:rsidP="00E26C8E">
      <w:pPr>
        <w:ind w:left="1418"/>
        <w:rPr>
          <w:rFonts w:eastAsia="Times New Roman"/>
          <w:szCs w:val="17"/>
        </w:rPr>
      </w:pPr>
      <w:r w:rsidRPr="00E26C8E">
        <w:rPr>
          <w:rFonts w:eastAsia="Times New Roman"/>
          <w:szCs w:val="17"/>
        </w:rPr>
        <w:t>If explosives are used, describe: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type of explosives used on the site;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timing and frequency of blasting;</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size of blasts;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storage of explosives (amount, type, detailed location and method of storage).</w:t>
      </w:r>
    </w:p>
    <w:p w:rsidR="00E26C8E" w:rsidRPr="00E26C8E" w:rsidRDefault="00E26C8E" w:rsidP="00E26C8E">
      <w:pPr>
        <w:ind w:left="1418" w:hanging="567"/>
        <w:rPr>
          <w:rFonts w:eastAsia="Times New Roman"/>
          <w:i/>
          <w:szCs w:val="17"/>
        </w:rPr>
      </w:pPr>
      <w:r w:rsidRPr="00E26C8E">
        <w:rPr>
          <w:rFonts w:eastAsia="Times New Roman"/>
          <w:i/>
          <w:szCs w:val="17"/>
        </w:rPr>
        <w:t>2.4.7</w:t>
      </w:r>
      <w:r w:rsidRPr="00E26C8E">
        <w:rPr>
          <w:rFonts w:eastAsia="Times New Roman"/>
          <w:i/>
          <w:szCs w:val="17"/>
        </w:rPr>
        <w:tab/>
        <w:t>Type of Mining Equipment</w:t>
      </w:r>
    </w:p>
    <w:p w:rsidR="00E26C8E" w:rsidRPr="00E26C8E" w:rsidRDefault="00E26C8E" w:rsidP="00E26C8E">
      <w:pPr>
        <w:ind w:left="1418"/>
        <w:rPr>
          <w:rFonts w:eastAsia="Times New Roman"/>
          <w:szCs w:val="17"/>
        </w:rPr>
      </w:pPr>
      <w:r w:rsidRPr="00E26C8E">
        <w:rPr>
          <w:rFonts w:eastAsia="Times New Roman"/>
          <w:szCs w:val="17"/>
        </w:rPr>
        <w:t>Provide a description of the equipment (fixed and mobile) to be used in the mining operation in terms of:</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type, size and capacity of machines;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approximate number of units;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noise outputs;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exhaust outputs;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fire ignition sources.</w:t>
      </w:r>
    </w:p>
    <w:p w:rsidR="00E26C8E" w:rsidRPr="00E26C8E" w:rsidRDefault="00E26C8E" w:rsidP="00E26C8E">
      <w:pPr>
        <w:ind w:left="1418"/>
        <w:rPr>
          <w:rFonts w:eastAsia="Times New Roman"/>
          <w:szCs w:val="17"/>
        </w:rPr>
      </w:pPr>
      <w:r w:rsidRPr="00E26C8E">
        <w:rPr>
          <w:rFonts w:eastAsia="Times New Roman"/>
          <w:szCs w:val="17"/>
        </w:rPr>
        <w:t>The location of fixed equipment must be shown on a map (as per 7.1.2.1).</w:t>
      </w:r>
    </w:p>
    <w:p w:rsidR="00E26C8E" w:rsidRPr="00E26C8E" w:rsidRDefault="00E26C8E" w:rsidP="00E26C8E">
      <w:pPr>
        <w:ind w:left="1418" w:hanging="567"/>
        <w:rPr>
          <w:rFonts w:eastAsia="Times New Roman"/>
          <w:i/>
          <w:szCs w:val="17"/>
        </w:rPr>
      </w:pPr>
      <w:r w:rsidRPr="00E26C8E">
        <w:rPr>
          <w:rFonts w:eastAsia="Times New Roman"/>
          <w:i/>
          <w:szCs w:val="17"/>
        </w:rPr>
        <w:t>2.4.8</w:t>
      </w:r>
      <w:r w:rsidRPr="00E26C8E">
        <w:rPr>
          <w:rFonts w:eastAsia="Times New Roman"/>
          <w:i/>
          <w:szCs w:val="17"/>
        </w:rPr>
        <w:tab/>
        <w:t>Mine Dewatering</w:t>
      </w:r>
    </w:p>
    <w:p w:rsidR="00E26C8E" w:rsidRPr="00E26C8E" w:rsidRDefault="00E26C8E" w:rsidP="00E26C8E">
      <w:pPr>
        <w:ind w:left="1418"/>
        <w:rPr>
          <w:rFonts w:eastAsia="Times New Roman"/>
          <w:szCs w:val="17"/>
        </w:rPr>
      </w:pPr>
      <w:r w:rsidRPr="00E26C8E">
        <w:rPr>
          <w:rFonts w:eastAsia="Times New Roman"/>
          <w:szCs w:val="17"/>
        </w:rPr>
        <w:t>Provide: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estimated inflows of groundwater, stormwater and water from any other mining activities into mine workings;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details of mine dewatering infrastructure, and mine water management and disposal;</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contingency measures for greater than planned water inflows into mine workings;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 mine water balance of water inflows and water outflows during operations and at mine completion (if not included in the water balance in clause 2.5.4).</w:t>
      </w:r>
    </w:p>
    <w:p w:rsidR="00E26C8E" w:rsidRPr="00E26C8E" w:rsidRDefault="00E26C8E" w:rsidP="00E26C8E">
      <w:pPr>
        <w:ind w:left="1418" w:hanging="567"/>
        <w:rPr>
          <w:rFonts w:eastAsia="Times New Roman"/>
          <w:i/>
          <w:szCs w:val="17"/>
        </w:rPr>
      </w:pPr>
      <w:r w:rsidRPr="00E26C8E">
        <w:rPr>
          <w:rFonts w:eastAsia="Times New Roman"/>
          <w:i/>
          <w:szCs w:val="17"/>
        </w:rPr>
        <w:t>2.4.9</w:t>
      </w:r>
      <w:r w:rsidRPr="00E26C8E">
        <w:rPr>
          <w:rFonts w:eastAsia="Times New Roman"/>
          <w:i/>
          <w:szCs w:val="17"/>
        </w:rPr>
        <w:tab/>
        <w:t>Sequence of Mining and Rehabilitation Operations</w:t>
      </w:r>
    </w:p>
    <w:p w:rsidR="00E26C8E" w:rsidRPr="00E26C8E" w:rsidRDefault="00E26C8E" w:rsidP="00E26C8E">
      <w:pPr>
        <w:ind w:left="1418"/>
        <w:rPr>
          <w:rFonts w:eastAsia="Times New Roman"/>
          <w:szCs w:val="17"/>
        </w:rPr>
      </w:pPr>
      <w:r w:rsidRPr="00E26C8E">
        <w:rPr>
          <w:rFonts w:eastAsia="Times New Roman"/>
          <w:szCs w:val="17"/>
        </w:rPr>
        <w:t>Provide the following information on the sequence of operations in both text, map and cross section form (as per 7.1.2 and 7.2.1):</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description of the sequence of mining stages;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sequencing of progressive and final rehabilitation, including demonstration that progressive rehabilitation has been integrated with the mining plan;</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an estimation of the quantities of sulfide minerals that have the potential to generate acid or mobilise metals, or other hazardous minerals to be mined at each mining stage;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any mineral resource that may be sterilised from future mining by the planned mining operations.</w:t>
      </w:r>
    </w:p>
    <w:p w:rsidR="00E26C8E" w:rsidRPr="00E26C8E" w:rsidRDefault="00E26C8E" w:rsidP="00E26C8E">
      <w:pPr>
        <w:ind w:left="2127" w:hanging="709"/>
        <w:rPr>
          <w:rFonts w:eastAsia="Times New Roman"/>
          <w:i/>
          <w:szCs w:val="17"/>
        </w:rPr>
      </w:pPr>
      <w:r w:rsidRPr="00E26C8E">
        <w:rPr>
          <w:rFonts w:eastAsia="Times New Roman"/>
          <w:i/>
          <w:szCs w:val="17"/>
        </w:rPr>
        <w:t>2.4.9.1</w:t>
      </w:r>
      <w:r w:rsidRPr="00E26C8E">
        <w:rPr>
          <w:rFonts w:eastAsia="Times New Roman"/>
          <w:i/>
          <w:szCs w:val="17"/>
        </w:rPr>
        <w:tab/>
        <w:t>Rehabilitation Strategies and Timing</w:t>
      </w:r>
    </w:p>
    <w:p w:rsidR="00E26C8E" w:rsidRPr="00E26C8E" w:rsidRDefault="00E26C8E" w:rsidP="00E26C8E">
      <w:pPr>
        <w:ind w:left="2127"/>
        <w:rPr>
          <w:rFonts w:eastAsia="Times New Roman"/>
          <w:szCs w:val="17"/>
        </w:rPr>
      </w:pPr>
      <w:r w:rsidRPr="00E26C8E">
        <w:rPr>
          <w:rFonts w:eastAsia="Times New Roman"/>
          <w:szCs w:val="17"/>
        </w:rPr>
        <w:t>Describe all activities, strategies and designs relating to mine closure for rehabilitation of open pit and/or underground workings, stockpiles, explosives storage, mining equipment and mine dewatering infrastructure. Include timing of these activities and all opportunities for progressive rehabilitation. Include (but not limited to) the maximum area of land disturbed by mining operations at any time, battering of mining faces and other earthworks, mine void backfilling, abandonment bunds, sealing of portals and ventilation shafts, soil management, revegetation and expected water infill rates.</w:t>
      </w:r>
    </w:p>
    <w:p w:rsidR="00E26C8E" w:rsidRPr="00E26C8E" w:rsidRDefault="00E26C8E" w:rsidP="00E26C8E">
      <w:pPr>
        <w:ind w:left="1418" w:hanging="567"/>
        <w:rPr>
          <w:rFonts w:eastAsia="Times New Roman"/>
          <w:i/>
          <w:szCs w:val="17"/>
        </w:rPr>
      </w:pPr>
      <w:r w:rsidRPr="00E26C8E">
        <w:rPr>
          <w:rFonts w:eastAsia="Times New Roman"/>
          <w:i/>
          <w:szCs w:val="17"/>
        </w:rPr>
        <w:t>2.4.10</w:t>
      </w:r>
      <w:r w:rsidRPr="00E26C8E">
        <w:rPr>
          <w:rFonts w:eastAsia="Times New Roman"/>
          <w:i/>
          <w:szCs w:val="17"/>
        </w:rPr>
        <w:tab/>
        <w:t>Modes and Hours of Operation</w:t>
      </w:r>
    </w:p>
    <w:p w:rsidR="00E26C8E" w:rsidRPr="00E26C8E" w:rsidRDefault="00E26C8E" w:rsidP="00E26C8E">
      <w:pPr>
        <w:ind w:left="1418"/>
        <w:rPr>
          <w:rFonts w:eastAsia="Times New Roman"/>
          <w:szCs w:val="17"/>
        </w:rPr>
      </w:pPr>
      <w:r w:rsidRPr="00E26C8E">
        <w:rPr>
          <w:rFonts w:eastAsia="Times New Roman"/>
          <w:szCs w:val="17"/>
        </w:rPr>
        <w:t>State if the operation will be worked on a continuous (24 hour, 7 days a week), regular periodical or campaign basis.</w:t>
      </w:r>
    </w:p>
    <w:p w:rsidR="00E26C8E" w:rsidRPr="00E26C8E" w:rsidRDefault="00E26C8E" w:rsidP="00E26C8E">
      <w:pPr>
        <w:ind w:left="1418"/>
        <w:rPr>
          <w:rFonts w:eastAsia="Times New Roman"/>
          <w:szCs w:val="17"/>
        </w:rPr>
      </w:pPr>
      <w:r w:rsidRPr="00E26C8E">
        <w:rPr>
          <w:rFonts w:eastAsia="Times New Roman"/>
          <w:szCs w:val="17"/>
        </w:rPr>
        <w:t>If the operation is to be worked on a regular periodical basis, specify:</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period(s) (daily, weekly and public holidays) to be worked;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start and finish hours the site is to be worked per period. If the operation is to be worked on a campaign basis, specify:</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minimum hours the site is to be worked per year;</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the minimum time of each campaign;</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the maximum and minimum time between campaigns;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define the beginning and end of each campaign;</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hours of mining operations during campaign;</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days of mining operations during campaign;</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determining factors for initiating and ceasing a campaign;</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maximum and minimum tonnage of each campaign;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maximum and minimum tonnage of production per year.</w:t>
      </w:r>
    </w:p>
    <w:p w:rsidR="00E26C8E" w:rsidRPr="00E26C8E" w:rsidRDefault="00E26C8E" w:rsidP="00E26C8E">
      <w:pPr>
        <w:ind w:left="1418" w:hanging="567"/>
        <w:rPr>
          <w:rFonts w:eastAsia="Times New Roman"/>
          <w:i/>
          <w:szCs w:val="17"/>
        </w:rPr>
      </w:pPr>
      <w:r w:rsidRPr="00E26C8E">
        <w:rPr>
          <w:rFonts w:eastAsia="Times New Roman"/>
          <w:i/>
          <w:szCs w:val="17"/>
        </w:rPr>
        <w:t>2.4.11</w:t>
      </w:r>
      <w:r w:rsidRPr="00E26C8E">
        <w:rPr>
          <w:rFonts w:eastAsia="Times New Roman"/>
          <w:i/>
          <w:szCs w:val="17"/>
        </w:rPr>
        <w:tab/>
        <w:t>Care and Maintenance</w:t>
      </w:r>
    </w:p>
    <w:p w:rsidR="00E26C8E" w:rsidRPr="00E26C8E" w:rsidRDefault="00E26C8E" w:rsidP="00E26C8E">
      <w:pPr>
        <w:ind w:left="1418"/>
        <w:rPr>
          <w:rFonts w:eastAsia="Times New Roman"/>
          <w:szCs w:val="17"/>
        </w:rPr>
      </w:pPr>
      <w:r w:rsidRPr="00E26C8E">
        <w:rPr>
          <w:rFonts w:eastAsia="Times New Roman"/>
          <w:szCs w:val="17"/>
        </w:rPr>
        <w:t>Detail all activities and strategies required for care and maintenance of the mine, should the mine suspend production, but not progress immediately to closure.</w:t>
      </w:r>
    </w:p>
    <w:p w:rsidR="00E26C8E" w:rsidRPr="00E26C8E" w:rsidRDefault="00E26C8E" w:rsidP="00E26C8E">
      <w:pPr>
        <w:spacing w:after="0" w:line="240" w:lineRule="auto"/>
        <w:jc w:val="left"/>
        <w:rPr>
          <w:rFonts w:eastAsia="Times New Roman"/>
          <w:b/>
          <w:szCs w:val="17"/>
        </w:rPr>
      </w:pPr>
      <w:r w:rsidRPr="00E26C8E">
        <w:rPr>
          <w:rFonts w:eastAsia="Times New Roman"/>
          <w:b/>
          <w:szCs w:val="17"/>
        </w:rPr>
        <w:br w:type="page"/>
      </w:r>
    </w:p>
    <w:p w:rsidR="00E26C8E" w:rsidRPr="00E26C8E" w:rsidRDefault="00E26C8E" w:rsidP="00E26C8E">
      <w:pPr>
        <w:ind w:left="851" w:hanging="425"/>
        <w:rPr>
          <w:rFonts w:eastAsia="Times New Roman"/>
          <w:b/>
          <w:szCs w:val="17"/>
        </w:rPr>
      </w:pPr>
      <w:r w:rsidRPr="00E26C8E">
        <w:rPr>
          <w:rFonts w:eastAsia="Times New Roman"/>
          <w:b/>
          <w:szCs w:val="17"/>
        </w:rPr>
        <w:t>2.5</w:t>
      </w:r>
      <w:r w:rsidRPr="00E26C8E">
        <w:rPr>
          <w:rFonts w:eastAsia="Times New Roman"/>
          <w:b/>
          <w:szCs w:val="17"/>
        </w:rPr>
        <w:tab/>
        <w:t>Crushing, Grinding, Processing and Product Transport</w:t>
      </w:r>
    </w:p>
    <w:p w:rsidR="00E26C8E" w:rsidRPr="00E26C8E" w:rsidRDefault="00E26C8E" w:rsidP="00E26C8E">
      <w:pPr>
        <w:ind w:left="1418" w:hanging="567"/>
        <w:rPr>
          <w:rFonts w:eastAsia="Times New Roman"/>
          <w:i/>
          <w:szCs w:val="17"/>
        </w:rPr>
      </w:pPr>
      <w:r w:rsidRPr="00E26C8E">
        <w:rPr>
          <w:rFonts w:eastAsia="Times New Roman"/>
          <w:i/>
          <w:szCs w:val="17"/>
        </w:rPr>
        <w:t>2.5.1</w:t>
      </w:r>
      <w:r w:rsidRPr="00E26C8E">
        <w:rPr>
          <w:rFonts w:eastAsia="Times New Roman"/>
          <w:i/>
          <w:szCs w:val="17"/>
        </w:rPr>
        <w:tab/>
        <w:t>Crushing and Grinding Plant</w:t>
      </w:r>
    </w:p>
    <w:p w:rsidR="00E26C8E" w:rsidRPr="00E26C8E" w:rsidRDefault="00E26C8E" w:rsidP="00E26C8E">
      <w:pPr>
        <w:ind w:left="1418"/>
        <w:rPr>
          <w:rFonts w:eastAsia="Times New Roman"/>
          <w:szCs w:val="17"/>
        </w:rPr>
      </w:pPr>
      <w:r w:rsidRPr="00E26C8E">
        <w:rPr>
          <w:rFonts w:eastAsia="Times New Roman"/>
          <w:szCs w:val="17"/>
        </w:rPr>
        <w:t>Provide a description of the crushing / grinding plant including:</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area, size, type of construction and location;</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throughput rate;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 description of ore preparation for processing;</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grind size of the ore;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noise sources;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dust sources and composition;</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fire ignition sources;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maps and plans (as per 7.1.3).</w:t>
      </w:r>
    </w:p>
    <w:p w:rsidR="00E26C8E" w:rsidRPr="00E26C8E" w:rsidRDefault="00E26C8E" w:rsidP="00E26C8E">
      <w:pPr>
        <w:ind w:left="1418" w:hanging="567"/>
        <w:rPr>
          <w:rFonts w:eastAsia="Times New Roman"/>
          <w:i/>
          <w:szCs w:val="17"/>
        </w:rPr>
      </w:pPr>
      <w:r w:rsidRPr="00E26C8E">
        <w:rPr>
          <w:rFonts w:eastAsia="Times New Roman"/>
          <w:i/>
          <w:szCs w:val="17"/>
        </w:rPr>
        <w:t>2.5.2</w:t>
      </w:r>
      <w:r w:rsidRPr="00E26C8E">
        <w:rPr>
          <w:rFonts w:eastAsia="Times New Roman"/>
          <w:i/>
          <w:szCs w:val="17"/>
        </w:rPr>
        <w:tab/>
        <w:t>Processing Plant</w:t>
      </w:r>
    </w:p>
    <w:p w:rsidR="00E26C8E" w:rsidRPr="00E26C8E" w:rsidRDefault="00E26C8E" w:rsidP="00E26C8E">
      <w:pPr>
        <w:ind w:left="1418"/>
        <w:rPr>
          <w:rFonts w:eastAsia="Times New Roman"/>
          <w:szCs w:val="17"/>
        </w:rPr>
      </w:pPr>
      <w:r w:rsidRPr="00E26C8E">
        <w:rPr>
          <w:rFonts w:eastAsia="Times New Roman"/>
          <w:szCs w:val="17"/>
        </w:rPr>
        <w:t>Provide a description of the processing plant including:</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the methods and details of processing and value adding;</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number, location, area, size, type of construction (including lining and drainage systems, as appropriate) of processing plant;</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any ancillary plant and infrastructure to be used for processing the minerals on site; examples of associated structures are concrete batching plants, wheel wash facilities, silos, fuel tanks, water tanks, chemical storage/use, reverse osmosis plants and bore fields;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if chemicals are to be used in the beneficiation or processing of ore, describe the nature and quantities of the chemicals to be used, their reactions with ore and their ultimate fate;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noise sources;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dust sources and composition;</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fire ignition sources;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other potential air emissions (including odour) and their composition;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maps and plans (as per 7.1.1 and 7.1.3).</w:t>
      </w:r>
    </w:p>
    <w:p w:rsidR="00E26C8E" w:rsidRPr="00E26C8E" w:rsidRDefault="00E26C8E" w:rsidP="00E26C8E">
      <w:pPr>
        <w:ind w:left="1418" w:hanging="567"/>
        <w:rPr>
          <w:rFonts w:eastAsia="Times New Roman"/>
          <w:i/>
          <w:szCs w:val="17"/>
        </w:rPr>
      </w:pPr>
      <w:r w:rsidRPr="00E26C8E">
        <w:rPr>
          <w:rFonts w:eastAsia="Times New Roman"/>
          <w:i/>
          <w:szCs w:val="17"/>
        </w:rPr>
        <w:t>2.5.3</w:t>
      </w:r>
      <w:r w:rsidRPr="00E26C8E">
        <w:rPr>
          <w:rFonts w:eastAsia="Times New Roman"/>
          <w:i/>
          <w:szCs w:val="17"/>
        </w:rPr>
        <w:tab/>
        <w:t>Heap Leach</w:t>
      </w:r>
    </w:p>
    <w:p w:rsidR="00E26C8E" w:rsidRPr="00E26C8E" w:rsidRDefault="00E26C8E" w:rsidP="00E26C8E">
      <w:pPr>
        <w:ind w:left="1418"/>
        <w:rPr>
          <w:rFonts w:eastAsia="Times New Roman"/>
          <w:szCs w:val="17"/>
        </w:rPr>
      </w:pPr>
      <w:r w:rsidRPr="00E26C8E">
        <w:rPr>
          <w:rFonts w:eastAsia="Times New Roman"/>
          <w:szCs w:val="17"/>
        </w:rPr>
        <w:t>Provide a description of the Heap Leach Pad and process including:</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type, size and location of the Heap Leach Pad;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construction and operating specifications for the Heap Leach Pad and process, including solution containment measures;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geochemical and geotechnical assessment of the material placed on the Heap Leach Pad before and after leaching;</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method and rate of ore deposition and removal;</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chemical characteristics of the leach solution, pregnant liquor and raffinate solutions;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solution application rates, and method of application;</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removal (where proposed) of the Heap Leach Pad at cessation of production and the method/location of disposal of leached material;</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method of stabilisation and erosion control of Heap Leach Pad;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an assessment of the long term chemical and physical stability of the Heap Leach Pad post mine completion;</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the source, pathway and ultimate fate of any potential mobile contaminants;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maps and plans (as per 7.1.1 and 7.1.4).</w:t>
      </w:r>
    </w:p>
    <w:p w:rsidR="00E26C8E" w:rsidRPr="00E26C8E" w:rsidRDefault="00E26C8E" w:rsidP="00E26C8E">
      <w:pPr>
        <w:ind w:left="1418" w:hanging="567"/>
        <w:rPr>
          <w:rFonts w:eastAsia="Times New Roman"/>
          <w:i/>
          <w:szCs w:val="17"/>
        </w:rPr>
      </w:pPr>
      <w:r w:rsidRPr="00E26C8E">
        <w:rPr>
          <w:rFonts w:eastAsia="Times New Roman"/>
          <w:i/>
          <w:szCs w:val="17"/>
        </w:rPr>
        <w:t>2.5.4</w:t>
      </w:r>
      <w:r w:rsidRPr="00E26C8E">
        <w:rPr>
          <w:rFonts w:eastAsia="Times New Roman"/>
          <w:i/>
          <w:szCs w:val="17"/>
        </w:rPr>
        <w:tab/>
        <w:t>Process Water Management</w:t>
      </w:r>
    </w:p>
    <w:p w:rsidR="00E26C8E" w:rsidRPr="00E26C8E" w:rsidRDefault="00E26C8E" w:rsidP="00E26C8E">
      <w:pPr>
        <w:ind w:left="1418"/>
        <w:rPr>
          <w:rFonts w:eastAsia="Times New Roman"/>
          <w:szCs w:val="17"/>
        </w:rPr>
      </w:pPr>
      <w:r w:rsidRPr="00E26C8E">
        <w:rPr>
          <w:rFonts w:eastAsia="Times New Roman"/>
          <w:szCs w:val="17"/>
        </w:rPr>
        <w:t>Provide a water balance including:</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approximate water volumes required;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 summary of the inputs and outputs (with consideration of any purge requirements);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determination of net surplus or deficit;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process flowsheet showing all streams including stormwater management and mine dewatering where these are connected to the processing circuit.</w:t>
      </w:r>
    </w:p>
    <w:p w:rsidR="00E26C8E" w:rsidRPr="00E26C8E" w:rsidRDefault="00E26C8E" w:rsidP="00E26C8E">
      <w:pPr>
        <w:ind w:left="1418"/>
        <w:rPr>
          <w:rFonts w:eastAsia="Times New Roman"/>
          <w:szCs w:val="17"/>
        </w:rPr>
      </w:pPr>
      <w:r w:rsidRPr="00E26C8E">
        <w:rPr>
          <w:rFonts w:eastAsia="Times New Roman"/>
          <w:szCs w:val="17"/>
        </w:rPr>
        <w:t>Provide a description of all water ponds, including:</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size, capacity, layout and location of ponds;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design and construction methods;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chemical composition of the solution to be stored in each pond;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minimum freeboard to be maintained;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plans (as per 7.1.2.1).</w:t>
      </w:r>
    </w:p>
    <w:p w:rsidR="00E26C8E" w:rsidRPr="00E26C8E" w:rsidRDefault="00E26C8E" w:rsidP="00E26C8E">
      <w:pPr>
        <w:spacing w:after="0" w:line="240" w:lineRule="auto"/>
        <w:jc w:val="left"/>
        <w:rPr>
          <w:rFonts w:eastAsia="Times New Roman"/>
          <w:i/>
          <w:szCs w:val="17"/>
        </w:rPr>
      </w:pPr>
      <w:r w:rsidRPr="00E26C8E">
        <w:rPr>
          <w:rFonts w:eastAsia="Times New Roman"/>
          <w:i/>
          <w:szCs w:val="17"/>
        </w:rPr>
        <w:br w:type="page"/>
      </w:r>
    </w:p>
    <w:p w:rsidR="00E26C8E" w:rsidRPr="00E26C8E" w:rsidRDefault="00E26C8E" w:rsidP="00E26C8E">
      <w:pPr>
        <w:ind w:left="1418" w:hanging="567"/>
        <w:rPr>
          <w:rFonts w:eastAsia="Times New Roman"/>
          <w:i/>
          <w:szCs w:val="17"/>
        </w:rPr>
      </w:pPr>
      <w:r w:rsidRPr="00E26C8E">
        <w:rPr>
          <w:rFonts w:eastAsia="Times New Roman"/>
          <w:i/>
          <w:szCs w:val="17"/>
        </w:rPr>
        <w:t>2.5.5</w:t>
      </w:r>
      <w:r w:rsidRPr="00E26C8E">
        <w:rPr>
          <w:rFonts w:eastAsia="Times New Roman"/>
          <w:i/>
          <w:szCs w:val="17"/>
        </w:rPr>
        <w:tab/>
        <w:t>Type of Mobile Equipment</w:t>
      </w:r>
    </w:p>
    <w:p w:rsidR="00E26C8E" w:rsidRPr="00E26C8E" w:rsidRDefault="00E26C8E" w:rsidP="00E26C8E">
      <w:pPr>
        <w:ind w:left="1418"/>
        <w:rPr>
          <w:rFonts w:eastAsia="Times New Roman"/>
          <w:szCs w:val="17"/>
        </w:rPr>
      </w:pPr>
      <w:r w:rsidRPr="00E26C8E">
        <w:rPr>
          <w:rFonts w:eastAsia="Times New Roman"/>
          <w:szCs w:val="17"/>
        </w:rPr>
        <w:t>For mobile equipment to be used in crushing / grinding, processing ore and in transporting the mine product to the point of sale, describe: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type, size and capacity of machines;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approximate number of units;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noise outputs;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exhaust outputs;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fire ignition sources.</w:t>
      </w:r>
    </w:p>
    <w:p w:rsidR="00E26C8E" w:rsidRPr="00E26C8E" w:rsidRDefault="00E26C8E" w:rsidP="00E26C8E">
      <w:pPr>
        <w:ind w:left="1418" w:hanging="567"/>
        <w:rPr>
          <w:rFonts w:eastAsia="Times New Roman"/>
          <w:i/>
          <w:szCs w:val="17"/>
        </w:rPr>
      </w:pPr>
      <w:r w:rsidRPr="00E26C8E">
        <w:rPr>
          <w:rFonts w:eastAsia="Times New Roman"/>
          <w:i/>
          <w:szCs w:val="17"/>
        </w:rPr>
        <w:t>2.5.6</w:t>
      </w:r>
      <w:r w:rsidRPr="00E26C8E">
        <w:rPr>
          <w:rFonts w:eastAsia="Times New Roman"/>
          <w:i/>
          <w:szCs w:val="17"/>
        </w:rPr>
        <w:tab/>
        <w:t>Conveyors and Pipelines</w:t>
      </w:r>
    </w:p>
    <w:p w:rsidR="00E26C8E" w:rsidRPr="00E26C8E" w:rsidRDefault="00E26C8E" w:rsidP="00E26C8E">
      <w:pPr>
        <w:ind w:left="1418"/>
        <w:rPr>
          <w:rFonts w:eastAsia="Times New Roman"/>
          <w:szCs w:val="17"/>
        </w:rPr>
      </w:pPr>
      <w:r w:rsidRPr="00E26C8E">
        <w:rPr>
          <w:rFonts w:eastAsia="Times New Roman"/>
          <w:szCs w:val="17"/>
        </w:rPr>
        <w:t>Provide a description of any conveyors or pipelines to be used for transporting material to or from the mine, processing facilities and the point of sale including:</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length, size (volumes to be transported), design and type of construction and location;</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the material being transported;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leak detection strategies for pipelines;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noise sources;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dust sources and composition;</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fire ignition sources;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maps, plans and cross-sections (as per 7.1.1).</w:t>
      </w:r>
    </w:p>
    <w:p w:rsidR="00E26C8E" w:rsidRPr="00E26C8E" w:rsidRDefault="00E26C8E" w:rsidP="00E26C8E">
      <w:pPr>
        <w:ind w:left="1418" w:hanging="567"/>
        <w:rPr>
          <w:rFonts w:eastAsia="Times New Roman"/>
          <w:i/>
          <w:szCs w:val="17"/>
        </w:rPr>
      </w:pPr>
      <w:r w:rsidRPr="00E26C8E">
        <w:rPr>
          <w:rFonts w:eastAsia="Times New Roman"/>
          <w:i/>
          <w:szCs w:val="17"/>
        </w:rPr>
        <w:t>2.5.7</w:t>
      </w:r>
      <w:r w:rsidRPr="00E26C8E">
        <w:rPr>
          <w:rFonts w:eastAsia="Times New Roman"/>
          <w:i/>
          <w:szCs w:val="17"/>
        </w:rPr>
        <w:tab/>
        <w:t>Hours of Operation</w:t>
      </w:r>
    </w:p>
    <w:p w:rsidR="00E26C8E" w:rsidRPr="00E26C8E" w:rsidRDefault="00E26C8E" w:rsidP="00E26C8E">
      <w:pPr>
        <w:ind w:left="1418"/>
        <w:rPr>
          <w:rFonts w:eastAsia="Times New Roman"/>
          <w:szCs w:val="17"/>
        </w:rPr>
      </w:pPr>
      <w:r w:rsidRPr="00E26C8E">
        <w:rPr>
          <w:rFonts w:eastAsia="Times New Roman"/>
          <w:szCs w:val="17"/>
        </w:rPr>
        <w:t>Describe the hours of operation of crushing / grinding, processing and transport activities.</w:t>
      </w:r>
    </w:p>
    <w:p w:rsidR="00E26C8E" w:rsidRPr="00E26C8E" w:rsidRDefault="00E26C8E" w:rsidP="00E26C8E">
      <w:pPr>
        <w:ind w:left="1418" w:hanging="567"/>
        <w:rPr>
          <w:rFonts w:eastAsia="Times New Roman"/>
          <w:i/>
          <w:szCs w:val="17"/>
        </w:rPr>
      </w:pPr>
      <w:r w:rsidRPr="00E26C8E">
        <w:rPr>
          <w:rFonts w:eastAsia="Times New Roman"/>
          <w:i/>
          <w:szCs w:val="17"/>
        </w:rPr>
        <w:t>2.5.8</w:t>
      </w:r>
      <w:r w:rsidRPr="00E26C8E">
        <w:rPr>
          <w:rFonts w:eastAsia="Times New Roman"/>
          <w:i/>
          <w:szCs w:val="17"/>
        </w:rPr>
        <w:tab/>
        <w:t>Care and Maintenance</w:t>
      </w:r>
    </w:p>
    <w:p w:rsidR="00E26C8E" w:rsidRPr="00E26C8E" w:rsidRDefault="00E26C8E" w:rsidP="00E26C8E">
      <w:pPr>
        <w:ind w:left="1418"/>
        <w:rPr>
          <w:rFonts w:eastAsia="Times New Roman"/>
          <w:szCs w:val="17"/>
        </w:rPr>
      </w:pPr>
      <w:r w:rsidRPr="00E26C8E">
        <w:rPr>
          <w:rFonts w:eastAsia="Times New Roman"/>
          <w:szCs w:val="17"/>
        </w:rPr>
        <w:t>Detail all activities and strategies required for care and maintenance of processing facilities, and material transport systems, should the mine suspend production, but not progress immediately to closure.</w:t>
      </w:r>
    </w:p>
    <w:p w:rsidR="00E26C8E" w:rsidRPr="00E26C8E" w:rsidRDefault="00E26C8E" w:rsidP="00E26C8E">
      <w:pPr>
        <w:ind w:left="1418" w:hanging="567"/>
        <w:rPr>
          <w:rFonts w:eastAsia="Times New Roman"/>
          <w:i/>
          <w:szCs w:val="17"/>
        </w:rPr>
      </w:pPr>
      <w:r w:rsidRPr="00E26C8E">
        <w:rPr>
          <w:rFonts w:eastAsia="Times New Roman"/>
          <w:i/>
          <w:szCs w:val="17"/>
        </w:rPr>
        <w:t>2.5.9</w:t>
      </w:r>
      <w:r w:rsidRPr="00E26C8E">
        <w:rPr>
          <w:rFonts w:eastAsia="Times New Roman"/>
          <w:i/>
          <w:szCs w:val="17"/>
        </w:rPr>
        <w:tab/>
        <w:t>Rehabilitation Strategies and Timing</w:t>
      </w:r>
    </w:p>
    <w:p w:rsidR="00E26C8E" w:rsidRPr="00E26C8E" w:rsidRDefault="00E26C8E" w:rsidP="00E26C8E">
      <w:pPr>
        <w:ind w:left="1418"/>
        <w:rPr>
          <w:rFonts w:eastAsia="Times New Roman"/>
          <w:szCs w:val="17"/>
        </w:rPr>
      </w:pPr>
      <w:r w:rsidRPr="00E26C8E">
        <w:rPr>
          <w:rFonts w:eastAsia="Times New Roman"/>
          <w:szCs w:val="17"/>
        </w:rPr>
        <w:t>Detail all activities, strategies and designs relating to mine closure for removal, disposal, and rehabilitation of processing facilities, and material transport systems, including timing of these activities.</w:t>
      </w:r>
    </w:p>
    <w:p w:rsidR="00E26C8E" w:rsidRPr="00E26C8E" w:rsidRDefault="00E26C8E" w:rsidP="00E26C8E">
      <w:pPr>
        <w:ind w:left="1418"/>
        <w:rPr>
          <w:rFonts w:eastAsia="Times New Roman"/>
          <w:szCs w:val="17"/>
        </w:rPr>
      </w:pPr>
      <w:r w:rsidRPr="00E26C8E">
        <w:rPr>
          <w:rFonts w:eastAsia="Times New Roman"/>
          <w:szCs w:val="17"/>
        </w:rPr>
        <w:t>For rehabilitation strategies and timing related to Heap Leach, provide: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 Heap Leach detoxification strategy;</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identification of the volumes of process solution and flush water to be disposed of at closure;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 methodology for the disposal of residual process solution and flush water at closure.</w:t>
      </w:r>
    </w:p>
    <w:p w:rsidR="00E26C8E" w:rsidRPr="00E26C8E" w:rsidRDefault="00E26C8E" w:rsidP="00E26C8E">
      <w:pPr>
        <w:ind w:left="851" w:hanging="425"/>
        <w:rPr>
          <w:rFonts w:eastAsia="Times New Roman"/>
          <w:b/>
          <w:szCs w:val="17"/>
        </w:rPr>
      </w:pPr>
      <w:r w:rsidRPr="00E26C8E">
        <w:rPr>
          <w:rFonts w:eastAsia="Times New Roman"/>
          <w:b/>
          <w:szCs w:val="17"/>
        </w:rPr>
        <w:t>2.6</w:t>
      </w:r>
      <w:r w:rsidRPr="00E26C8E">
        <w:rPr>
          <w:rFonts w:eastAsia="Times New Roman"/>
          <w:b/>
          <w:szCs w:val="17"/>
        </w:rPr>
        <w:tab/>
        <w:t>Wastes</w:t>
      </w:r>
    </w:p>
    <w:p w:rsidR="00E26C8E" w:rsidRPr="00E26C8E" w:rsidRDefault="00E26C8E" w:rsidP="00E26C8E">
      <w:pPr>
        <w:ind w:left="1418" w:hanging="567"/>
        <w:rPr>
          <w:rFonts w:eastAsia="Times New Roman"/>
          <w:i/>
          <w:szCs w:val="17"/>
        </w:rPr>
      </w:pPr>
      <w:r w:rsidRPr="00E26C8E">
        <w:rPr>
          <w:rFonts w:eastAsia="Times New Roman"/>
          <w:i/>
          <w:szCs w:val="17"/>
        </w:rPr>
        <w:t>2.6.1</w:t>
      </w:r>
      <w:r w:rsidRPr="00E26C8E">
        <w:rPr>
          <w:rFonts w:eastAsia="Times New Roman"/>
          <w:i/>
          <w:szCs w:val="17"/>
        </w:rPr>
        <w:tab/>
        <w:t>Waste Rock and Tailings Storage Facilities</w:t>
      </w:r>
    </w:p>
    <w:p w:rsidR="00E26C8E" w:rsidRPr="00E26C8E" w:rsidRDefault="00E26C8E" w:rsidP="00E26C8E">
      <w:pPr>
        <w:ind w:left="1418"/>
        <w:rPr>
          <w:rFonts w:eastAsia="Times New Roman"/>
          <w:szCs w:val="17"/>
        </w:rPr>
      </w:pPr>
      <w:r w:rsidRPr="00E26C8E">
        <w:rPr>
          <w:rFonts w:eastAsia="Times New Roman"/>
          <w:szCs w:val="17"/>
        </w:rPr>
        <w:t>For waste rock and tailings storage facilities (TSF) provide: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the estimated tonnes and volumes of all waste rock and tailings to be stored;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the reserve and any resource or potential resource that the estimated tonnes and volumes of waste rock and tailings is based on;</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the type, location, size, shape, height and method of construction of permanent and temporary waste storage facilities;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 geochemical and geotechnical assessment of the waste rock and tailings based on the geochemical and geotechnical properties determined from the analysis of representative sampling of all waste rock types and tailings to be disposed;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an assessment on the weathering and erosive potential of waste rock to be disposed;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specifications, drawings and plans for the design, construction, operation and completion of all facilities (as per 7.1.5);</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the method and rate of waste rock/tailings disposal;</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where relevant, a description of the placement and encapsulation of waste material deemed to be hazardous, including potentially acid forming material (PAF);</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the method of stabilisation and erosion control of waste storage facilities, both during operations and post completion;</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surface water runoff control on disturbed and rehabilitated areas;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 geotechnical stability assessment and a factor of safety analysis;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an assessment of seepage of liquids through the waste rock and tailings storage facilities;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strategies for the containment of any seepage that has the potential to impact the environment;</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an assessment of the post completion chemical and physical stability of the structure following rehabilitation, including the expected extent of erosion;</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an assessment of the source, pathway and ultimate fate of any potential mobile contaminants;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 description of the governance arrangements for the design, construction, operation and closure including when it is proposed to use third party verification.</w:t>
      </w:r>
    </w:p>
    <w:p w:rsidR="00E26C8E" w:rsidRPr="00E26C8E" w:rsidRDefault="00E26C8E" w:rsidP="00E26C8E">
      <w:pPr>
        <w:ind w:left="1418"/>
        <w:rPr>
          <w:rFonts w:eastAsia="Times New Roman"/>
          <w:szCs w:val="17"/>
        </w:rPr>
      </w:pPr>
      <w:r w:rsidRPr="00E26C8E">
        <w:rPr>
          <w:rFonts w:eastAsia="Times New Roman"/>
          <w:szCs w:val="17"/>
        </w:rPr>
        <w:t>Include a water balance for the TSF (if not included in the water balance in clause 2.5.4).</w:t>
      </w:r>
    </w:p>
    <w:p w:rsidR="00E26C8E" w:rsidRPr="00E26C8E" w:rsidRDefault="00E26C8E" w:rsidP="00E26C8E">
      <w:pPr>
        <w:spacing w:after="0" w:line="240" w:lineRule="auto"/>
        <w:jc w:val="left"/>
        <w:rPr>
          <w:rFonts w:eastAsia="Times New Roman"/>
          <w:i/>
          <w:szCs w:val="17"/>
        </w:rPr>
      </w:pPr>
      <w:r w:rsidRPr="00E26C8E">
        <w:rPr>
          <w:rFonts w:eastAsia="Times New Roman"/>
          <w:i/>
          <w:szCs w:val="17"/>
        </w:rPr>
        <w:br w:type="page"/>
      </w:r>
    </w:p>
    <w:p w:rsidR="00E26C8E" w:rsidRPr="00E26C8E" w:rsidRDefault="00E26C8E" w:rsidP="00E26C8E">
      <w:pPr>
        <w:ind w:left="1418" w:hanging="567"/>
        <w:rPr>
          <w:rFonts w:eastAsia="Times New Roman"/>
          <w:i/>
          <w:szCs w:val="17"/>
        </w:rPr>
      </w:pPr>
      <w:r w:rsidRPr="00E26C8E">
        <w:rPr>
          <w:rFonts w:eastAsia="Times New Roman"/>
          <w:i/>
          <w:szCs w:val="17"/>
        </w:rPr>
        <w:t>2.6.2</w:t>
      </w:r>
      <w:r w:rsidRPr="00E26C8E">
        <w:rPr>
          <w:rFonts w:eastAsia="Times New Roman"/>
          <w:i/>
          <w:szCs w:val="17"/>
        </w:rPr>
        <w:tab/>
        <w:t>Other Processing Wastes</w:t>
      </w:r>
    </w:p>
    <w:p w:rsidR="00E26C8E" w:rsidRPr="00E26C8E" w:rsidRDefault="00E26C8E" w:rsidP="00E26C8E">
      <w:pPr>
        <w:ind w:left="1418"/>
        <w:rPr>
          <w:rFonts w:eastAsia="Times New Roman"/>
          <w:szCs w:val="17"/>
        </w:rPr>
      </w:pPr>
      <w:r w:rsidRPr="00E26C8E">
        <w:rPr>
          <w:rFonts w:eastAsia="Times New Roman"/>
          <w:szCs w:val="17"/>
        </w:rPr>
        <w:t>Provide: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the volumes and composition of all solid and liquid wastes produced;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estimated volumes of waste processing water, reverse osmosis reject water, water content of solid wastes, and method of disposal or recycling;</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waste water composition;</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disposal and management of any hazardous material or contaminants within waste including radioactive, toxic, corrosive or flammable materials;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the source, pathway and ultimate fate of any potential mobile contaminants.</w:t>
      </w:r>
    </w:p>
    <w:p w:rsidR="00E26C8E" w:rsidRPr="00E26C8E" w:rsidRDefault="00E26C8E" w:rsidP="00E26C8E">
      <w:pPr>
        <w:ind w:left="1418" w:hanging="567"/>
        <w:rPr>
          <w:rFonts w:eastAsia="Times New Roman"/>
          <w:i/>
          <w:szCs w:val="17"/>
        </w:rPr>
      </w:pPr>
      <w:r w:rsidRPr="00E26C8E">
        <w:rPr>
          <w:rFonts w:eastAsia="Times New Roman"/>
          <w:i/>
          <w:szCs w:val="17"/>
        </w:rPr>
        <w:t>2.6.3</w:t>
      </w:r>
      <w:r w:rsidRPr="00E26C8E">
        <w:rPr>
          <w:rFonts w:eastAsia="Times New Roman"/>
          <w:i/>
          <w:szCs w:val="17"/>
        </w:rPr>
        <w:tab/>
        <w:t>Industrial and Commercial Wastes</w:t>
      </w:r>
    </w:p>
    <w:p w:rsidR="00E26C8E" w:rsidRPr="00E26C8E" w:rsidRDefault="00E26C8E" w:rsidP="00E26C8E">
      <w:pPr>
        <w:ind w:left="1418"/>
        <w:rPr>
          <w:rFonts w:eastAsia="Times New Roman"/>
          <w:szCs w:val="17"/>
        </w:rPr>
      </w:pPr>
      <w:r w:rsidRPr="00E26C8E">
        <w:rPr>
          <w:rFonts w:eastAsia="Times New Roman"/>
          <w:szCs w:val="17"/>
        </w:rPr>
        <w:t>List any industrial and commercial wastes generated including, but not limited to:</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putrescible waste, including sewage;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oils and other hydrocarbons;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tyres.</w:t>
      </w:r>
    </w:p>
    <w:p w:rsidR="00E26C8E" w:rsidRPr="00E26C8E" w:rsidRDefault="00E26C8E" w:rsidP="00E26C8E">
      <w:pPr>
        <w:ind w:left="1418"/>
        <w:rPr>
          <w:rFonts w:eastAsia="Times New Roman"/>
          <w:szCs w:val="17"/>
        </w:rPr>
      </w:pPr>
      <w:r w:rsidRPr="00E26C8E">
        <w:rPr>
          <w:rFonts w:eastAsia="Times New Roman"/>
          <w:szCs w:val="17"/>
        </w:rPr>
        <w:t>For each waste type, describe the method of disposal including:</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offsite disposal;</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on site waste disposal (including size, location and construction details);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recycling (either on or offsite);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the type, area and layout of sewage systems to be installed at the site;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describe what, if any approvals are required for the disposal of waste.</w:t>
      </w:r>
    </w:p>
    <w:p w:rsidR="00E26C8E" w:rsidRPr="00E26C8E" w:rsidRDefault="00E26C8E" w:rsidP="00E26C8E">
      <w:pPr>
        <w:ind w:left="1418"/>
        <w:rPr>
          <w:rFonts w:eastAsia="Times New Roman"/>
          <w:szCs w:val="17"/>
        </w:rPr>
      </w:pPr>
      <w:r w:rsidRPr="00E26C8E">
        <w:rPr>
          <w:rFonts w:eastAsia="Times New Roman"/>
          <w:szCs w:val="17"/>
        </w:rPr>
        <w:t>For each type of waste, describe any potential contaminants that may be generated from onsite storage, and the ultimate fate of those contaminants.</w:t>
      </w:r>
    </w:p>
    <w:p w:rsidR="00E26C8E" w:rsidRPr="00E26C8E" w:rsidRDefault="00E26C8E" w:rsidP="00E26C8E">
      <w:pPr>
        <w:ind w:left="1418" w:hanging="567"/>
        <w:rPr>
          <w:rFonts w:eastAsia="Times New Roman"/>
          <w:i/>
          <w:szCs w:val="17"/>
        </w:rPr>
      </w:pPr>
      <w:r w:rsidRPr="00E26C8E">
        <w:rPr>
          <w:rFonts w:eastAsia="Times New Roman"/>
          <w:i/>
          <w:szCs w:val="17"/>
        </w:rPr>
        <w:t>2.6.4</w:t>
      </w:r>
      <w:r w:rsidRPr="00E26C8E">
        <w:rPr>
          <w:rFonts w:eastAsia="Times New Roman"/>
          <w:i/>
          <w:szCs w:val="17"/>
        </w:rPr>
        <w:tab/>
        <w:t>Care and Maintenance</w:t>
      </w:r>
    </w:p>
    <w:p w:rsidR="00E26C8E" w:rsidRPr="00E26C8E" w:rsidRDefault="00E26C8E" w:rsidP="00E26C8E">
      <w:pPr>
        <w:ind w:left="1418"/>
        <w:rPr>
          <w:rFonts w:eastAsia="Times New Roman"/>
          <w:szCs w:val="17"/>
        </w:rPr>
      </w:pPr>
      <w:r w:rsidRPr="00E26C8E">
        <w:rPr>
          <w:rFonts w:eastAsia="Times New Roman"/>
          <w:szCs w:val="17"/>
        </w:rPr>
        <w:t>Detail all activities and strategies required for care and maintenance of waste rock and tailings and any other waste left on site, should the mine suspend production, but not progress immediately to closure.</w:t>
      </w:r>
    </w:p>
    <w:p w:rsidR="00E26C8E" w:rsidRPr="00E26C8E" w:rsidRDefault="00E26C8E" w:rsidP="00E26C8E">
      <w:pPr>
        <w:ind w:left="1418" w:hanging="567"/>
        <w:rPr>
          <w:rFonts w:eastAsia="Times New Roman"/>
          <w:i/>
          <w:szCs w:val="17"/>
        </w:rPr>
      </w:pPr>
      <w:r w:rsidRPr="00E26C8E">
        <w:rPr>
          <w:rFonts w:eastAsia="Times New Roman"/>
          <w:i/>
          <w:szCs w:val="17"/>
        </w:rPr>
        <w:t>2.6.5</w:t>
      </w:r>
      <w:r w:rsidRPr="00E26C8E">
        <w:rPr>
          <w:rFonts w:eastAsia="Times New Roman"/>
          <w:i/>
          <w:szCs w:val="17"/>
        </w:rPr>
        <w:tab/>
        <w:t>Rehabilitation Strategies and Timing</w:t>
      </w:r>
    </w:p>
    <w:p w:rsidR="00E26C8E" w:rsidRPr="00E26C8E" w:rsidRDefault="00E26C8E" w:rsidP="00E26C8E">
      <w:pPr>
        <w:ind w:left="1418"/>
        <w:rPr>
          <w:rFonts w:eastAsia="Times New Roman"/>
          <w:szCs w:val="17"/>
        </w:rPr>
      </w:pPr>
      <w:r w:rsidRPr="00E26C8E">
        <w:rPr>
          <w:rFonts w:eastAsia="Times New Roman"/>
          <w:szCs w:val="17"/>
        </w:rPr>
        <w:t>Detail all activities, strategies and designs relating to mine closure, including timing of these activities and all opportunities for progressive rehabilitation of waste rock and tailings and any other waste to be left on site.</w:t>
      </w:r>
    </w:p>
    <w:p w:rsidR="00E26C8E" w:rsidRPr="00E26C8E" w:rsidRDefault="00E26C8E" w:rsidP="00E26C8E">
      <w:pPr>
        <w:ind w:left="851" w:hanging="425"/>
        <w:rPr>
          <w:rFonts w:eastAsia="Times New Roman"/>
          <w:b/>
          <w:szCs w:val="17"/>
        </w:rPr>
      </w:pPr>
      <w:r w:rsidRPr="00E26C8E">
        <w:rPr>
          <w:rFonts w:eastAsia="Times New Roman"/>
          <w:b/>
          <w:szCs w:val="17"/>
        </w:rPr>
        <w:t>2.7</w:t>
      </w:r>
      <w:r w:rsidRPr="00E26C8E">
        <w:rPr>
          <w:rFonts w:eastAsia="Times New Roman"/>
          <w:b/>
          <w:szCs w:val="17"/>
        </w:rPr>
        <w:tab/>
        <w:t>Supporting Surface Infrastructure</w:t>
      </w:r>
    </w:p>
    <w:p w:rsidR="00E26C8E" w:rsidRPr="00E26C8E" w:rsidRDefault="00E26C8E" w:rsidP="00E26C8E">
      <w:pPr>
        <w:ind w:left="1418" w:hanging="567"/>
        <w:rPr>
          <w:rFonts w:eastAsia="Times New Roman"/>
          <w:i/>
          <w:szCs w:val="17"/>
        </w:rPr>
      </w:pPr>
      <w:r w:rsidRPr="00E26C8E">
        <w:rPr>
          <w:rFonts w:eastAsia="Times New Roman"/>
          <w:i/>
          <w:szCs w:val="17"/>
        </w:rPr>
        <w:t>2.7.1</w:t>
      </w:r>
      <w:r w:rsidRPr="00E26C8E">
        <w:rPr>
          <w:rFonts w:eastAsia="Times New Roman"/>
          <w:i/>
          <w:szCs w:val="17"/>
        </w:rPr>
        <w:tab/>
        <w:t>Access</w:t>
      </w:r>
    </w:p>
    <w:p w:rsidR="00E26C8E" w:rsidRPr="00E26C8E" w:rsidRDefault="00E26C8E" w:rsidP="00E26C8E">
      <w:pPr>
        <w:ind w:left="1418"/>
        <w:rPr>
          <w:rFonts w:eastAsia="Times New Roman"/>
          <w:szCs w:val="17"/>
        </w:rPr>
      </w:pPr>
      <w:r w:rsidRPr="00E26C8E">
        <w:rPr>
          <w:rFonts w:eastAsia="Times New Roman"/>
          <w:szCs w:val="17"/>
        </w:rPr>
        <w:t>Describe: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access route to the mining operations and show on a map (as per 7.1.6);</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indicate if any new roads are to be constructed, or if existing roads or intersections (public and private) are to be upgraded;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transport system(s) used to and from the mining operations and the estimated number of vehicle movements per day;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airport/airstrips to be constructed.</w:t>
      </w:r>
    </w:p>
    <w:p w:rsidR="00E26C8E" w:rsidRPr="00E26C8E" w:rsidRDefault="00E26C8E" w:rsidP="00E26C8E">
      <w:pPr>
        <w:ind w:left="1418" w:hanging="567"/>
        <w:rPr>
          <w:rFonts w:eastAsia="Times New Roman"/>
          <w:i/>
          <w:szCs w:val="17"/>
        </w:rPr>
      </w:pPr>
      <w:r w:rsidRPr="00E26C8E">
        <w:rPr>
          <w:rFonts w:eastAsia="Times New Roman"/>
          <w:i/>
          <w:szCs w:val="17"/>
        </w:rPr>
        <w:t>2.7.2</w:t>
      </w:r>
      <w:r w:rsidRPr="00E26C8E">
        <w:rPr>
          <w:rFonts w:eastAsia="Times New Roman"/>
          <w:i/>
          <w:szCs w:val="17"/>
        </w:rPr>
        <w:tab/>
        <w:t>Accommodation and Offices</w:t>
      </w:r>
    </w:p>
    <w:p w:rsidR="00E26C8E" w:rsidRPr="00E26C8E" w:rsidRDefault="00E26C8E" w:rsidP="00E26C8E">
      <w:pPr>
        <w:ind w:left="1418"/>
        <w:rPr>
          <w:rFonts w:eastAsia="Times New Roman"/>
          <w:szCs w:val="17"/>
        </w:rPr>
      </w:pPr>
      <w:r w:rsidRPr="00E26C8E">
        <w:rPr>
          <w:rFonts w:eastAsia="Times New Roman"/>
          <w:szCs w:val="17"/>
        </w:rPr>
        <w:t>Describe onsite personnel accommodation and offices, including (but not limited to):</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number, area, size, type of construction and location of accommodation, office, meals or laboratory buildings, caravans or camp, and associated structures to be used on site;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state if temporary or permanent.</w:t>
      </w:r>
    </w:p>
    <w:p w:rsidR="00E26C8E" w:rsidRPr="00E26C8E" w:rsidRDefault="00E26C8E" w:rsidP="00E26C8E">
      <w:pPr>
        <w:ind w:left="1418" w:hanging="567"/>
        <w:rPr>
          <w:rFonts w:eastAsia="Times New Roman"/>
          <w:i/>
          <w:szCs w:val="17"/>
        </w:rPr>
      </w:pPr>
      <w:r w:rsidRPr="00E26C8E">
        <w:rPr>
          <w:rFonts w:eastAsia="Times New Roman"/>
          <w:i/>
          <w:szCs w:val="17"/>
        </w:rPr>
        <w:t>2.7.3</w:t>
      </w:r>
      <w:r w:rsidRPr="00E26C8E">
        <w:rPr>
          <w:rFonts w:eastAsia="Times New Roman"/>
          <w:i/>
          <w:szCs w:val="17"/>
        </w:rPr>
        <w:tab/>
        <w:t>Public and Private Services and Utilities Used by the Operation</w:t>
      </w:r>
    </w:p>
    <w:p w:rsidR="00E26C8E" w:rsidRPr="00E26C8E" w:rsidRDefault="00E26C8E" w:rsidP="00E26C8E">
      <w:pPr>
        <w:ind w:left="1418"/>
        <w:rPr>
          <w:rFonts w:eastAsia="Times New Roman"/>
          <w:szCs w:val="17"/>
        </w:rPr>
      </w:pPr>
      <w:r w:rsidRPr="00E26C8E">
        <w:rPr>
          <w:rFonts w:eastAsia="Times New Roman"/>
          <w:szCs w:val="17"/>
        </w:rPr>
        <w:t>Describe: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sources of services that are supplied to the operations, including (but not limited to) power, water, telecommunications;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routes for connection if any new connections to public infrastructure are required;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any existing surface infrastructure that has been and/or the extent it may be affected by the mining operations.</w:t>
      </w:r>
    </w:p>
    <w:p w:rsidR="00E26C8E" w:rsidRPr="00E26C8E" w:rsidRDefault="00E26C8E" w:rsidP="00E26C8E">
      <w:pPr>
        <w:ind w:left="1418" w:hanging="567"/>
        <w:rPr>
          <w:rFonts w:eastAsia="Times New Roman"/>
          <w:i/>
          <w:szCs w:val="17"/>
        </w:rPr>
      </w:pPr>
      <w:r w:rsidRPr="00E26C8E">
        <w:rPr>
          <w:rFonts w:eastAsia="Times New Roman"/>
          <w:i/>
          <w:szCs w:val="17"/>
        </w:rPr>
        <w:t>2.7.4</w:t>
      </w:r>
      <w:r w:rsidRPr="00E26C8E">
        <w:rPr>
          <w:rFonts w:eastAsia="Times New Roman"/>
          <w:i/>
          <w:szCs w:val="17"/>
        </w:rPr>
        <w:tab/>
        <w:t>Visual Screening</w:t>
      </w:r>
    </w:p>
    <w:p w:rsidR="00E26C8E" w:rsidRPr="00E26C8E" w:rsidRDefault="00E26C8E" w:rsidP="00E26C8E">
      <w:pPr>
        <w:ind w:left="1418"/>
        <w:rPr>
          <w:rFonts w:eastAsia="Times New Roman"/>
          <w:szCs w:val="17"/>
        </w:rPr>
      </w:pPr>
      <w:r w:rsidRPr="00E26C8E">
        <w:rPr>
          <w:rFonts w:eastAsia="Times New Roman"/>
          <w:szCs w:val="17"/>
        </w:rPr>
        <w:t>Describe the type of screening, including existing or planned vegetation (i.e. species and density of plantings) and show on a map (as per 7.1.1).</w:t>
      </w:r>
    </w:p>
    <w:p w:rsidR="00E26C8E" w:rsidRPr="00E26C8E" w:rsidRDefault="00E26C8E" w:rsidP="00E26C8E">
      <w:pPr>
        <w:ind w:left="1418" w:hanging="567"/>
        <w:rPr>
          <w:rFonts w:eastAsia="Times New Roman"/>
          <w:i/>
          <w:szCs w:val="17"/>
        </w:rPr>
      </w:pPr>
      <w:r w:rsidRPr="00E26C8E">
        <w:rPr>
          <w:rFonts w:eastAsia="Times New Roman"/>
          <w:i/>
          <w:szCs w:val="17"/>
        </w:rPr>
        <w:t>2.7.5</w:t>
      </w:r>
      <w:r w:rsidRPr="00E26C8E">
        <w:rPr>
          <w:rFonts w:eastAsia="Times New Roman"/>
          <w:i/>
          <w:szCs w:val="17"/>
        </w:rPr>
        <w:tab/>
        <w:t>Fuel and Chemical Storage</w:t>
      </w:r>
    </w:p>
    <w:p w:rsidR="00E26C8E" w:rsidRPr="00E26C8E" w:rsidRDefault="00E26C8E" w:rsidP="00E26C8E">
      <w:pPr>
        <w:ind w:left="1418"/>
        <w:rPr>
          <w:rFonts w:eastAsia="Times New Roman"/>
          <w:szCs w:val="17"/>
        </w:rPr>
      </w:pPr>
      <w:r w:rsidRPr="00E26C8E">
        <w:rPr>
          <w:rFonts w:eastAsia="Times New Roman"/>
          <w:szCs w:val="17"/>
        </w:rPr>
        <w:t>For all fuels and chemicals stored on site show the proposed location of storage on a map (as per 7.1.1) and provide detail on:</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types of bulk chemicals and the volumes of each;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details on storage, bunding and containment for all chemical and fuel storage vessels.</w:t>
      </w:r>
    </w:p>
    <w:p w:rsidR="00E26C8E" w:rsidRPr="00E26C8E" w:rsidRDefault="00E26C8E" w:rsidP="00E26C8E">
      <w:pPr>
        <w:ind w:left="1418" w:hanging="567"/>
        <w:rPr>
          <w:rFonts w:eastAsia="Times New Roman"/>
          <w:i/>
          <w:szCs w:val="17"/>
        </w:rPr>
      </w:pPr>
      <w:r w:rsidRPr="00E26C8E">
        <w:rPr>
          <w:rFonts w:eastAsia="Times New Roman"/>
          <w:i/>
          <w:szCs w:val="17"/>
        </w:rPr>
        <w:t>2.7.6</w:t>
      </w:r>
      <w:r w:rsidRPr="00E26C8E">
        <w:rPr>
          <w:rFonts w:eastAsia="Times New Roman"/>
          <w:i/>
          <w:szCs w:val="17"/>
        </w:rPr>
        <w:tab/>
        <w:t>Site Security</w:t>
      </w:r>
    </w:p>
    <w:p w:rsidR="00E26C8E" w:rsidRPr="00E26C8E" w:rsidRDefault="00E26C8E" w:rsidP="00E26C8E">
      <w:pPr>
        <w:ind w:left="1418"/>
        <w:rPr>
          <w:rFonts w:eastAsia="Times New Roman"/>
          <w:szCs w:val="17"/>
        </w:rPr>
      </w:pPr>
      <w:r w:rsidRPr="00E26C8E">
        <w:rPr>
          <w:rFonts w:eastAsia="Times New Roman"/>
          <w:szCs w:val="17"/>
        </w:rPr>
        <w:t>Describe and show on a map (as per 7.1.2.1) infrastructure and measures that will be adopted to prevent unauthorised access by the public, including fencing, signage etc.</w:t>
      </w:r>
    </w:p>
    <w:p w:rsidR="00E26C8E" w:rsidRPr="00E26C8E" w:rsidRDefault="00E26C8E" w:rsidP="00E26C8E">
      <w:pPr>
        <w:spacing w:after="0" w:line="240" w:lineRule="auto"/>
        <w:jc w:val="left"/>
        <w:rPr>
          <w:rFonts w:eastAsia="Times New Roman"/>
          <w:i/>
          <w:szCs w:val="17"/>
        </w:rPr>
      </w:pPr>
      <w:r w:rsidRPr="00E26C8E">
        <w:rPr>
          <w:rFonts w:eastAsia="Times New Roman"/>
          <w:i/>
          <w:szCs w:val="17"/>
        </w:rPr>
        <w:br w:type="page"/>
      </w:r>
    </w:p>
    <w:p w:rsidR="00E26C8E" w:rsidRPr="00E26C8E" w:rsidRDefault="00E26C8E" w:rsidP="00E26C8E">
      <w:pPr>
        <w:ind w:left="1418" w:hanging="567"/>
        <w:rPr>
          <w:rFonts w:eastAsia="Times New Roman"/>
          <w:i/>
          <w:szCs w:val="17"/>
        </w:rPr>
      </w:pPr>
      <w:r w:rsidRPr="00E26C8E">
        <w:rPr>
          <w:rFonts w:eastAsia="Times New Roman"/>
          <w:i/>
          <w:szCs w:val="17"/>
        </w:rPr>
        <w:t>2.7.7</w:t>
      </w:r>
      <w:r w:rsidRPr="00E26C8E">
        <w:rPr>
          <w:rFonts w:eastAsia="Times New Roman"/>
          <w:i/>
          <w:szCs w:val="17"/>
        </w:rPr>
        <w:tab/>
        <w:t>Stormwater, Silt Control and Drainage</w:t>
      </w:r>
    </w:p>
    <w:p w:rsidR="00E26C8E" w:rsidRPr="00E26C8E" w:rsidRDefault="00E26C8E" w:rsidP="00E26C8E">
      <w:pPr>
        <w:ind w:left="1418"/>
        <w:rPr>
          <w:rFonts w:eastAsia="Times New Roman"/>
          <w:szCs w:val="17"/>
        </w:rPr>
      </w:pPr>
      <w:r w:rsidRPr="00E26C8E">
        <w:rPr>
          <w:rFonts w:eastAsia="Times New Roman"/>
          <w:szCs w:val="17"/>
        </w:rPr>
        <w:t>Describe: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location and design of silt management structures;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runoff control on disturbed and rehabilitated areas;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storage, diversion and release of clean water (discharge water must comply with the applicable Environment Protection Authority South Australia water quality policy);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 whole of site stormwater balance, if not included in the water balance in clause 2.5.4.</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Provide a plan showing the surface water movement for the whole mine site (as per 7.1.1).</w:t>
      </w:r>
    </w:p>
    <w:p w:rsidR="00E26C8E" w:rsidRPr="00E26C8E" w:rsidRDefault="00E26C8E" w:rsidP="00E26C8E">
      <w:pPr>
        <w:ind w:left="1418" w:hanging="567"/>
        <w:rPr>
          <w:rFonts w:eastAsia="Times New Roman"/>
          <w:i/>
          <w:szCs w:val="17"/>
        </w:rPr>
      </w:pPr>
      <w:r w:rsidRPr="00E26C8E">
        <w:rPr>
          <w:rFonts w:eastAsia="Times New Roman"/>
          <w:i/>
          <w:szCs w:val="17"/>
        </w:rPr>
        <w:t>2.7.8</w:t>
      </w:r>
      <w:r w:rsidRPr="00E26C8E">
        <w:rPr>
          <w:rFonts w:eastAsia="Times New Roman"/>
          <w:i/>
          <w:szCs w:val="17"/>
        </w:rPr>
        <w:tab/>
        <w:t>Care and Maintenance</w:t>
      </w:r>
    </w:p>
    <w:p w:rsidR="00E26C8E" w:rsidRPr="00E26C8E" w:rsidRDefault="00E26C8E" w:rsidP="00E26C8E">
      <w:pPr>
        <w:ind w:left="1418"/>
        <w:rPr>
          <w:rFonts w:eastAsia="Times New Roman"/>
          <w:szCs w:val="17"/>
        </w:rPr>
      </w:pPr>
      <w:r w:rsidRPr="00E26C8E">
        <w:rPr>
          <w:rFonts w:eastAsia="Times New Roman"/>
          <w:szCs w:val="17"/>
        </w:rPr>
        <w:t>Detail all activities and strategies required for care and maintenance of supporting surface infrastructure, should the mine suspend production, but not progress immediately to closure.</w:t>
      </w:r>
    </w:p>
    <w:p w:rsidR="00E26C8E" w:rsidRPr="00E26C8E" w:rsidRDefault="00E26C8E" w:rsidP="00E26C8E">
      <w:pPr>
        <w:ind w:left="1418" w:hanging="567"/>
        <w:rPr>
          <w:rFonts w:eastAsia="Times New Roman"/>
          <w:i/>
          <w:szCs w:val="17"/>
        </w:rPr>
      </w:pPr>
      <w:r w:rsidRPr="00E26C8E">
        <w:rPr>
          <w:rFonts w:eastAsia="Times New Roman"/>
          <w:i/>
          <w:szCs w:val="17"/>
        </w:rPr>
        <w:t>2.7.9</w:t>
      </w:r>
      <w:r w:rsidRPr="00E26C8E">
        <w:rPr>
          <w:rFonts w:eastAsia="Times New Roman"/>
          <w:i/>
          <w:szCs w:val="17"/>
        </w:rPr>
        <w:tab/>
        <w:t>Rehabilitation Strategies and Timing</w:t>
      </w:r>
    </w:p>
    <w:p w:rsidR="00E26C8E" w:rsidRPr="00E26C8E" w:rsidRDefault="00E26C8E" w:rsidP="00E26C8E">
      <w:pPr>
        <w:ind w:left="1418"/>
        <w:rPr>
          <w:rFonts w:eastAsia="Times New Roman"/>
          <w:szCs w:val="17"/>
        </w:rPr>
      </w:pPr>
      <w:r w:rsidRPr="00E26C8E">
        <w:rPr>
          <w:rFonts w:eastAsia="Times New Roman"/>
          <w:szCs w:val="17"/>
        </w:rPr>
        <w:t>Detail all activities, strategies and designs relating to mine closure for rehabilitation of supporting surface infrastructure. Provide details for timing of closure activities, including all opportunities for progressive rehabilitation.</w:t>
      </w:r>
    </w:p>
    <w:p w:rsidR="00E26C8E" w:rsidRPr="00E26C8E" w:rsidRDefault="00E26C8E" w:rsidP="00E26C8E">
      <w:pPr>
        <w:ind w:left="851" w:hanging="425"/>
        <w:rPr>
          <w:rFonts w:eastAsia="Times New Roman"/>
          <w:b/>
          <w:szCs w:val="17"/>
        </w:rPr>
      </w:pPr>
      <w:r w:rsidRPr="00E26C8E">
        <w:rPr>
          <w:rFonts w:eastAsia="Times New Roman"/>
          <w:b/>
          <w:szCs w:val="17"/>
        </w:rPr>
        <w:t>2.8</w:t>
      </w:r>
      <w:r w:rsidRPr="00E26C8E">
        <w:rPr>
          <w:rFonts w:eastAsia="Times New Roman"/>
          <w:b/>
          <w:szCs w:val="17"/>
        </w:rPr>
        <w:tab/>
        <w:t>Vegetation Clearance</w:t>
      </w:r>
    </w:p>
    <w:p w:rsidR="00E26C8E" w:rsidRPr="00E26C8E" w:rsidRDefault="00E26C8E" w:rsidP="00E26C8E">
      <w:pPr>
        <w:ind w:left="851"/>
        <w:rPr>
          <w:rFonts w:eastAsia="Times New Roman"/>
          <w:szCs w:val="17"/>
        </w:rPr>
      </w:pPr>
      <w:r w:rsidRPr="00E26C8E">
        <w:rPr>
          <w:rFonts w:eastAsia="Times New Roman"/>
          <w:szCs w:val="17"/>
        </w:rPr>
        <w:t>If clearance of native vegetation is to occur, a Native Vegetation Management Plan (NVMP) prepared by an accredited consultant must be included with the PEPR.</w:t>
      </w:r>
    </w:p>
    <w:p w:rsidR="00E26C8E" w:rsidRPr="00E26C8E" w:rsidRDefault="00E26C8E" w:rsidP="00E26C8E">
      <w:pPr>
        <w:ind w:left="851"/>
        <w:rPr>
          <w:rFonts w:eastAsia="Times New Roman"/>
          <w:szCs w:val="17"/>
        </w:rPr>
      </w:pPr>
      <w:r w:rsidRPr="00E26C8E">
        <w:rPr>
          <w:rFonts w:eastAsia="Times New Roman"/>
          <w:szCs w:val="17"/>
        </w:rPr>
        <w:t>The NVMP must:</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describe the vegetation type to be cleared and include a map (as per 7.1.2) showing the proposed clearance area; and</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state the quantum of significant environmental benefit (SEB) to be gained in exchange for the clearance and describe how the SEB will be provided.</w:t>
      </w:r>
    </w:p>
    <w:p w:rsidR="00E26C8E" w:rsidRPr="00E26C8E" w:rsidRDefault="00E26C8E" w:rsidP="00E26C8E">
      <w:pPr>
        <w:ind w:left="851" w:hanging="425"/>
        <w:rPr>
          <w:rFonts w:eastAsia="Times New Roman"/>
          <w:b/>
          <w:szCs w:val="17"/>
        </w:rPr>
      </w:pPr>
      <w:r w:rsidRPr="00E26C8E">
        <w:rPr>
          <w:rFonts w:eastAsia="Times New Roman"/>
          <w:b/>
          <w:szCs w:val="17"/>
        </w:rPr>
        <w:t>2.9</w:t>
      </w:r>
      <w:r w:rsidRPr="00E26C8E">
        <w:rPr>
          <w:rFonts w:eastAsia="Times New Roman"/>
          <w:b/>
          <w:szCs w:val="17"/>
        </w:rPr>
        <w:tab/>
        <w:t>Mine Completion</w:t>
      </w:r>
    </w:p>
    <w:p w:rsidR="00E26C8E" w:rsidRPr="00E26C8E" w:rsidRDefault="00E26C8E" w:rsidP="00E26C8E">
      <w:pPr>
        <w:ind w:left="1418" w:hanging="567"/>
        <w:rPr>
          <w:rFonts w:eastAsia="Times New Roman"/>
          <w:i/>
          <w:szCs w:val="17"/>
        </w:rPr>
      </w:pPr>
      <w:r w:rsidRPr="00E26C8E">
        <w:rPr>
          <w:rFonts w:eastAsia="Times New Roman"/>
          <w:i/>
          <w:szCs w:val="17"/>
        </w:rPr>
        <w:t>2.9.1</w:t>
      </w:r>
      <w:r w:rsidRPr="00E26C8E">
        <w:rPr>
          <w:rFonts w:eastAsia="Times New Roman"/>
          <w:i/>
          <w:szCs w:val="17"/>
        </w:rPr>
        <w:tab/>
        <w:t>Description of Mine Site at Completion</w:t>
      </w:r>
    </w:p>
    <w:p w:rsidR="00E26C8E" w:rsidRPr="00E26C8E" w:rsidRDefault="00E26C8E" w:rsidP="00E26C8E">
      <w:pPr>
        <w:ind w:left="1418"/>
        <w:rPr>
          <w:rFonts w:eastAsia="Times New Roman"/>
          <w:szCs w:val="17"/>
        </w:rPr>
      </w:pPr>
      <w:r w:rsidRPr="00E26C8E">
        <w:rPr>
          <w:rFonts w:eastAsia="Times New Roman"/>
          <w:szCs w:val="17"/>
        </w:rPr>
        <w:t>Provide a description, plans and cross sections of the mine site (as per 7.1.7 and 7.2.2) as it will be at completion after all rehabilitation and closure activities have been completed, including:</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final post completion land use;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landforms;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vegetation covers (including native vegetation that will not be disturbed due to mining operations);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natural contours of land not to be disturbed by mining operations;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any mining infrastructure that will remain on site and will become the responsibility of the landowner;</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location, description and management of waste disposal areas;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location of reshaped and rehabilitated areas showing surface contours and revegetation;</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mine voids (open pit and/or underground);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location of stored and/or exposed PAF material and/or other hazardous materials;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expected final water level and time to reach this level, and water quality of mine voids;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location of surface water infrastructure including ponds and diversions;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representative plans and cross-sections that show:</w:t>
      </w:r>
    </w:p>
    <w:p w:rsidR="00E26C8E" w:rsidRPr="00E26C8E" w:rsidRDefault="00E26C8E" w:rsidP="00E26C8E">
      <w:pPr>
        <w:ind w:left="1985" w:hanging="284"/>
        <w:rPr>
          <w:rFonts w:eastAsia="Times New Roman"/>
          <w:szCs w:val="17"/>
        </w:rPr>
      </w:pPr>
      <w:r w:rsidRPr="00E26C8E">
        <w:rPr>
          <w:rFonts w:eastAsia="Times New Roman"/>
          <w:szCs w:val="17"/>
        </w:rPr>
        <w:t>◦</w:t>
      </w:r>
      <w:r w:rsidRPr="00E26C8E">
        <w:rPr>
          <w:rFonts w:eastAsia="Times New Roman"/>
          <w:szCs w:val="17"/>
        </w:rPr>
        <w:tab/>
        <w:t>pre-mining natural surface</w:t>
      </w:r>
    </w:p>
    <w:p w:rsidR="00E26C8E" w:rsidRPr="00E26C8E" w:rsidRDefault="00E26C8E" w:rsidP="00E26C8E">
      <w:pPr>
        <w:ind w:left="1985" w:hanging="284"/>
        <w:rPr>
          <w:rFonts w:eastAsia="Times New Roman"/>
          <w:szCs w:val="17"/>
        </w:rPr>
      </w:pPr>
      <w:r w:rsidRPr="00E26C8E">
        <w:rPr>
          <w:rFonts w:eastAsia="Times New Roman"/>
          <w:szCs w:val="17"/>
        </w:rPr>
        <w:t>◦</w:t>
      </w:r>
      <w:r w:rsidRPr="00E26C8E">
        <w:rPr>
          <w:rFonts w:eastAsia="Times New Roman"/>
          <w:szCs w:val="17"/>
        </w:rPr>
        <w:tab/>
        <w:t>emplacement areas, waste disposal areas and disturbed areas</w:t>
      </w:r>
    </w:p>
    <w:p w:rsidR="00E26C8E" w:rsidRPr="00E26C8E" w:rsidRDefault="00E26C8E" w:rsidP="00E26C8E">
      <w:pPr>
        <w:ind w:left="1985" w:hanging="284"/>
        <w:rPr>
          <w:rFonts w:eastAsia="Times New Roman"/>
          <w:szCs w:val="17"/>
        </w:rPr>
      </w:pPr>
      <w:r w:rsidRPr="00E26C8E">
        <w:rPr>
          <w:rFonts w:eastAsia="Times New Roman"/>
          <w:szCs w:val="17"/>
        </w:rPr>
        <w:t>◦</w:t>
      </w:r>
      <w:r w:rsidRPr="00E26C8E">
        <w:rPr>
          <w:rFonts w:eastAsia="Times New Roman"/>
          <w:szCs w:val="17"/>
        </w:rPr>
        <w:tab/>
        <w:t>final rehabilitated surface</w:t>
      </w:r>
    </w:p>
    <w:p w:rsidR="00E26C8E" w:rsidRPr="00E26C8E" w:rsidRDefault="00E26C8E" w:rsidP="00E26C8E">
      <w:pPr>
        <w:ind w:left="1985" w:hanging="284"/>
        <w:rPr>
          <w:rFonts w:eastAsia="Times New Roman"/>
          <w:szCs w:val="17"/>
        </w:rPr>
      </w:pPr>
      <w:r w:rsidRPr="00E26C8E">
        <w:rPr>
          <w:rFonts w:eastAsia="Times New Roman"/>
          <w:szCs w:val="17"/>
        </w:rPr>
        <w:t>◦</w:t>
      </w:r>
      <w:r w:rsidRPr="00E26C8E">
        <w:rPr>
          <w:rFonts w:eastAsia="Times New Roman"/>
          <w:szCs w:val="17"/>
        </w:rPr>
        <w:tab/>
        <w:t>where relevant, backfilled and remaining underground workings</w:t>
      </w:r>
    </w:p>
    <w:p w:rsidR="00E26C8E" w:rsidRPr="00E26C8E" w:rsidRDefault="00E26C8E" w:rsidP="00E26C8E">
      <w:pPr>
        <w:ind w:left="1985" w:hanging="284"/>
        <w:rPr>
          <w:rFonts w:eastAsia="Times New Roman"/>
          <w:szCs w:val="17"/>
        </w:rPr>
      </w:pPr>
      <w:r w:rsidRPr="00E26C8E">
        <w:rPr>
          <w:rFonts w:eastAsia="Times New Roman"/>
          <w:szCs w:val="17"/>
        </w:rPr>
        <w:t>◦</w:t>
      </w:r>
      <w:r w:rsidRPr="00E26C8E">
        <w:rPr>
          <w:rFonts w:eastAsia="Times New Roman"/>
          <w:szCs w:val="17"/>
        </w:rPr>
        <w:tab/>
        <w:t>predicted final groundwater levels</w:t>
      </w:r>
    </w:p>
    <w:p w:rsidR="00E26C8E" w:rsidRPr="00E26C8E" w:rsidRDefault="00E26C8E" w:rsidP="00E26C8E">
      <w:pPr>
        <w:ind w:left="1985" w:hanging="284"/>
        <w:rPr>
          <w:rFonts w:eastAsia="Times New Roman"/>
          <w:szCs w:val="17"/>
        </w:rPr>
      </w:pPr>
      <w:r w:rsidRPr="00E26C8E">
        <w:rPr>
          <w:rFonts w:eastAsia="Times New Roman"/>
          <w:szCs w:val="17"/>
        </w:rPr>
        <w:t>◦</w:t>
      </w:r>
      <w:r w:rsidRPr="00E26C8E">
        <w:rPr>
          <w:rFonts w:eastAsia="Times New Roman"/>
          <w:szCs w:val="17"/>
        </w:rPr>
        <w:tab/>
        <w:t>interpreted geology including all rock types.</w:t>
      </w:r>
    </w:p>
    <w:p w:rsidR="00E26C8E" w:rsidRPr="00E26C8E" w:rsidRDefault="00E26C8E" w:rsidP="00E26C8E">
      <w:pPr>
        <w:ind w:left="1418"/>
        <w:rPr>
          <w:rFonts w:eastAsia="Times New Roman"/>
          <w:szCs w:val="17"/>
        </w:rPr>
      </w:pPr>
      <w:r w:rsidRPr="00E26C8E">
        <w:rPr>
          <w:rFonts w:eastAsia="Times New Roman"/>
          <w:szCs w:val="17"/>
        </w:rPr>
        <w:t>Provide a description of the mechanism for transferring responsibility for any potential residual liability (i.e. ongoing maintenance or monitoring) subsequent to surrender of the tenement.</w:t>
      </w:r>
    </w:p>
    <w:p w:rsidR="00E26C8E" w:rsidRPr="00E26C8E" w:rsidRDefault="00E26C8E" w:rsidP="00E26C8E">
      <w:pPr>
        <w:ind w:left="1418" w:hanging="567"/>
        <w:rPr>
          <w:rFonts w:eastAsia="Times New Roman"/>
          <w:i/>
          <w:szCs w:val="17"/>
        </w:rPr>
      </w:pPr>
      <w:r w:rsidRPr="00E26C8E">
        <w:rPr>
          <w:rFonts w:eastAsia="Times New Roman"/>
          <w:i/>
          <w:szCs w:val="17"/>
        </w:rPr>
        <w:t>2.9.2</w:t>
      </w:r>
      <w:r w:rsidRPr="00E26C8E">
        <w:rPr>
          <w:rFonts w:eastAsia="Times New Roman"/>
          <w:i/>
          <w:szCs w:val="17"/>
        </w:rPr>
        <w:tab/>
        <w:t>Rehabilitation Liability Estimate</w:t>
      </w:r>
    </w:p>
    <w:p w:rsidR="00E26C8E" w:rsidRPr="00E26C8E" w:rsidRDefault="00E26C8E" w:rsidP="00E26C8E">
      <w:pPr>
        <w:ind w:left="1418"/>
        <w:rPr>
          <w:rFonts w:eastAsia="Times New Roman"/>
          <w:szCs w:val="17"/>
        </w:rPr>
      </w:pPr>
      <w:r w:rsidRPr="00E26C8E">
        <w:rPr>
          <w:rFonts w:eastAsia="Times New Roman"/>
          <w:szCs w:val="17"/>
        </w:rPr>
        <w:t>Provide the maximum third party cost of rehabilitation at any time over the life of mine covered by the PEPR. The estimate must be based on reasonable third party costs of undertaking the rehabilitation strategies as outlined in clause 2 and include costs for project management, inflation, normal project variation, and contingency provision for risk associated with the strategies and uncertainty in the cost estimates.</w:t>
      </w:r>
    </w:p>
    <w:p w:rsidR="00E26C8E" w:rsidRPr="00E26C8E" w:rsidRDefault="00E26C8E" w:rsidP="00E26C8E">
      <w:pPr>
        <w:ind w:left="851" w:hanging="425"/>
        <w:rPr>
          <w:rFonts w:eastAsia="Times New Roman"/>
          <w:b/>
          <w:szCs w:val="17"/>
        </w:rPr>
      </w:pPr>
      <w:r w:rsidRPr="00E26C8E">
        <w:rPr>
          <w:rFonts w:eastAsia="Times New Roman"/>
          <w:b/>
          <w:szCs w:val="17"/>
        </w:rPr>
        <w:t>2.10</w:t>
      </w:r>
      <w:r w:rsidRPr="00E26C8E">
        <w:rPr>
          <w:rFonts w:eastAsia="Times New Roman"/>
          <w:b/>
          <w:szCs w:val="17"/>
        </w:rPr>
        <w:tab/>
        <w:t>Resource Inputs</w:t>
      </w:r>
    </w:p>
    <w:p w:rsidR="00E26C8E" w:rsidRPr="00E26C8E" w:rsidRDefault="00E26C8E" w:rsidP="00E26C8E">
      <w:pPr>
        <w:ind w:left="1418" w:hanging="567"/>
        <w:rPr>
          <w:rFonts w:eastAsia="Times New Roman"/>
          <w:i/>
          <w:szCs w:val="17"/>
        </w:rPr>
      </w:pPr>
      <w:r w:rsidRPr="00E26C8E">
        <w:rPr>
          <w:rFonts w:eastAsia="Times New Roman"/>
          <w:i/>
          <w:szCs w:val="17"/>
        </w:rPr>
        <w:t>2.10.1</w:t>
      </w:r>
      <w:r w:rsidRPr="00E26C8E">
        <w:rPr>
          <w:rFonts w:eastAsia="Times New Roman"/>
          <w:i/>
          <w:szCs w:val="17"/>
        </w:rPr>
        <w:tab/>
        <w:t>Workforce</w:t>
      </w:r>
    </w:p>
    <w:p w:rsidR="00E26C8E" w:rsidRPr="00E26C8E" w:rsidRDefault="00E26C8E" w:rsidP="00E26C8E">
      <w:pPr>
        <w:ind w:left="1418"/>
        <w:rPr>
          <w:rFonts w:eastAsia="Times New Roman"/>
          <w:szCs w:val="17"/>
        </w:rPr>
      </w:pPr>
      <w:r w:rsidRPr="00E26C8E">
        <w:rPr>
          <w:rFonts w:eastAsia="Times New Roman"/>
          <w:szCs w:val="17"/>
        </w:rPr>
        <w:t>For the workforce for all operations (mining, processing, waste management and supporting surface infrastructure), describe: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how operations on the site will be managed;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number and workforce breakdown by job type;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number of full-time employee positions that would be directly created by the proposal (not to include existing positions);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the proportion of the workforce that would reside in the local community and the estimated impact on local employment;</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any programs to target and assist Indigenous or local employment at the mine;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training to be provided to employees and potential employees;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approximate timelines for creation of the positions;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potential for local business participation, and procurement of local goods and services.</w:t>
      </w:r>
    </w:p>
    <w:p w:rsidR="00E26C8E" w:rsidRPr="00E26C8E" w:rsidRDefault="00E26C8E" w:rsidP="00E26C8E">
      <w:pPr>
        <w:ind w:left="1418" w:hanging="567"/>
        <w:rPr>
          <w:rFonts w:eastAsia="Times New Roman"/>
          <w:i/>
          <w:szCs w:val="17"/>
        </w:rPr>
      </w:pPr>
      <w:r w:rsidRPr="00E26C8E">
        <w:rPr>
          <w:rFonts w:eastAsia="Times New Roman"/>
          <w:i/>
          <w:szCs w:val="17"/>
        </w:rPr>
        <w:t>2.10.2</w:t>
      </w:r>
      <w:r w:rsidRPr="00E26C8E">
        <w:rPr>
          <w:rFonts w:eastAsia="Times New Roman"/>
          <w:i/>
          <w:szCs w:val="17"/>
        </w:rPr>
        <w:tab/>
        <w:t>Energy Sources</w:t>
      </w:r>
    </w:p>
    <w:p w:rsidR="00E26C8E" w:rsidRPr="00E26C8E" w:rsidRDefault="00E26C8E" w:rsidP="00E26C8E">
      <w:pPr>
        <w:ind w:left="1418"/>
        <w:rPr>
          <w:rFonts w:eastAsia="Times New Roman"/>
          <w:szCs w:val="17"/>
        </w:rPr>
      </w:pPr>
      <w:r w:rsidRPr="00E26C8E">
        <w:rPr>
          <w:rFonts w:eastAsia="Times New Roman"/>
          <w:szCs w:val="17"/>
        </w:rPr>
        <w:t>For the energy sources and usage provide: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estimates of total annual energy usage (from all sources, including personnel transport and ore transport to point of sale);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expected sources of energy;</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potential for efficiency gains;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amount and percentage of zero emission energy to be utilised;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equivalent annual CO2 generated;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any carbon offsets proposed.</w:t>
      </w:r>
    </w:p>
    <w:p w:rsidR="00E26C8E" w:rsidRPr="00E26C8E" w:rsidRDefault="00E26C8E" w:rsidP="00E26C8E">
      <w:pPr>
        <w:ind w:left="1418" w:hanging="567"/>
        <w:rPr>
          <w:rFonts w:eastAsia="Times New Roman"/>
          <w:i/>
          <w:szCs w:val="17"/>
        </w:rPr>
      </w:pPr>
      <w:r w:rsidRPr="00E26C8E">
        <w:rPr>
          <w:rFonts w:eastAsia="Times New Roman"/>
          <w:i/>
          <w:szCs w:val="17"/>
        </w:rPr>
        <w:t>2.10.3</w:t>
      </w:r>
      <w:r w:rsidRPr="00E26C8E">
        <w:rPr>
          <w:rFonts w:eastAsia="Times New Roman"/>
          <w:i/>
          <w:szCs w:val="17"/>
        </w:rPr>
        <w:tab/>
        <w:t>Water Sources</w:t>
      </w:r>
    </w:p>
    <w:p w:rsidR="00E26C8E" w:rsidRPr="00E26C8E" w:rsidRDefault="00E26C8E" w:rsidP="00E26C8E">
      <w:pPr>
        <w:ind w:left="1418"/>
        <w:rPr>
          <w:rFonts w:eastAsia="Times New Roman"/>
          <w:szCs w:val="17"/>
        </w:rPr>
      </w:pPr>
      <w:r w:rsidRPr="00E26C8E">
        <w:rPr>
          <w:rFonts w:eastAsia="Times New Roman"/>
          <w:szCs w:val="17"/>
        </w:rPr>
        <w:t>Provide details on the source(s) of water to be used, expected usage and any discharge, including:</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expected annual water usage by source;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indicate if any water usage by source will be more than 5% of the total annual water withdrawal for that source;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percentage of water that will be recycled;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water discharge by quality and destination.</w:t>
      </w:r>
    </w:p>
    <w:p w:rsidR="00E26C8E" w:rsidRPr="00E26C8E" w:rsidRDefault="00E26C8E" w:rsidP="00E26C8E">
      <w:pPr>
        <w:ind w:left="426" w:hanging="284"/>
        <w:rPr>
          <w:rFonts w:eastAsia="Times New Roman"/>
          <w:b/>
          <w:szCs w:val="17"/>
        </w:rPr>
      </w:pPr>
      <w:r w:rsidRPr="00E26C8E">
        <w:rPr>
          <w:rFonts w:eastAsia="Times New Roman"/>
          <w:b/>
          <w:szCs w:val="17"/>
        </w:rPr>
        <w:t>3.</w:t>
      </w:r>
      <w:r w:rsidRPr="00E26C8E">
        <w:rPr>
          <w:rFonts w:eastAsia="Times New Roman"/>
          <w:b/>
          <w:szCs w:val="17"/>
        </w:rPr>
        <w:tab/>
        <w:t>CONSULTATION</w:t>
      </w:r>
    </w:p>
    <w:p w:rsidR="00E26C8E" w:rsidRPr="00E26C8E" w:rsidRDefault="00E26C8E" w:rsidP="00E26C8E">
      <w:pPr>
        <w:ind w:left="426"/>
        <w:rPr>
          <w:rFonts w:eastAsia="Times New Roman"/>
          <w:szCs w:val="17"/>
        </w:rPr>
      </w:pPr>
      <w:r w:rsidRPr="00E26C8E">
        <w:rPr>
          <w:rFonts w:eastAsia="Times New Roman"/>
          <w:szCs w:val="17"/>
        </w:rPr>
        <w:t>In setting out the result of the consultation undertaken in connection with the proposed operations in accordance with regulation 64 of the</w:t>
      </w:r>
      <w:r w:rsidRPr="00E26C8E">
        <w:rPr>
          <w:rFonts w:eastAsia="Times New Roman"/>
          <w:i/>
          <w:szCs w:val="17"/>
        </w:rPr>
        <w:t xml:space="preserve"> Mining Regulations 2020</w:t>
      </w:r>
      <w:r w:rsidRPr="00E26C8E">
        <w:rPr>
          <w:rFonts w:eastAsia="Times New Roman"/>
          <w:szCs w:val="17"/>
        </w:rPr>
        <w:t>, the Minister determines in accordance with regulation 63(1)(e) of the</w:t>
      </w:r>
      <w:r w:rsidRPr="00E26C8E">
        <w:rPr>
          <w:rFonts w:eastAsia="Times New Roman"/>
          <w:i/>
          <w:szCs w:val="17"/>
        </w:rPr>
        <w:t xml:space="preserve"> Mining Regulations 2020</w:t>
      </w:r>
      <w:r w:rsidRPr="00E26C8E">
        <w:rPr>
          <w:rFonts w:eastAsia="Times New Roman"/>
          <w:szCs w:val="17"/>
        </w:rPr>
        <w:t xml:space="preserve"> that a PEPR must include:</w:t>
      </w:r>
    </w:p>
    <w:p w:rsidR="00E26C8E" w:rsidRPr="00E26C8E" w:rsidRDefault="00E26C8E" w:rsidP="00E26C8E">
      <w:pPr>
        <w:ind w:left="426"/>
        <w:rPr>
          <w:rFonts w:eastAsia="Times New Roman"/>
          <w:szCs w:val="17"/>
        </w:rPr>
      </w:pPr>
      <w:r w:rsidRPr="00E26C8E">
        <w:rPr>
          <w:rFonts w:eastAsia="Times New Roman"/>
          <w:szCs w:val="17"/>
        </w:rPr>
        <w:t>A description of:</w:t>
      </w:r>
    </w:p>
    <w:p w:rsidR="00E26C8E" w:rsidRPr="00E26C8E" w:rsidRDefault="00E26C8E" w:rsidP="00E26C8E">
      <w:pPr>
        <w:ind w:left="709" w:hanging="283"/>
        <w:rPr>
          <w:rFonts w:eastAsia="Times New Roman"/>
          <w:szCs w:val="17"/>
        </w:rPr>
      </w:pPr>
      <w:r w:rsidRPr="00E26C8E">
        <w:rPr>
          <w:rFonts w:eastAsia="Times New Roman"/>
          <w:szCs w:val="17"/>
        </w:rPr>
        <w:t>•</w:t>
      </w:r>
      <w:r w:rsidRPr="00E26C8E">
        <w:rPr>
          <w:rFonts w:eastAsia="Times New Roman"/>
          <w:szCs w:val="17"/>
        </w:rPr>
        <w:tab/>
        <w:t>the process undertaken for identifying stakeholders with an interest in, or stakeholders likely to be directly affected by the mining operation;</w:t>
      </w:r>
    </w:p>
    <w:p w:rsidR="00E26C8E" w:rsidRPr="00E26C8E" w:rsidRDefault="00E26C8E" w:rsidP="00E26C8E">
      <w:pPr>
        <w:ind w:left="709" w:hanging="283"/>
        <w:rPr>
          <w:rFonts w:eastAsia="Times New Roman"/>
          <w:szCs w:val="17"/>
        </w:rPr>
      </w:pPr>
      <w:r w:rsidRPr="00E26C8E">
        <w:rPr>
          <w:rFonts w:eastAsia="Times New Roman"/>
          <w:szCs w:val="17"/>
        </w:rPr>
        <w:t>•</w:t>
      </w:r>
      <w:r w:rsidRPr="00E26C8E">
        <w:rPr>
          <w:rFonts w:eastAsia="Times New Roman"/>
          <w:szCs w:val="17"/>
        </w:rPr>
        <w:tab/>
        <w:t>the process undertaken for the delivery of information to, gathering of feedback from, and responding to those identified stakeholders;</w:t>
      </w:r>
    </w:p>
    <w:p w:rsidR="00E26C8E" w:rsidRPr="00E26C8E" w:rsidRDefault="00E26C8E" w:rsidP="00E26C8E">
      <w:pPr>
        <w:ind w:left="709" w:hanging="283"/>
        <w:rPr>
          <w:rFonts w:eastAsia="Times New Roman"/>
          <w:szCs w:val="17"/>
        </w:rPr>
      </w:pPr>
      <w:r w:rsidRPr="00E26C8E">
        <w:rPr>
          <w:rFonts w:eastAsia="Times New Roman"/>
          <w:szCs w:val="17"/>
        </w:rPr>
        <w:t>•</w:t>
      </w:r>
      <w:r w:rsidRPr="00E26C8E">
        <w:rPr>
          <w:rFonts w:eastAsia="Times New Roman"/>
          <w:szCs w:val="17"/>
        </w:rPr>
        <w:tab/>
        <w:t>if any individual or group of similar affected persons were not able to be consulted, the steps taken to consult with them.</w:t>
      </w:r>
    </w:p>
    <w:p w:rsidR="00E26C8E" w:rsidRPr="00E26C8E" w:rsidRDefault="00E26C8E" w:rsidP="00E26C8E">
      <w:pPr>
        <w:ind w:left="426"/>
        <w:rPr>
          <w:rFonts w:eastAsia="Times New Roman"/>
          <w:szCs w:val="17"/>
        </w:rPr>
      </w:pPr>
      <w:r w:rsidRPr="00E26C8E">
        <w:rPr>
          <w:rFonts w:eastAsia="Times New Roman"/>
          <w:szCs w:val="17"/>
        </w:rPr>
        <w:t>The results of the consultation undertaken with those identified stakeholders, including:</w:t>
      </w:r>
    </w:p>
    <w:p w:rsidR="00E26C8E" w:rsidRPr="00E26C8E" w:rsidRDefault="00E26C8E" w:rsidP="00E26C8E">
      <w:pPr>
        <w:ind w:left="709" w:hanging="283"/>
        <w:rPr>
          <w:rFonts w:eastAsia="Times New Roman"/>
          <w:szCs w:val="17"/>
        </w:rPr>
      </w:pPr>
      <w:r w:rsidRPr="00E26C8E">
        <w:rPr>
          <w:rFonts w:eastAsia="Times New Roman"/>
          <w:szCs w:val="17"/>
        </w:rPr>
        <w:t>•</w:t>
      </w:r>
      <w:r w:rsidRPr="00E26C8E">
        <w:rPr>
          <w:rFonts w:eastAsia="Times New Roman"/>
          <w:szCs w:val="17"/>
        </w:rPr>
        <w:tab/>
        <w:t>the persons consulted;</w:t>
      </w:r>
    </w:p>
    <w:p w:rsidR="00E26C8E" w:rsidRPr="00E26C8E" w:rsidRDefault="00E26C8E" w:rsidP="00E26C8E">
      <w:pPr>
        <w:ind w:left="709" w:hanging="283"/>
        <w:rPr>
          <w:rFonts w:eastAsia="Times New Roman"/>
          <w:szCs w:val="17"/>
        </w:rPr>
      </w:pPr>
      <w:r w:rsidRPr="00E26C8E">
        <w:rPr>
          <w:rFonts w:eastAsia="Times New Roman"/>
          <w:szCs w:val="17"/>
        </w:rPr>
        <w:t>•</w:t>
      </w:r>
      <w:r w:rsidRPr="00E26C8E">
        <w:rPr>
          <w:rFonts w:eastAsia="Times New Roman"/>
          <w:szCs w:val="17"/>
        </w:rPr>
        <w:tab/>
        <w:t>any concerns / issues raised; and</w:t>
      </w:r>
    </w:p>
    <w:p w:rsidR="00E26C8E" w:rsidRPr="00E26C8E" w:rsidRDefault="00E26C8E" w:rsidP="00E26C8E">
      <w:pPr>
        <w:ind w:left="709" w:hanging="283"/>
        <w:rPr>
          <w:rFonts w:eastAsia="Times New Roman"/>
          <w:szCs w:val="17"/>
        </w:rPr>
      </w:pPr>
      <w:r w:rsidRPr="00E26C8E">
        <w:rPr>
          <w:rFonts w:eastAsia="Times New Roman"/>
          <w:szCs w:val="17"/>
        </w:rPr>
        <w:t>•</w:t>
      </w:r>
      <w:r w:rsidRPr="00E26C8E">
        <w:rPr>
          <w:rFonts w:eastAsia="Times New Roman"/>
          <w:szCs w:val="17"/>
        </w:rPr>
        <w:tab/>
        <w:t>the response and steps (if any) taken or proposed to address those concerns.</w:t>
      </w:r>
    </w:p>
    <w:p w:rsidR="00E26C8E" w:rsidRPr="00E26C8E" w:rsidRDefault="00E26C8E" w:rsidP="00E26C8E">
      <w:pPr>
        <w:ind w:left="426" w:hanging="284"/>
        <w:rPr>
          <w:rFonts w:eastAsia="Times New Roman"/>
          <w:b/>
          <w:szCs w:val="17"/>
        </w:rPr>
      </w:pPr>
      <w:r w:rsidRPr="00E26C8E">
        <w:rPr>
          <w:rFonts w:eastAsia="Times New Roman"/>
          <w:b/>
          <w:szCs w:val="17"/>
        </w:rPr>
        <w:t>4.</w:t>
      </w:r>
      <w:r w:rsidRPr="00E26C8E">
        <w:rPr>
          <w:rFonts w:eastAsia="Times New Roman"/>
          <w:b/>
          <w:szCs w:val="17"/>
        </w:rPr>
        <w:tab/>
        <w:t>ENVIRONMENTAL OUTCOMES, STRATEGIES, CRITERIA AND MONITORING</w:t>
      </w:r>
    </w:p>
    <w:p w:rsidR="00E26C8E" w:rsidRPr="00E26C8E" w:rsidRDefault="00E26C8E" w:rsidP="00E26C8E">
      <w:pPr>
        <w:ind w:left="851" w:hanging="425"/>
        <w:rPr>
          <w:rFonts w:eastAsia="Times New Roman"/>
          <w:b/>
          <w:szCs w:val="17"/>
        </w:rPr>
      </w:pPr>
      <w:r w:rsidRPr="00E26C8E">
        <w:rPr>
          <w:rFonts w:eastAsia="Times New Roman"/>
          <w:b/>
          <w:szCs w:val="17"/>
        </w:rPr>
        <w:t>4.1.</w:t>
      </w:r>
      <w:r w:rsidRPr="00E26C8E">
        <w:rPr>
          <w:rFonts w:eastAsia="Times New Roman"/>
          <w:b/>
          <w:szCs w:val="17"/>
        </w:rPr>
        <w:tab/>
        <w:t>Environmental Outcomes</w:t>
      </w:r>
    </w:p>
    <w:p w:rsidR="00E26C8E" w:rsidRPr="00E26C8E" w:rsidRDefault="00E26C8E" w:rsidP="00E26C8E">
      <w:pPr>
        <w:ind w:left="851"/>
        <w:rPr>
          <w:rFonts w:eastAsia="Times New Roman"/>
          <w:szCs w:val="17"/>
        </w:rPr>
      </w:pPr>
      <w:r w:rsidRPr="00E26C8E">
        <w:rPr>
          <w:rFonts w:eastAsia="Times New Roman"/>
          <w:szCs w:val="17"/>
        </w:rPr>
        <w:t>A PEPR must set out environmental outcomes (including completion outcomes) in accordance with section 70B(2)(b)(i) of the</w:t>
      </w:r>
      <w:r w:rsidRPr="00E26C8E">
        <w:rPr>
          <w:rFonts w:eastAsia="Times New Roman"/>
          <w:i/>
          <w:szCs w:val="17"/>
        </w:rPr>
        <w:t xml:space="preserve"> Mining Act 1971</w:t>
      </w:r>
      <w:r w:rsidRPr="00E26C8E">
        <w:rPr>
          <w:rFonts w:eastAsia="Times New Roman"/>
          <w:szCs w:val="17"/>
        </w:rPr>
        <w:t>, or as required by the lease/licence or change to operations proposal</w:t>
      </w:r>
    </w:p>
    <w:p w:rsidR="00E26C8E" w:rsidRPr="00E26C8E" w:rsidRDefault="00E26C8E" w:rsidP="00E26C8E">
      <w:pPr>
        <w:ind w:left="851"/>
        <w:rPr>
          <w:rFonts w:eastAsia="Times New Roman"/>
          <w:szCs w:val="17"/>
        </w:rPr>
      </w:pPr>
      <w:r w:rsidRPr="00E26C8E">
        <w:rPr>
          <w:rFonts w:eastAsia="Times New Roman"/>
          <w:szCs w:val="17"/>
        </w:rPr>
        <w:t>For each environmental outcome, the information described in Clauses 4.2, 4.3 and 4.4 must be provided.</w:t>
      </w:r>
    </w:p>
    <w:p w:rsidR="00E26C8E" w:rsidRPr="00E26C8E" w:rsidRDefault="00E26C8E" w:rsidP="00E26C8E">
      <w:pPr>
        <w:ind w:left="851" w:hanging="425"/>
        <w:rPr>
          <w:rFonts w:eastAsia="Times New Roman"/>
          <w:b/>
          <w:szCs w:val="17"/>
        </w:rPr>
      </w:pPr>
      <w:r w:rsidRPr="00E26C8E">
        <w:rPr>
          <w:rFonts w:eastAsia="Times New Roman"/>
          <w:b/>
          <w:szCs w:val="17"/>
        </w:rPr>
        <w:t>4.2.</w:t>
      </w:r>
      <w:r w:rsidRPr="00E26C8E">
        <w:rPr>
          <w:rFonts w:eastAsia="Times New Roman"/>
          <w:b/>
          <w:szCs w:val="17"/>
        </w:rPr>
        <w:tab/>
        <w:t>Control and Management Strategies</w:t>
      </w:r>
    </w:p>
    <w:p w:rsidR="00E26C8E" w:rsidRPr="00E26C8E" w:rsidRDefault="00E26C8E" w:rsidP="00E26C8E">
      <w:pPr>
        <w:ind w:left="851"/>
        <w:rPr>
          <w:rFonts w:eastAsia="Times New Roman"/>
          <w:szCs w:val="17"/>
        </w:rPr>
      </w:pPr>
      <w:r w:rsidRPr="00E26C8E">
        <w:rPr>
          <w:rFonts w:eastAsia="Times New Roman"/>
          <w:szCs w:val="17"/>
        </w:rPr>
        <w:t>In setting out the control and management strategies adopted to demonstrate that the environmental outcomes can be and will continue to be achieved in accordance with regulation 63(1)(b) of the</w:t>
      </w:r>
      <w:r w:rsidRPr="00E26C8E">
        <w:rPr>
          <w:rFonts w:eastAsia="Times New Roman"/>
          <w:i/>
          <w:szCs w:val="17"/>
        </w:rPr>
        <w:t xml:space="preserve"> Mining Regulations 2020</w:t>
      </w:r>
      <w:r w:rsidRPr="00E26C8E">
        <w:rPr>
          <w:rFonts w:eastAsia="Times New Roman"/>
          <w:szCs w:val="17"/>
        </w:rPr>
        <w:t>, the Minister determines in accordance with regulation 63(3)(e) of the</w:t>
      </w:r>
      <w:r w:rsidRPr="00E26C8E">
        <w:rPr>
          <w:rFonts w:eastAsia="Times New Roman"/>
          <w:i/>
          <w:szCs w:val="17"/>
        </w:rPr>
        <w:t xml:space="preserve"> Mining Regulations 2020</w:t>
      </w:r>
      <w:r w:rsidRPr="00E26C8E">
        <w:rPr>
          <w:rFonts w:eastAsia="Times New Roman"/>
          <w:szCs w:val="17"/>
        </w:rPr>
        <w:t xml:space="preserve"> that a PEPR must:</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demonstrate that the control and management strategies are commensurate with the impacts, achieve compliance with other applicable statutory requirements and promote progressive rehabilitation;</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describe any significant degree of uncertainty in accordance with regulation 63(3)(c) pertaining to the likely effectiveness of control and management strategies, including (but not limited to) lack of site specific information, limitations on modelling and quality of data. Describe any assumptions connected with the identified uncertainty;</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so far as is relevant, identify the sensitivity to change of any assumption that has been made in accordance with regulation 63(3)(d) and assess the likelihood of an outcome not being achieved if an assumption is later found to be incorrect;</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provide a description and list of current and future works (for example (but not limited to) trials, test work, studies, modelling, validations) that are to be undertaken to address the identified uncertainty or assumption;</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provide a schedule of the timing that the future works will be undertaken and completed; and</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based on the schedule of future works, state the timing for review of the PEPR in accordance with Section 70C (1) of the</w:t>
      </w:r>
      <w:r w:rsidRPr="00E26C8E">
        <w:rPr>
          <w:rFonts w:eastAsia="Times New Roman"/>
          <w:i/>
          <w:szCs w:val="17"/>
        </w:rPr>
        <w:t xml:space="preserve"> Mining Act 1971</w:t>
      </w:r>
      <w:r w:rsidRPr="00E26C8E">
        <w:rPr>
          <w:rFonts w:eastAsia="Times New Roman"/>
          <w:szCs w:val="17"/>
        </w:rPr>
        <w:t>.</w:t>
      </w:r>
    </w:p>
    <w:p w:rsidR="00E26C8E" w:rsidRPr="00E26C8E" w:rsidRDefault="00E26C8E" w:rsidP="00E26C8E">
      <w:pPr>
        <w:ind w:left="851" w:hanging="425"/>
        <w:rPr>
          <w:rFonts w:eastAsia="Times New Roman"/>
          <w:b/>
          <w:szCs w:val="17"/>
        </w:rPr>
      </w:pPr>
      <w:r w:rsidRPr="00E26C8E">
        <w:rPr>
          <w:rFonts w:eastAsia="Times New Roman"/>
          <w:b/>
          <w:szCs w:val="17"/>
        </w:rPr>
        <w:t>4.3</w:t>
      </w:r>
      <w:r w:rsidRPr="00E26C8E">
        <w:rPr>
          <w:rFonts w:eastAsia="Times New Roman"/>
          <w:b/>
          <w:szCs w:val="17"/>
        </w:rPr>
        <w:tab/>
        <w:t>Measurement Criteria</w:t>
      </w:r>
    </w:p>
    <w:p w:rsidR="00E26C8E" w:rsidRPr="00E26C8E" w:rsidRDefault="00E26C8E" w:rsidP="00E26C8E">
      <w:pPr>
        <w:ind w:left="851"/>
        <w:rPr>
          <w:rFonts w:eastAsia="Times New Roman"/>
          <w:szCs w:val="17"/>
        </w:rPr>
      </w:pPr>
      <w:r w:rsidRPr="00E26C8E">
        <w:rPr>
          <w:rFonts w:eastAsia="Times New Roman"/>
          <w:szCs w:val="17"/>
        </w:rPr>
        <w:t>In preparing a statement of the criteria to be adopted to measure each of the environmental outcomes in accordance with section 70B(2)(c) of the</w:t>
      </w:r>
      <w:r w:rsidRPr="00E26C8E">
        <w:rPr>
          <w:rFonts w:eastAsia="Times New Roman"/>
          <w:i/>
          <w:szCs w:val="17"/>
        </w:rPr>
        <w:t xml:space="preserve"> Mining Act 1971</w:t>
      </w:r>
      <w:r w:rsidRPr="00E26C8E">
        <w:rPr>
          <w:rFonts w:eastAsia="Times New Roman"/>
          <w:szCs w:val="17"/>
        </w:rPr>
        <w:t xml:space="preserve"> and regulation 63(1)(c) of the</w:t>
      </w:r>
      <w:r w:rsidRPr="00E26C8E">
        <w:rPr>
          <w:rFonts w:eastAsia="Times New Roman"/>
          <w:i/>
          <w:szCs w:val="17"/>
        </w:rPr>
        <w:t xml:space="preserve"> Mining Regulations 2020</w:t>
      </w:r>
      <w:r w:rsidRPr="00E26C8E">
        <w:rPr>
          <w:rFonts w:eastAsia="Times New Roman"/>
          <w:szCs w:val="17"/>
        </w:rPr>
        <w:t>, the Minister determines in accordance with regulation 63(3)(e) of the</w:t>
      </w:r>
      <w:r w:rsidRPr="00E26C8E">
        <w:rPr>
          <w:rFonts w:eastAsia="Times New Roman"/>
          <w:i/>
          <w:szCs w:val="17"/>
        </w:rPr>
        <w:t xml:space="preserve"> Mining Regulations 2020</w:t>
      </w:r>
      <w:r w:rsidRPr="00E26C8E">
        <w:rPr>
          <w:rFonts w:eastAsia="Times New Roman"/>
          <w:szCs w:val="17"/>
        </w:rPr>
        <w:t xml:space="preserve"> the following:</w:t>
      </w:r>
    </w:p>
    <w:p w:rsidR="00E26C8E" w:rsidRPr="00E26C8E" w:rsidRDefault="00E26C8E" w:rsidP="00E26C8E">
      <w:pPr>
        <w:ind w:left="851"/>
        <w:rPr>
          <w:rFonts w:eastAsia="Times New Roman"/>
          <w:szCs w:val="17"/>
        </w:rPr>
      </w:pPr>
      <w:r w:rsidRPr="00E26C8E">
        <w:rPr>
          <w:rFonts w:eastAsia="Times New Roman"/>
          <w:szCs w:val="17"/>
        </w:rPr>
        <w:t>Set out a statement of criteria for each environmental outcome (including completion outcomes).</w:t>
      </w:r>
    </w:p>
    <w:p w:rsidR="00E26C8E" w:rsidRPr="00E26C8E" w:rsidRDefault="00E26C8E" w:rsidP="00E26C8E">
      <w:pPr>
        <w:spacing w:after="0" w:line="240" w:lineRule="auto"/>
        <w:jc w:val="left"/>
        <w:rPr>
          <w:rFonts w:eastAsia="Times New Roman"/>
          <w:szCs w:val="17"/>
        </w:rPr>
      </w:pPr>
      <w:r w:rsidRPr="00E26C8E">
        <w:rPr>
          <w:rFonts w:eastAsia="Times New Roman"/>
          <w:szCs w:val="17"/>
        </w:rPr>
        <w:br w:type="page"/>
      </w:r>
    </w:p>
    <w:p w:rsidR="00E26C8E" w:rsidRPr="00E26C8E" w:rsidRDefault="00E26C8E" w:rsidP="00E26C8E">
      <w:pPr>
        <w:spacing w:after="60"/>
        <w:ind w:left="851"/>
        <w:rPr>
          <w:rFonts w:eastAsia="Times New Roman"/>
          <w:szCs w:val="17"/>
        </w:rPr>
      </w:pPr>
      <w:r w:rsidRPr="00E26C8E">
        <w:rPr>
          <w:rFonts w:eastAsia="Times New Roman"/>
          <w:szCs w:val="17"/>
        </w:rPr>
        <w:t>The criteria must comply with the five elements of regulation 63(1)(c) and must include details about:</w:t>
      </w:r>
    </w:p>
    <w:p w:rsidR="00E26C8E" w:rsidRPr="00E26C8E" w:rsidRDefault="00E26C8E" w:rsidP="00E26C8E">
      <w:pPr>
        <w:spacing w:after="60"/>
        <w:ind w:left="1134" w:hanging="283"/>
        <w:rPr>
          <w:rFonts w:eastAsia="Times New Roman"/>
          <w:szCs w:val="17"/>
        </w:rPr>
      </w:pPr>
      <w:r w:rsidRPr="00E26C8E">
        <w:rPr>
          <w:rFonts w:eastAsia="Times New Roman"/>
          <w:szCs w:val="17"/>
        </w:rPr>
        <w:t>•</w:t>
      </w:r>
      <w:r w:rsidRPr="00E26C8E">
        <w:rPr>
          <w:rFonts w:eastAsia="Times New Roman"/>
          <w:szCs w:val="17"/>
        </w:rPr>
        <w:tab/>
        <w:t>responsibility (who will measure);</w:t>
      </w:r>
    </w:p>
    <w:p w:rsidR="00E26C8E" w:rsidRPr="00E26C8E" w:rsidRDefault="00E26C8E" w:rsidP="00E26C8E">
      <w:pPr>
        <w:spacing w:after="60"/>
        <w:ind w:left="1134" w:hanging="283"/>
        <w:rPr>
          <w:rFonts w:eastAsia="Times New Roman"/>
          <w:szCs w:val="17"/>
        </w:rPr>
      </w:pPr>
      <w:r w:rsidRPr="00E26C8E">
        <w:rPr>
          <w:rFonts w:eastAsia="Times New Roman"/>
          <w:szCs w:val="17"/>
        </w:rPr>
        <w:t>•</w:t>
      </w:r>
      <w:r w:rsidRPr="00E26C8E">
        <w:rPr>
          <w:rFonts w:eastAsia="Times New Roman"/>
          <w:szCs w:val="17"/>
        </w:rPr>
        <w:tab/>
        <w:t>record keeping; and</w:t>
      </w:r>
    </w:p>
    <w:p w:rsidR="00E26C8E" w:rsidRPr="00E26C8E" w:rsidRDefault="00E26C8E" w:rsidP="00E26C8E">
      <w:pPr>
        <w:spacing w:after="60"/>
        <w:ind w:left="1134" w:hanging="283"/>
        <w:rPr>
          <w:rFonts w:eastAsia="Times New Roman"/>
          <w:szCs w:val="17"/>
        </w:rPr>
      </w:pPr>
      <w:r w:rsidRPr="00E26C8E">
        <w:rPr>
          <w:rFonts w:eastAsia="Times New Roman"/>
          <w:szCs w:val="17"/>
        </w:rPr>
        <w:t>•</w:t>
      </w:r>
      <w:r w:rsidRPr="00E26C8E">
        <w:rPr>
          <w:rFonts w:eastAsia="Times New Roman"/>
          <w:szCs w:val="17"/>
        </w:rPr>
        <w:tab/>
        <w:t>frequency of reporting to management and any external parties.</w:t>
      </w:r>
    </w:p>
    <w:p w:rsidR="00E26C8E" w:rsidRPr="00E26C8E" w:rsidRDefault="00E26C8E" w:rsidP="00E26C8E">
      <w:pPr>
        <w:spacing w:after="60"/>
        <w:ind w:left="851"/>
        <w:rPr>
          <w:rFonts w:eastAsia="Times New Roman"/>
          <w:szCs w:val="17"/>
        </w:rPr>
      </w:pPr>
      <w:r w:rsidRPr="00E26C8E">
        <w:rPr>
          <w:rFonts w:eastAsia="Times New Roman"/>
          <w:szCs w:val="17"/>
        </w:rPr>
        <w:t>The statement of criteria must be developed separately for construction, operation and mine completion, as appropriate.</w:t>
      </w:r>
    </w:p>
    <w:p w:rsidR="00E26C8E" w:rsidRPr="00E26C8E" w:rsidRDefault="00E26C8E" w:rsidP="00E26C8E">
      <w:pPr>
        <w:spacing w:after="60"/>
        <w:ind w:left="851"/>
        <w:rPr>
          <w:rFonts w:eastAsia="Times New Roman"/>
          <w:szCs w:val="17"/>
        </w:rPr>
      </w:pPr>
      <w:r w:rsidRPr="00E26C8E">
        <w:rPr>
          <w:rFonts w:eastAsia="Times New Roman"/>
          <w:szCs w:val="17"/>
        </w:rPr>
        <w:t>Where appropriate, recognised industry standards, codes of practice or legislative provisions from other Acts can be used as criteria.</w:t>
      </w:r>
    </w:p>
    <w:p w:rsidR="00E26C8E" w:rsidRPr="00E26C8E" w:rsidRDefault="00E26C8E" w:rsidP="00E26C8E">
      <w:pPr>
        <w:spacing w:after="60"/>
        <w:ind w:left="851"/>
        <w:rPr>
          <w:rFonts w:eastAsia="Times New Roman"/>
          <w:szCs w:val="17"/>
        </w:rPr>
      </w:pPr>
      <w:r w:rsidRPr="00E26C8E">
        <w:rPr>
          <w:rFonts w:eastAsia="Times New Roman"/>
          <w:szCs w:val="17"/>
        </w:rPr>
        <w:t>All point-related measurement criteria, such as water bores, sampling points and photo points (including direction) must be included on a map.</w:t>
      </w:r>
    </w:p>
    <w:p w:rsidR="00E26C8E" w:rsidRPr="00E26C8E" w:rsidRDefault="00E26C8E" w:rsidP="00E26C8E">
      <w:pPr>
        <w:spacing w:after="60"/>
        <w:ind w:left="851"/>
        <w:rPr>
          <w:rFonts w:eastAsia="Times New Roman"/>
          <w:szCs w:val="17"/>
        </w:rPr>
      </w:pPr>
      <w:r w:rsidRPr="00E26C8E">
        <w:rPr>
          <w:rFonts w:eastAsia="Times New Roman"/>
          <w:szCs w:val="17"/>
        </w:rPr>
        <w:t>When control or baseline data is used, this must be included in the PEPR.</w:t>
      </w:r>
    </w:p>
    <w:p w:rsidR="00E26C8E" w:rsidRPr="00E26C8E" w:rsidRDefault="00E26C8E" w:rsidP="00E26C8E">
      <w:pPr>
        <w:spacing w:after="60"/>
        <w:ind w:left="851"/>
        <w:rPr>
          <w:rFonts w:eastAsia="Times New Roman"/>
          <w:szCs w:val="17"/>
        </w:rPr>
      </w:pPr>
      <w:r w:rsidRPr="00E26C8E">
        <w:rPr>
          <w:rFonts w:eastAsia="Times New Roman"/>
          <w:szCs w:val="17"/>
        </w:rPr>
        <w:t>Where groundwater modelling is to be relied upon to demonstrate achievement of groundwater completion outcomes, the statement of criteria must include a process must be provided for validation of predictive modelling, including a description of the model and assumptions used.</w:t>
      </w:r>
    </w:p>
    <w:p w:rsidR="00E26C8E" w:rsidRPr="00E26C8E" w:rsidRDefault="00E26C8E" w:rsidP="00E26C8E">
      <w:pPr>
        <w:spacing w:after="60"/>
        <w:ind w:left="851"/>
        <w:rPr>
          <w:rFonts w:eastAsia="Times New Roman"/>
          <w:szCs w:val="17"/>
        </w:rPr>
      </w:pPr>
      <w:r w:rsidRPr="00E26C8E">
        <w:rPr>
          <w:rFonts w:eastAsia="Times New Roman"/>
          <w:szCs w:val="17"/>
        </w:rPr>
        <w:t>Where native vegetation clearance is planned and in the case where an on ground offset by the operator is to be used to demonstrate the Significant Environmental Benefit (SEB), the statement of criteria must demonstrate the successful implementation of the on ground offset through the native vegetation management plan.</w:t>
      </w:r>
    </w:p>
    <w:p w:rsidR="00E26C8E" w:rsidRPr="00E26C8E" w:rsidRDefault="00E26C8E" w:rsidP="00E26C8E">
      <w:pPr>
        <w:spacing w:after="60"/>
        <w:ind w:left="851" w:hanging="425"/>
        <w:rPr>
          <w:rFonts w:eastAsia="Times New Roman"/>
          <w:b/>
          <w:szCs w:val="17"/>
        </w:rPr>
      </w:pPr>
      <w:r w:rsidRPr="00E26C8E">
        <w:rPr>
          <w:rFonts w:eastAsia="Times New Roman"/>
          <w:b/>
          <w:szCs w:val="17"/>
        </w:rPr>
        <w:t>4.4</w:t>
      </w:r>
      <w:r w:rsidRPr="00E26C8E">
        <w:rPr>
          <w:rFonts w:eastAsia="Times New Roman"/>
          <w:b/>
          <w:szCs w:val="17"/>
        </w:rPr>
        <w:tab/>
        <w:t>Leading Indicator Criteria</w:t>
      </w:r>
    </w:p>
    <w:p w:rsidR="00E26C8E" w:rsidRPr="00E26C8E" w:rsidRDefault="00E26C8E" w:rsidP="00E26C8E">
      <w:pPr>
        <w:spacing w:after="60"/>
        <w:ind w:left="851"/>
        <w:rPr>
          <w:rFonts w:eastAsia="Times New Roman"/>
          <w:szCs w:val="17"/>
        </w:rPr>
      </w:pPr>
      <w:r w:rsidRPr="00E26C8E">
        <w:rPr>
          <w:rFonts w:eastAsia="Times New Roman"/>
          <w:szCs w:val="17"/>
        </w:rPr>
        <w:t>If required by the lease/licence and/or where there is a high level of reliance on control strategies to achieve an environmental outcome, set out leading indicator criteria as required by regulation 63(1)(d) of the</w:t>
      </w:r>
      <w:r w:rsidRPr="00E26C8E">
        <w:rPr>
          <w:rFonts w:eastAsia="Times New Roman"/>
          <w:i/>
          <w:szCs w:val="17"/>
        </w:rPr>
        <w:t xml:space="preserve"> Mining Regulations 2020</w:t>
      </w:r>
      <w:r w:rsidRPr="00E26C8E">
        <w:rPr>
          <w:rFonts w:eastAsia="Times New Roman"/>
          <w:szCs w:val="17"/>
        </w:rPr>
        <w:t xml:space="preserve"> that will be used to give an early warning that a control strategy may fail or be failing.</w:t>
      </w:r>
    </w:p>
    <w:p w:rsidR="00E26C8E" w:rsidRPr="00E26C8E" w:rsidRDefault="00E26C8E" w:rsidP="00E26C8E">
      <w:pPr>
        <w:spacing w:after="60"/>
        <w:ind w:left="851"/>
        <w:rPr>
          <w:rFonts w:eastAsia="Times New Roman"/>
          <w:szCs w:val="17"/>
        </w:rPr>
      </w:pPr>
      <w:r w:rsidRPr="00E26C8E">
        <w:rPr>
          <w:rFonts w:eastAsia="Times New Roman"/>
          <w:szCs w:val="17"/>
        </w:rPr>
        <w:t>Set out leading indicator statement of criteria where required (including mine completion outcomes). The leading indicator criteria must comply with the five elements of regulation 63(1)(c) of the</w:t>
      </w:r>
      <w:r w:rsidRPr="00E26C8E">
        <w:rPr>
          <w:rFonts w:eastAsia="Times New Roman"/>
          <w:i/>
          <w:szCs w:val="17"/>
        </w:rPr>
        <w:t xml:space="preserve"> Mining Regulations 2020</w:t>
      </w:r>
      <w:r w:rsidRPr="00E26C8E">
        <w:rPr>
          <w:rFonts w:eastAsia="Times New Roman"/>
          <w:szCs w:val="17"/>
        </w:rPr>
        <w:t xml:space="preserve"> and the statement of criteria must include details about:</w:t>
      </w:r>
    </w:p>
    <w:p w:rsidR="00E26C8E" w:rsidRPr="00E26C8E" w:rsidRDefault="00E26C8E" w:rsidP="00E26C8E">
      <w:pPr>
        <w:spacing w:after="60"/>
        <w:ind w:left="1134" w:hanging="283"/>
        <w:rPr>
          <w:rFonts w:eastAsia="Times New Roman"/>
          <w:szCs w:val="17"/>
        </w:rPr>
      </w:pPr>
      <w:r w:rsidRPr="00E26C8E">
        <w:rPr>
          <w:rFonts w:eastAsia="Times New Roman"/>
          <w:szCs w:val="17"/>
        </w:rPr>
        <w:t>•</w:t>
      </w:r>
      <w:r w:rsidRPr="00E26C8E">
        <w:rPr>
          <w:rFonts w:eastAsia="Times New Roman"/>
          <w:szCs w:val="17"/>
        </w:rPr>
        <w:tab/>
        <w:t>responsibility (who will measure);</w:t>
      </w:r>
    </w:p>
    <w:p w:rsidR="00E26C8E" w:rsidRPr="00E26C8E" w:rsidRDefault="00E26C8E" w:rsidP="00E26C8E">
      <w:pPr>
        <w:spacing w:after="60"/>
        <w:ind w:left="1134" w:hanging="283"/>
        <w:rPr>
          <w:rFonts w:eastAsia="Times New Roman"/>
          <w:szCs w:val="17"/>
        </w:rPr>
      </w:pPr>
      <w:r w:rsidRPr="00E26C8E">
        <w:rPr>
          <w:rFonts w:eastAsia="Times New Roman"/>
          <w:szCs w:val="17"/>
        </w:rPr>
        <w:t>•</w:t>
      </w:r>
      <w:r w:rsidRPr="00E26C8E">
        <w:rPr>
          <w:rFonts w:eastAsia="Times New Roman"/>
          <w:szCs w:val="17"/>
        </w:rPr>
        <w:tab/>
        <w:t>record keeping; and</w:t>
      </w:r>
    </w:p>
    <w:p w:rsidR="00E26C8E" w:rsidRPr="00E26C8E" w:rsidRDefault="00E26C8E" w:rsidP="00E26C8E">
      <w:pPr>
        <w:spacing w:after="60"/>
        <w:ind w:left="1134" w:hanging="283"/>
        <w:rPr>
          <w:rFonts w:eastAsia="Times New Roman"/>
          <w:szCs w:val="17"/>
        </w:rPr>
      </w:pPr>
      <w:r w:rsidRPr="00E26C8E">
        <w:rPr>
          <w:rFonts w:eastAsia="Times New Roman"/>
          <w:szCs w:val="17"/>
        </w:rPr>
        <w:t>•</w:t>
      </w:r>
      <w:r w:rsidRPr="00E26C8E">
        <w:rPr>
          <w:rFonts w:eastAsia="Times New Roman"/>
          <w:szCs w:val="17"/>
        </w:rPr>
        <w:tab/>
        <w:t>frequency of reporting to management and any external parties.</w:t>
      </w:r>
    </w:p>
    <w:p w:rsidR="00E26C8E" w:rsidRPr="00E26C8E" w:rsidRDefault="00E26C8E" w:rsidP="00E26C8E">
      <w:pPr>
        <w:spacing w:after="60"/>
        <w:ind w:left="426" w:hanging="284"/>
        <w:rPr>
          <w:rFonts w:eastAsia="Times New Roman"/>
          <w:b/>
          <w:szCs w:val="17"/>
        </w:rPr>
      </w:pPr>
      <w:r w:rsidRPr="00E26C8E">
        <w:rPr>
          <w:rFonts w:eastAsia="Times New Roman"/>
          <w:b/>
          <w:szCs w:val="17"/>
        </w:rPr>
        <w:t>5.</w:t>
      </w:r>
      <w:r w:rsidRPr="00E26C8E">
        <w:rPr>
          <w:rFonts w:eastAsia="Times New Roman"/>
          <w:b/>
          <w:szCs w:val="17"/>
        </w:rPr>
        <w:tab/>
        <w:t>OPERATOR CAPABILITY</w:t>
      </w:r>
    </w:p>
    <w:p w:rsidR="00E26C8E" w:rsidRPr="00E26C8E" w:rsidRDefault="00E26C8E" w:rsidP="00E26C8E">
      <w:pPr>
        <w:spacing w:after="60"/>
        <w:ind w:left="426"/>
        <w:rPr>
          <w:rFonts w:eastAsia="Times New Roman"/>
          <w:szCs w:val="17"/>
        </w:rPr>
      </w:pPr>
      <w:r w:rsidRPr="00E26C8E">
        <w:rPr>
          <w:rFonts w:eastAsia="Times New Roman"/>
          <w:szCs w:val="17"/>
        </w:rPr>
        <w:t>In preparing information about the ability of the tenement holder (and any other person who may be acting on behalf of the tenement holder) in accordance with section 70B(2)(d) of the</w:t>
      </w:r>
      <w:r w:rsidRPr="00E26C8E">
        <w:rPr>
          <w:rFonts w:eastAsia="Times New Roman"/>
          <w:i/>
          <w:szCs w:val="17"/>
        </w:rPr>
        <w:t xml:space="preserve"> Mining Act 1971</w:t>
      </w:r>
      <w:r w:rsidRPr="00E26C8E">
        <w:rPr>
          <w:rFonts w:eastAsia="Times New Roman"/>
          <w:szCs w:val="17"/>
        </w:rPr>
        <w:t>, the Minister determines in accordance with regulation 63(3)(e) of the</w:t>
      </w:r>
      <w:r w:rsidRPr="00E26C8E">
        <w:rPr>
          <w:rFonts w:eastAsia="Times New Roman"/>
          <w:i/>
          <w:szCs w:val="17"/>
        </w:rPr>
        <w:t xml:space="preserve"> Mining Regulations 2020</w:t>
      </w:r>
      <w:r w:rsidRPr="00E26C8E">
        <w:rPr>
          <w:rFonts w:eastAsia="Times New Roman"/>
          <w:szCs w:val="17"/>
        </w:rPr>
        <w:t xml:space="preserve"> that this information must be accompanied by relevant evidence demonstrating that the tenement holder (and any other person who may be acting on behalf of the tenement holder as an operator) has appropriate experience, processes and procedures in place to be able to achieve the environmental outcomes.</w:t>
      </w:r>
    </w:p>
    <w:p w:rsidR="00E26C8E" w:rsidRPr="00E26C8E" w:rsidRDefault="00E26C8E" w:rsidP="00E26C8E">
      <w:pPr>
        <w:spacing w:after="60"/>
        <w:ind w:left="426" w:hanging="284"/>
        <w:rPr>
          <w:rFonts w:eastAsia="Times New Roman"/>
          <w:b/>
          <w:szCs w:val="17"/>
        </w:rPr>
      </w:pPr>
      <w:r w:rsidRPr="00E26C8E">
        <w:rPr>
          <w:rFonts w:eastAsia="Times New Roman"/>
          <w:b/>
          <w:szCs w:val="17"/>
        </w:rPr>
        <w:t>6.</w:t>
      </w:r>
      <w:r w:rsidRPr="00E26C8E">
        <w:rPr>
          <w:rFonts w:eastAsia="Times New Roman"/>
          <w:b/>
          <w:szCs w:val="17"/>
        </w:rPr>
        <w:tab/>
        <w:t>LEASE/LICENCE</w:t>
      </w:r>
    </w:p>
    <w:p w:rsidR="00E26C8E" w:rsidRPr="00E26C8E" w:rsidRDefault="00E26C8E" w:rsidP="00E26C8E">
      <w:pPr>
        <w:spacing w:after="60"/>
        <w:ind w:left="426"/>
        <w:rPr>
          <w:rFonts w:eastAsia="Times New Roman"/>
          <w:szCs w:val="17"/>
        </w:rPr>
      </w:pPr>
      <w:r w:rsidRPr="00E26C8E">
        <w:rPr>
          <w:rFonts w:eastAsia="Times New Roman"/>
          <w:szCs w:val="17"/>
        </w:rPr>
        <w:t>Where the lease or licence includes specific conditions or requirements that are not environmental outcomes, in accordance with regulation 63(1)(e) a PEPR must include a section that demonstrates where the respective conditions or requirements have been addressed in the PEPR (if relevant) or demonstrates how otherwise they have or will be complied with.</w:t>
      </w:r>
    </w:p>
    <w:p w:rsidR="00E26C8E" w:rsidRPr="00E26C8E" w:rsidRDefault="00E26C8E" w:rsidP="00E26C8E">
      <w:pPr>
        <w:spacing w:after="60"/>
        <w:ind w:left="426" w:hanging="284"/>
        <w:rPr>
          <w:rFonts w:eastAsia="Times New Roman"/>
          <w:b/>
          <w:szCs w:val="17"/>
        </w:rPr>
      </w:pPr>
      <w:r w:rsidRPr="00E26C8E">
        <w:rPr>
          <w:rFonts w:eastAsia="Times New Roman"/>
          <w:b/>
          <w:szCs w:val="17"/>
        </w:rPr>
        <w:t>7.</w:t>
      </w:r>
      <w:r w:rsidRPr="00E26C8E">
        <w:rPr>
          <w:rFonts w:eastAsia="Times New Roman"/>
          <w:b/>
          <w:szCs w:val="17"/>
        </w:rPr>
        <w:tab/>
        <w:t>MAPS, PLANS AND CROSS SECTIONS</w:t>
      </w:r>
    </w:p>
    <w:p w:rsidR="00E26C8E" w:rsidRPr="00E26C8E" w:rsidRDefault="00E26C8E" w:rsidP="00E26C8E">
      <w:pPr>
        <w:spacing w:after="60"/>
        <w:ind w:left="426"/>
        <w:rPr>
          <w:rFonts w:eastAsia="Times New Roman"/>
          <w:szCs w:val="17"/>
        </w:rPr>
      </w:pPr>
      <w:r w:rsidRPr="00E26C8E">
        <w:rPr>
          <w:rFonts w:eastAsia="Times New Roman"/>
          <w:szCs w:val="17"/>
        </w:rPr>
        <w:t>In preparing a PEPR in accordance with section 70B(2) of the</w:t>
      </w:r>
      <w:r w:rsidRPr="00E26C8E">
        <w:rPr>
          <w:rFonts w:eastAsia="Times New Roman"/>
          <w:i/>
          <w:szCs w:val="17"/>
        </w:rPr>
        <w:t xml:space="preserve"> Mining Act 1971</w:t>
      </w:r>
      <w:r w:rsidRPr="00E26C8E">
        <w:rPr>
          <w:rFonts w:eastAsia="Times New Roman"/>
          <w:szCs w:val="17"/>
        </w:rPr>
        <w:t xml:space="preserve"> and regulation 63 of the</w:t>
      </w:r>
      <w:r w:rsidRPr="00E26C8E">
        <w:rPr>
          <w:rFonts w:eastAsia="Times New Roman"/>
          <w:i/>
          <w:szCs w:val="17"/>
        </w:rPr>
        <w:t xml:space="preserve"> Mining Regulations 2020</w:t>
      </w:r>
      <w:r w:rsidRPr="00E26C8E">
        <w:rPr>
          <w:rFonts w:eastAsia="Times New Roman"/>
          <w:szCs w:val="17"/>
        </w:rPr>
        <w:t>, the Minister determines in accordance with regulation 63(3)(e) of the</w:t>
      </w:r>
      <w:r w:rsidRPr="00E26C8E">
        <w:rPr>
          <w:rFonts w:eastAsia="Times New Roman"/>
          <w:i/>
          <w:szCs w:val="17"/>
        </w:rPr>
        <w:t xml:space="preserve"> Mining Regulations 2020</w:t>
      </w:r>
      <w:r w:rsidRPr="00E26C8E">
        <w:rPr>
          <w:rFonts w:eastAsia="Times New Roman"/>
          <w:szCs w:val="17"/>
        </w:rPr>
        <w:t xml:space="preserve"> that all maps, plans and cross sections must comply with the following requirements relating to the amount of detail or information to be provided:</w:t>
      </w:r>
    </w:p>
    <w:p w:rsidR="00E26C8E" w:rsidRPr="00E26C8E" w:rsidRDefault="00E26C8E" w:rsidP="00E26C8E">
      <w:pPr>
        <w:spacing w:after="60"/>
        <w:ind w:left="709" w:hanging="283"/>
        <w:rPr>
          <w:rFonts w:eastAsia="Times New Roman"/>
          <w:szCs w:val="17"/>
        </w:rPr>
      </w:pPr>
      <w:r w:rsidRPr="00E26C8E">
        <w:rPr>
          <w:rFonts w:eastAsia="Times New Roman"/>
          <w:szCs w:val="17"/>
        </w:rPr>
        <w:t>•</w:t>
      </w:r>
      <w:r w:rsidRPr="00E26C8E">
        <w:rPr>
          <w:rFonts w:eastAsia="Times New Roman"/>
          <w:szCs w:val="17"/>
        </w:rPr>
        <w:tab/>
        <w:t>state and show the relevant datum (Australian Height Datum (AHD) is preferred);</w:t>
      </w:r>
    </w:p>
    <w:p w:rsidR="00E26C8E" w:rsidRPr="00E26C8E" w:rsidRDefault="00E26C8E" w:rsidP="00E26C8E">
      <w:pPr>
        <w:spacing w:after="60"/>
        <w:ind w:left="709" w:hanging="283"/>
        <w:rPr>
          <w:rFonts w:eastAsia="Times New Roman"/>
          <w:szCs w:val="17"/>
        </w:rPr>
      </w:pPr>
      <w:r w:rsidRPr="00E26C8E">
        <w:rPr>
          <w:rFonts w:eastAsia="Times New Roman"/>
          <w:szCs w:val="17"/>
        </w:rPr>
        <w:t>•</w:t>
      </w:r>
      <w:r w:rsidRPr="00E26C8E">
        <w:rPr>
          <w:rFonts w:eastAsia="Times New Roman"/>
          <w:szCs w:val="17"/>
        </w:rPr>
        <w:tab/>
        <w:t>metric units;</w:t>
      </w:r>
    </w:p>
    <w:p w:rsidR="00E26C8E" w:rsidRPr="00E26C8E" w:rsidRDefault="00E26C8E" w:rsidP="00E26C8E">
      <w:pPr>
        <w:spacing w:after="60"/>
        <w:ind w:left="709" w:hanging="283"/>
        <w:rPr>
          <w:rFonts w:eastAsia="Times New Roman"/>
          <w:szCs w:val="17"/>
        </w:rPr>
      </w:pPr>
      <w:r w:rsidRPr="00E26C8E">
        <w:rPr>
          <w:rFonts w:eastAsia="Times New Roman"/>
          <w:szCs w:val="17"/>
        </w:rPr>
        <w:t>•</w:t>
      </w:r>
      <w:r w:rsidRPr="00E26C8E">
        <w:rPr>
          <w:rFonts w:eastAsia="Times New Roman"/>
          <w:szCs w:val="17"/>
        </w:rPr>
        <w:tab/>
        <w:t>title, north arrow, scale bar, text and legend;</w:t>
      </w:r>
    </w:p>
    <w:p w:rsidR="00E26C8E" w:rsidRPr="00E26C8E" w:rsidRDefault="00E26C8E" w:rsidP="00E26C8E">
      <w:pPr>
        <w:spacing w:after="60"/>
        <w:ind w:left="709" w:hanging="283"/>
        <w:rPr>
          <w:rFonts w:eastAsia="Times New Roman"/>
          <w:szCs w:val="17"/>
        </w:rPr>
      </w:pPr>
      <w:r w:rsidRPr="00E26C8E">
        <w:rPr>
          <w:rFonts w:eastAsia="Times New Roman"/>
          <w:szCs w:val="17"/>
        </w:rPr>
        <w:t>•</w:t>
      </w:r>
      <w:r w:rsidRPr="00E26C8E">
        <w:rPr>
          <w:rFonts w:eastAsia="Times New Roman"/>
          <w:szCs w:val="17"/>
        </w:rPr>
        <w:tab/>
        <w:t>date prepared and author;</w:t>
      </w:r>
    </w:p>
    <w:p w:rsidR="00E26C8E" w:rsidRPr="00E26C8E" w:rsidRDefault="00E26C8E" w:rsidP="00E26C8E">
      <w:pPr>
        <w:spacing w:after="60"/>
        <w:ind w:left="709" w:hanging="283"/>
        <w:rPr>
          <w:rFonts w:eastAsia="Times New Roman"/>
          <w:szCs w:val="17"/>
        </w:rPr>
      </w:pPr>
      <w:r w:rsidRPr="00E26C8E">
        <w:rPr>
          <w:rFonts w:eastAsia="Times New Roman"/>
          <w:szCs w:val="17"/>
        </w:rPr>
        <w:t>•</w:t>
      </w:r>
      <w:r w:rsidRPr="00E26C8E">
        <w:rPr>
          <w:rFonts w:eastAsia="Times New Roman"/>
          <w:szCs w:val="17"/>
        </w:rPr>
        <w:tab/>
        <w:t>be of appropriate resolution and scale for represented information; and</w:t>
      </w:r>
    </w:p>
    <w:p w:rsidR="00E26C8E" w:rsidRPr="00E26C8E" w:rsidRDefault="00E26C8E" w:rsidP="00E26C8E">
      <w:pPr>
        <w:spacing w:after="60"/>
        <w:ind w:left="709" w:hanging="283"/>
        <w:rPr>
          <w:rFonts w:eastAsia="Times New Roman"/>
          <w:szCs w:val="17"/>
        </w:rPr>
      </w:pPr>
      <w:r w:rsidRPr="00E26C8E">
        <w:rPr>
          <w:rFonts w:eastAsia="Times New Roman"/>
          <w:szCs w:val="17"/>
        </w:rPr>
        <w:t>•</w:t>
      </w:r>
      <w:r w:rsidRPr="00E26C8E">
        <w:rPr>
          <w:rFonts w:eastAsia="Times New Roman"/>
          <w:szCs w:val="17"/>
        </w:rPr>
        <w:tab/>
        <w:t>be legible in both the hardcopy and electronic versions of the submission.</w:t>
      </w:r>
    </w:p>
    <w:p w:rsidR="00E26C8E" w:rsidRPr="00E26C8E" w:rsidRDefault="00E26C8E" w:rsidP="00E26C8E">
      <w:pPr>
        <w:spacing w:after="60"/>
        <w:ind w:left="426"/>
        <w:rPr>
          <w:rFonts w:eastAsia="Times New Roman"/>
          <w:szCs w:val="17"/>
        </w:rPr>
      </w:pPr>
      <w:r w:rsidRPr="00E26C8E">
        <w:rPr>
          <w:rFonts w:eastAsia="Times New Roman"/>
          <w:szCs w:val="17"/>
        </w:rPr>
        <w:t>All cross-sections must conform to the following standards:</w:t>
      </w:r>
    </w:p>
    <w:p w:rsidR="00E26C8E" w:rsidRPr="00E26C8E" w:rsidRDefault="00E26C8E" w:rsidP="00E26C8E">
      <w:pPr>
        <w:spacing w:after="60"/>
        <w:ind w:left="709" w:hanging="283"/>
        <w:rPr>
          <w:rFonts w:eastAsia="Times New Roman"/>
          <w:szCs w:val="17"/>
        </w:rPr>
      </w:pPr>
      <w:r w:rsidRPr="00E26C8E">
        <w:rPr>
          <w:rFonts w:eastAsia="Times New Roman"/>
          <w:szCs w:val="17"/>
        </w:rPr>
        <w:t>•</w:t>
      </w:r>
      <w:r w:rsidRPr="00E26C8E">
        <w:rPr>
          <w:rFonts w:eastAsia="Times New Roman"/>
          <w:szCs w:val="17"/>
        </w:rPr>
        <w:tab/>
        <w:t>state and show the relevant datum (Australian Height Datum (AHD) is preferred);</w:t>
      </w:r>
    </w:p>
    <w:p w:rsidR="00E26C8E" w:rsidRPr="00E26C8E" w:rsidRDefault="00E26C8E" w:rsidP="00E26C8E">
      <w:pPr>
        <w:spacing w:after="60"/>
        <w:ind w:left="709" w:hanging="283"/>
        <w:rPr>
          <w:rFonts w:eastAsia="Times New Roman"/>
          <w:szCs w:val="17"/>
        </w:rPr>
      </w:pPr>
      <w:r w:rsidRPr="00E26C8E">
        <w:rPr>
          <w:rFonts w:eastAsia="Times New Roman"/>
          <w:szCs w:val="17"/>
        </w:rPr>
        <w:t>•</w:t>
      </w:r>
      <w:r w:rsidRPr="00E26C8E">
        <w:rPr>
          <w:rFonts w:eastAsia="Times New Roman"/>
          <w:szCs w:val="17"/>
        </w:rPr>
        <w:tab/>
        <w:t>metric units;</w:t>
      </w:r>
    </w:p>
    <w:p w:rsidR="00E26C8E" w:rsidRPr="00E26C8E" w:rsidRDefault="00E26C8E" w:rsidP="00E26C8E">
      <w:pPr>
        <w:spacing w:after="60"/>
        <w:ind w:left="709" w:hanging="283"/>
        <w:rPr>
          <w:rFonts w:eastAsia="Times New Roman"/>
          <w:szCs w:val="17"/>
        </w:rPr>
      </w:pPr>
      <w:r w:rsidRPr="00E26C8E">
        <w:rPr>
          <w:rFonts w:eastAsia="Times New Roman"/>
          <w:szCs w:val="17"/>
        </w:rPr>
        <w:t>•</w:t>
      </w:r>
      <w:r w:rsidRPr="00E26C8E">
        <w:rPr>
          <w:rFonts w:eastAsia="Times New Roman"/>
          <w:szCs w:val="17"/>
        </w:rPr>
        <w:tab/>
        <w:t>title, scale bar, text and legend;</w:t>
      </w:r>
    </w:p>
    <w:p w:rsidR="00E26C8E" w:rsidRPr="00E26C8E" w:rsidRDefault="00E26C8E" w:rsidP="00E26C8E">
      <w:pPr>
        <w:spacing w:after="60"/>
        <w:ind w:left="709" w:hanging="283"/>
        <w:rPr>
          <w:rFonts w:eastAsia="Times New Roman"/>
          <w:szCs w:val="17"/>
        </w:rPr>
      </w:pPr>
      <w:r w:rsidRPr="00E26C8E">
        <w:rPr>
          <w:rFonts w:eastAsia="Times New Roman"/>
          <w:szCs w:val="17"/>
        </w:rPr>
        <w:t>•</w:t>
      </w:r>
      <w:r w:rsidRPr="00E26C8E">
        <w:rPr>
          <w:rFonts w:eastAsia="Times New Roman"/>
          <w:szCs w:val="17"/>
        </w:rPr>
        <w:tab/>
        <w:t>date prepared and author;</w:t>
      </w:r>
    </w:p>
    <w:p w:rsidR="00E26C8E" w:rsidRPr="00E26C8E" w:rsidRDefault="00E26C8E" w:rsidP="00E26C8E">
      <w:pPr>
        <w:spacing w:after="60"/>
        <w:ind w:left="709" w:hanging="283"/>
        <w:rPr>
          <w:rFonts w:eastAsia="Times New Roman"/>
          <w:szCs w:val="17"/>
        </w:rPr>
      </w:pPr>
      <w:r w:rsidRPr="00E26C8E">
        <w:rPr>
          <w:rFonts w:eastAsia="Times New Roman"/>
          <w:szCs w:val="17"/>
        </w:rPr>
        <w:t>•</w:t>
      </w:r>
      <w:r w:rsidRPr="00E26C8E">
        <w:rPr>
          <w:rFonts w:eastAsia="Times New Roman"/>
          <w:szCs w:val="17"/>
        </w:rPr>
        <w:tab/>
        <w:t>be of appropriate resolution and scale for represented information;</w:t>
      </w:r>
    </w:p>
    <w:p w:rsidR="00E26C8E" w:rsidRPr="00E26C8E" w:rsidRDefault="00E26C8E" w:rsidP="00E26C8E">
      <w:pPr>
        <w:spacing w:after="60"/>
        <w:ind w:left="709" w:hanging="283"/>
        <w:rPr>
          <w:rFonts w:eastAsia="Times New Roman"/>
          <w:szCs w:val="17"/>
        </w:rPr>
      </w:pPr>
      <w:r w:rsidRPr="00E26C8E">
        <w:rPr>
          <w:rFonts w:eastAsia="Times New Roman"/>
          <w:szCs w:val="17"/>
        </w:rPr>
        <w:t>•</w:t>
      </w:r>
      <w:r w:rsidRPr="00E26C8E">
        <w:rPr>
          <w:rFonts w:eastAsia="Times New Roman"/>
          <w:szCs w:val="17"/>
        </w:rPr>
        <w:tab/>
        <w:t>be legible in both the hardcopy and electronic versions of the submission; and</w:t>
      </w:r>
    </w:p>
    <w:p w:rsidR="00E26C8E" w:rsidRPr="00E26C8E" w:rsidRDefault="00E26C8E" w:rsidP="00E26C8E">
      <w:pPr>
        <w:spacing w:after="60"/>
        <w:ind w:left="709" w:hanging="283"/>
        <w:rPr>
          <w:rFonts w:eastAsia="Times New Roman"/>
          <w:szCs w:val="17"/>
        </w:rPr>
      </w:pPr>
      <w:r w:rsidRPr="00E26C8E">
        <w:rPr>
          <w:rFonts w:eastAsia="Times New Roman"/>
          <w:szCs w:val="17"/>
        </w:rPr>
        <w:t>•</w:t>
      </w:r>
      <w:r w:rsidRPr="00E26C8E">
        <w:rPr>
          <w:rFonts w:eastAsia="Times New Roman"/>
          <w:szCs w:val="17"/>
        </w:rPr>
        <w:tab/>
        <w:t>be accompanied by a map showing the orientation of the cross-sections.</w:t>
      </w:r>
    </w:p>
    <w:p w:rsidR="00E26C8E" w:rsidRPr="00E26C8E" w:rsidRDefault="00E26C8E" w:rsidP="00E26C8E">
      <w:pPr>
        <w:spacing w:after="60"/>
        <w:ind w:left="851" w:hanging="425"/>
        <w:rPr>
          <w:rFonts w:eastAsia="Times New Roman"/>
          <w:b/>
          <w:szCs w:val="17"/>
        </w:rPr>
      </w:pPr>
      <w:r w:rsidRPr="00E26C8E">
        <w:rPr>
          <w:rFonts w:eastAsia="Times New Roman"/>
          <w:b/>
          <w:szCs w:val="17"/>
        </w:rPr>
        <w:t>7.1</w:t>
      </w:r>
      <w:r w:rsidRPr="00E26C8E">
        <w:rPr>
          <w:rFonts w:eastAsia="Times New Roman"/>
          <w:b/>
          <w:szCs w:val="17"/>
        </w:rPr>
        <w:tab/>
        <w:t>Map(s) and Plan(s) required for Description of Operations (as per clause 2)</w:t>
      </w:r>
    </w:p>
    <w:p w:rsidR="00E26C8E" w:rsidRPr="00E26C8E" w:rsidRDefault="00E26C8E" w:rsidP="00E26C8E">
      <w:pPr>
        <w:spacing w:after="60"/>
        <w:ind w:left="1418" w:hanging="567"/>
        <w:rPr>
          <w:rFonts w:eastAsia="Times New Roman"/>
          <w:i/>
          <w:szCs w:val="17"/>
        </w:rPr>
      </w:pPr>
      <w:r w:rsidRPr="00E26C8E">
        <w:rPr>
          <w:rFonts w:eastAsia="Times New Roman"/>
          <w:i/>
          <w:szCs w:val="17"/>
        </w:rPr>
        <w:t>7.1.1</w:t>
      </w:r>
      <w:r w:rsidRPr="00E26C8E">
        <w:rPr>
          <w:rFonts w:eastAsia="Times New Roman"/>
          <w:i/>
          <w:szCs w:val="17"/>
        </w:rPr>
        <w:tab/>
        <w:t>Site Layout Map showing all components of the operation including (but not limited to):</w:t>
      </w:r>
    </w:p>
    <w:p w:rsidR="00E26C8E" w:rsidRPr="00E26C8E" w:rsidRDefault="00E26C8E" w:rsidP="00E26C8E">
      <w:pPr>
        <w:spacing w:after="60"/>
        <w:ind w:left="1701" w:hanging="283"/>
        <w:rPr>
          <w:rFonts w:eastAsia="Times New Roman"/>
          <w:szCs w:val="17"/>
        </w:rPr>
      </w:pPr>
      <w:r w:rsidRPr="00E26C8E">
        <w:rPr>
          <w:rFonts w:eastAsia="Times New Roman"/>
          <w:szCs w:val="17"/>
        </w:rPr>
        <w:t>•</w:t>
      </w:r>
      <w:r w:rsidRPr="00E26C8E">
        <w:rPr>
          <w:rFonts w:eastAsia="Times New Roman"/>
          <w:szCs w:val="17"/>
        </w:rPr>
        <w:tab/>
        <w:t>tenement area boundaries;</w:t>
      </w:r>
    </w:p>
    <w:p w:rsidR="00E26C8E" w:rsidRPr="00E26C8E" w:rsidRDefault="00E26C8E" w:rsidP="00E26C8E">
      <w:pPr>
        <w:spacing w:after="60"/>
        <w:ind w:left="1701" w:hanging="283"/>
        <w:rPr>
          <w:rFonts w:eastAsia="Times New Roman"/>
          <w:szCs w:val="17"/>
        </w:rPr>
      </w:pPr>
      <w:r w:rsidRPr="00E26C8E">
        <w:rPr>
          <w:rFonts w:eastAsia="Times New Roman"/>
          <w:szCs w:val="17"/>
        </w:rPr>
        <w:t>•</w:t>
      </w:r>
      <w:r w:rsidRPr="00E26C8E">
        <w:rPr>
          <w:rFonts w:eastAsia="Times New Roman"/>
          <w:szCs w:val="17"/>
        </w:rPr>
        <w:tab/>
        <w:t>location of surface water and sediment management infrastructure;</w:t>
      </w:r>
    </w:p>
    <w:p w:rsidR="00E26C8E" w:rsidRPr="00E26C8E" w:rsidRDefault="00E26C8E" w:rsidP="00E26C8E">
      <w:pPr>
        <w:spacing w:after="60"/>
        <w:ind w:left="1701" w:hanging="283"/>
        <w:rPr>
          <w:rFonts w:eastAsia="Times New Roman"/>
          <w:szCs w:val="17"/>
        </w:rPr>
      </w:pPr>
      <w:r w:rsidRPr="00E26C8E">
        <w:rPr>
          <w:rFonts w:eastAsia="Times New Roman"/>
          <w:szCs w:val="17"/>
        </w:rPr>
        <w:t>•</w:t>
      </w:r>
      <w:r w:rsidRPr="00E26C8E">
        <w:rPr>
          <w:rFonts w:eastAsia="Times New Roman"/>
          <w:szCs w:val="17"/>
        </w:rPr>
        <w:tab/>
        <w:t>location of process water dams;</w:t>
      </w:r>
    </w:p>
    <w:p w:rsidR="00E26C8E" w:rsidRPr="00E26C8E" w:rsidRDefault="00E26C8E" w:rsidP="00E26C8E">
      <w:pPr>
        <w:spacing w:after="60"/>
        <w:ind w:left="1701" w:hanging="283"/>
        <w:rPr>
          <w:rFonts w:eastAsia="Times New Roman"/>
          <w:szCs w:val="17"/>
        </w:rPr>
      </w:pPr>
      <w:r w:rsidRPr="00E26C8E">
        <w:rPr>
          <w:rFonts w:eastAsia="Times New Roman"/>
          <w:szCs w:val="17"/>
        </w:rPr>
        <w:t>•</w:t>
      </w:r>
      <w:r w:rsidRPr="00E26C8E">
        <w:rPr>
          <w:rFonts w:eastAsia="Times New Roman"/>
          <w:szCs w:val="17"/>
        </w:rPr>
        <w:tab/>
        <w:t>location of fuel and chemical storage areas;</w:t>
      </w:r>
    </w:p>
    <w:p w:rsidR="00E26C8E" w:rsidRPr="00E26C8E" w:rsidRDefault="00E26C8E" w:rsidP="00E26C8E">
      <w:pPr>
        <w:spacing w:after="60"/>
        <w:ind w:left="1701" w:hanging="283"/>
        <w:rPr>
          <w:rFonts w:eastAsia="Times New Roman"/>
          <w:szCs w:val="17"/>
        </w:rPr>
      </w:pPr>
      <w:r w:rsidRPr="00E26C8E">
        <w:rPr>
          <w:rFonts w:eastAsia="Times New Roman"/>
          <w:szCs w:val="17"/>
        </w:rPr>
        <w:t>•</w:t>
      </w:r>
      <w:r w:rsidRPr="00E26C8E">
        <w:rPr>
          <w:rFonts w:eastAsia="Times New Roman"/>
          <w:szCs w:val="17"/>
        </w:rPr>
        <w:tab/>
        <w:t>location of haul/access roads;</w:t>
      </w:r>
    </w:p>
    <w:p w:rsidR="00E26C8E" w:rsidRPr="00E26C8E" w:rsidRDefault="00E26C8E" w:rsidP="00E26C8E">
      <w:pPr>
        <w:spacing w:after="60"/>
        <w:ind w:left="1701" w:hanging="283"/>
        <w:rPr>
          <w:rFonts w:eastAsia="Times New Roman"/>
          <w:szCs w:val="17"/>
        </w:rPr>
      </w:pPr>
      <w:r w:rsidRPr="00E26C8E">
        <w:rPr>
          <w:rFonts w:eastAsia="Times New Roman"/>
          <w:szCs w:val="17"/>
        </w:rPr>
        <w:t>•</w:t>
      </w:r>
      <w:r w:rsidRPr="00E26C8E">
        <w:rPr>
          <w:rFonts w:eastAsia="Times New Roman"/>
          <w:szCs w:val="17"/>
        </w:rPr>
        <w:tab/>
        <w:t>location of fixed plant;</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location of mobile plant for stage 1 of mining;</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location of visual screening measures;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location of fencing;</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location and extent of topsoil/subsoil and product stockpiles.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location and extent of all areas proposed to be disturbed from mining including waste rock, silt/slime dams, mine infrastructure, processing plant, process water ponds, waste disposal facilities;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location and extent of open pit(s) and/or underground workings.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location of key environmental features that are within or in close proximity to the Tenement and that are relevant to the design of the Site Layout Plan, including but not limited to housing and infrastructure, existing heritage sites, existing ephemeral and permanent rivers, watercourses, creeks or dams and/or existing native vegetation</w:t>
      </w:r>
    </w:p>
    <w:p w:rsidR="00E26C8E" w:rsidRPr="00E26C8E" w:rsidRDefault="00E26C8E" w:rsidP="00E26C8E">
      <w:pPr>
        <w:ind w:left="1418" w:hanging="567"/>
        <w:rPr>
          <w:rFonts w:eastAsia="Times New Roman"/>
          <w:i/>
          <w:szCs w:val="17"/>
        </w:rPr>
      </w:pPr>
      <w:r w:rsidRPr="00E26C8E">
        <w:rPr>
          <w:rFonts w:eastAsia="Times New Roman"/>
          <w:i/>
          <w:szCs w:val="17"/>
        </w:rPr>
        <w:t>7.1.2</w:t>
      </w:r>
      <w:r w:rsidRPr="00E26C8E">
        <w:rPr>
          <w:rFonts w:eastAsia="Times New Roman"/>
          <w:i/>
          <w:szCs w:val="17"/>
        </w:rPr>
        <w:tab/>
        <w:t>Sequence of Mining and Progressive Rehabilitation Map showing:</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tenement area boundaries;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staging of each progressive mining stage;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native vegetation clearance;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location and applicable buffer zones for protection of native vegetation that will not be cleared;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conceptual staging of each progressive rehabilitation stage.</w:t>
      </w:r>
    </w:p>
    <w:p w:rsidR="00E26C8E" w:rsidRPr="00E26C8E" w:rsidRDefault="00E26C8E" w:rsidP="00E26C8E">
      <w:pPr>
        <w:ind w:left="1418" w:hanging="567"/>
        <w:rPr>
          <w:rFonts w:eastAsia="Times New Roman"/>
          <w:i/>
          <w:szCs w:val="17"/>
        </w:rPr>
      </w:pPr>
      <w:r w:rsidRPr="00E26C8E">
        <w:rPr>
          <w:rFonts w:eastAsia="Times New Roman"/>
          <w:i/>
          <w:szCs w:val="17"/>
        </w:rPr>
        <w:t>7.1.3</w:t>
      </w:r>
      <w:r w:rsidRPr="00E26C8E">
        <w:rPr>
          <w:rFonts w:eastAsia="Times New Roman"/>
          <w:i/>
          <w:szCs w:val="17"/>
        </w:rPr>
        <w:tab/>
        <w:t>Crushing, Grinding and Processing Plant Plan</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tenement area boundaries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layout of crushing, grinding and processing plant(s) and ancillary plant and infrastructure;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if required; including lining and drainage systems.</w:t>
      </w:r>
    </w:p>
    <w:p w:rsidR="00E26C8E" w:rsidRPr="00E26C8E" w:rsidRDefault="00E26C8E" w:rsidP="00E26C8E">
      <w:pPr>
        <w:ind w:left="1418" w:hanging="567"/>
        <w:rPr>
          <w:rFonts w:eastAsia="Times New Roman"/>
          <w:i/>
          <w:szCs w:val="17"/>
        </w:rPr>
      </w:pPr>
      <w:r w:rsidRPr="00E26C8E">
        <w:rPr>
          <w:rFonts w:eastAsia="Times New Roman"/>
          <w:i/>
          <w:szCs w:val="17"/>
        </w:rPr>
        <w:t>7.1.4</w:t>
      </w:r>
      <w:r w:rsidRPr="00E26C8E">
        <w:rPr>
          <w:rFonts w:eastAsia="Times New Roman"/>
          <w:i/>
          <w:szCs w:val="17"/>
        </w:rPr>
        <w:tab/>
        <w:t>Heap Leach Pad Plan</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tenement area boundaries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construction and design drawings of heap leach pad (including size and batters);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solution containment measures</w:t>
      </w:r>
    </w:p>
    <w:p w:rsidR="00E26C8E" w:rsidRPr="00E26C8E" w:rsidRDefault="00E26C8E" w:rsidP="00E26C8E">
      <w:pPr>
        <w:ind w:left="1418" w:hanging="567"/>
        <w:rPr>
          <w:rFonts w:eastAsia="Times New Roman"/>
          <w:i/>
          <w:szCs w:val="17"/>
        </w:rPr>
      </w:pPr>
      <w:r w:rsidRPr="00E26C8E">
        <w:rPr>
          <w:rFonts w:eastAsia="Times New Roman"/>
          <w:i/>
          <w:szCs w:val="17"/>
        </w:rPr>
        <w:t>7.1.5</w:t>
      </w:r>
      <w:r w:rsidRPr="00E26C8E">
        <w:rPr>
          <w:rFonts w:eastAsia="Times New Roman"/>
          <w:i/>
          <w:szCs w:val="17"/>
        </w:rPr>
        <w:tab/>
        <w:t>Tailings Storage Facility (TSF) Plan</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tenement area boundaries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conceptual drawings and plans for design, construction, operation and completion of all facilities;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size, shape, height and method of construction;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location of any waste material deemed to be hazardous including potentially acid forming material.</w:t>
      </w:r>
    </w:p>
    <w:p w:rsidR="00E26C8E" w:rsidRPr="00E26C8E" w:rsidRDefault="00E26C8E" w:rsidP="00E26C8E">
      <w:pPr>
        <w:ind w:left="1418" w:hanging="567"/>
        <w:rPr>
          <w:rFonts w:eastAsia="Times New Roman"/>
          <w:i/>
          <w:szCs w:val="17"/>
        </w:rPr>
      </w:pPr>
      <w:r w:rsidRPr="00E26C8E">
        <w:rPr>
          <w:rFonts w:eastAsia="Times New Roman"/>
          <w:i/>
          <w:szCs w:val="17"/>
        </w:rPr>
        <w:t>7.1.6</w:t>
      </w:r>
      <w:r w:rsidRPr="00E26C8E">
        <w:rPr>
          <w:rFonts w:eastAsia="Times New Roman"/>
          <w:i/>
          <w:szCs w:val="17"/>
        </w:rPr>
        <w:tab/>
        <w:t>Access Route Map showing:</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tenement area boundaries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access route for heavy vehicles;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exit route for heavy vehicles;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any road upgrades or new roads to be constructed.</w:t>
      </w:r>
    </w:p>
    <w:p w:rsidR="00E26C8E" w:rsidRPr="00E26C8E" w:rsidRDefault="00E26C8E" w:rsidP="00E26C8E">
      <w:pPr>
        <w:ind w:left="1418" w:hanging="567"/>
        <w:rPr>
          <w:rFonts w:eastAsia="Times New Roman"/>
          <w:i/>
          <w:szCs w:val="17"/>
        </w:rPr>
      </w:pPr>
      <w:r w:rsidRPr="00E26C8E">
        <w:rPr>
          <w:rFonts w:eastAsia="Times New Roman"/>
          <w:i/>
          <w:szCs w:val="17"/>
        </w:rPr>
        <w:t>7.1.7</w:t>
      </w:r>
      <w:r w:rsidRPr="00E26C8E">
        <w:rPr>
          <w:rFonts w:eastAsia="Times New Roman"/>
          <w:i/>
          <w:szCs w:val="17"/>
        </w:rPr>
        <w:tab/>
        <w:t>Completion Map showing:</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tenement area boundaries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conceptual final landforms (including rehabilitated and non-disturbed areas);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topographical contours of the entire site (including rehabilitated and non-disturbed areas);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backfilled and remaining underground workings;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location of waste disposal areas (including waste rock dumps, tailings storage facilities and PAF encapsulation);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interpreted geology including all rock types.</w:t>
      </w:r>
    </w:p>
    <w:p w:rsidR="00E26C8E" w:rsidRPr="00E26C8E" w:rsidRDefault="00E26C8E" w:rsidP="00E26C8E">
      <w:pPr>
        <w:ind w:left="851" w:hanging="425"/>
        <w:rPr>
          <w:rFonts w:eastAsia="Times New Roman"/>
          <w:b/>
          <w:szCs w:val="17"/>
        </w:rPr>
      </w:pPr>
      <w:r w:rsidRPr="00E26C8E">
        <w:rPr>
          <w:rFonts w:eastAsia="Times New Roman"/>
          <w:b/>
          <w:szCs w:val="17"/>
        </w:rPr>
        <w:t>7.2</w:t>
      </w:r>
      <w:r w:rsidRPr="00E26C8E">
        <w:rPr>
          <w:rFonts w:eastAsia="Times New Roman"/>
          <w:b/>
          <w:szCs w:val="17"/>
        </w:rPr>
        <w:tab/>
        <w:t>Cross-Sections required for Description of Operations (as per clause 2)</w:t>
      </w:r>
    </w:p>
    <w:p w:rsidR="00E26C8E" w:rsidRPr="00E26C8E" w:rsidRDefault="00E26C8E" w:rsidP="00E26C8E">
      <w:pPr>
        <w:ind w:left="1418" w:hanging="567"/>
        <w:rPr>
          <w:rFonts w:eastAsia="Times New Roman"/>
          <w:i/>
          <w:szCs w:val="17"/>
        </w:rPr>
      </w:pPr>
      <w:r w:rsidRPr="00E26C8E">
        <w:rPr>
          <w:rFonts w:eastAsia="Times New Roman"/>
          <w:i/>
          <w:szCs w:val="17"/>
        </w:rPr>
        <w:t>7.2.1</w:t>
      </w:r>
      <w:r w:rsidRPr="00E26C8E">
        <w:rPr>
          <w:rFonts w:eastAsia="Times New Roman"/>
          <w:i/>
          <w:szCs w:val="17"/>
        </w:rPr>
        <w:tab/>
        <w:t>Mining Operation Cross-Section(s) showing:</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pre-mining natural surface;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pit depth;</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pit dimensions (length and width);</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pit batters and benches;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location of underground shafts and stopes;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stages of operation.</w:t>
      </w:r>
    </w:p>
    <w:p w:rsidR="00E26C8E" w:rsidRPr="00E26C8E" w:rsidRDefault="00E26C8E" w:rsidP="00E26C8E">
      <w:pPr>
        <w:ind w:left="1418" w:hanging="567"/>
        <w:rPr>
          <w:rFonts w:eastAsia="Times New Roman"/>
          <w:i/>
          <w:szCs w:val="17"/>
        </w:rPr>
      </w:pPr>
      <w:r w:rsidRPr="00E26C8E">
        <w:rPr>
          <w:rFonts w:eastAsia="Times New Roman"/>
          <w:i/>
          <w:szCs w:val="17"/>
        </w:rPr>
        <w:t>7.2.2</w:t>
      </w:r>
      <w:r w:rsidRPr="00E26C8E">
        <w:rPr>
          <w:rFonts w:eastAsia="Times New Roman"/>
          <w:i/>
          <w:szCs w:val="17"/>
        </w:rPr>
        <w:tab/>
        <w:t>Completion Cross Section(s) showing:</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pre mining natural surface;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rehabilitated final batters and benches;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location of underground backfill in shafts and stopes;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predicted final groundwater elevations;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final rehabilitated surface.</w:t>
      </w:r>
    </w:p>
    <w:p w:rsidR="00E26C8E" w:rsidRPr="00E26C8E" w:rsidRDefault="00E26C8E" w:rsidP="00E26C8E">
      <w:pPr>
        <w:spacing w:after="0"/>
        <w:rPr>
          <w:rFonts w:eastAsia="Times New Roman"/>
          <w:szCs w:val="17"/>
        </w:rPr>
      </w:pPr>
      <w:r w:rsidRPr="00E26C8E">
        <w:rPr>
          <w:rFonts w:eastAsia="Times New Roman"/>
          <w:szCs w:val="17"/>
        </w:rPr>
        <w:t>Dated: 11 December 2020</w:t>
      </w:r>
    </w:p>
    <w:p w:rsidR="00E26C8E" w:rsidRPr="00E26C8E" w:rsidRDefault="00E26C8E" w:rsidP="00E26C8E">
      <w:pPr>
        <w:spacing w:after="0"/>
        <w:jc w:val="right"/>
        <w:rPr>
          <w:rFonts w:eastAsia="Times New Roman"/>
          <w:smallCaps/>
          <w:szCs w:val="20"/>
        </w:rPr>
      </w:pPr>
      <w:r w:rsidRPr="00E26C8E">
        <w:rPr>
          <w:rFonts w:eastAsia="Times New Roman"/>
          <w:smallCaps/>
          <w:szCs w:val="20"/>
        </w:rPr>
        <w:t>Hon. Daniel van Holst Pellekaan</w:t>
      </w:r>
    </w:p>
    <w:p w:rsidR="00E26C8E" w:rsidRPr="00E26C8E" w:rsidRDefault="00E26C8E" w:rsidP="00E26C8E">
      <w:pPr>
        <w:spacing w:after="0"/>
        <w:jc w:val="right"/>
        <w:rPr>
          <w:rFonts w:eastAsia="Times New Roman"/>
          <w:szCs w:val="17"/>
        </w:rPr>
      </w:pPr>
      <w:r w:rsidRPr="00E26C8E">
        <w:rPr>
          <w:rFonts w:eastAsia="Times New Roman"/>
          <w:szCs w:val="17"/>
        </w:rPr>
        <w:t>Minister for Energy and Mining</w:t>
      </w:r>
    </w:p>
    <w:p w:rsidR="00E26C8E" w:rsidRPr="00E26C8E" w:rsidRDefault="00E26C8E" w:rsidP="00E26C8E">
      <w:pPr>
        <w:pBdr>
          <w:top w:val="single" w:sz="4" w:space="1" w:color="auto"/>
        </w:pBdr>
        <w:spacing w:before="100" w:after="0" w:line="14" w:lineRule="exact"/>
        <w:jc w:val="center"/>
        <w:rPr>
          <w:rFonts w:eastAsia="Times New Roman"/>
          <w:szCs w:val="17"/>
        </w:rPr>
      </w:pPr>
    </w:p>
    <w:p w:rsidR="00E26C8E" w:rsidRPr="00E26C8E" w:rsidRDefault="00E26C8E" w:rsidP="00E26C8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E26C8E" w:rsidRPr="00E26C8E" w:rsidRDefault="00E26C8E" w:rsidP="00E26C8E">
      <w:pPr>
        <w:spacing w:after="0" w:line="240" w:lineRule="auto"/>
        <w:jc w:val="left"/>
        <w:rPr>
          <w:caps/>
          <w:szCs w:val="17"/>
        </w:rPr>
      </w:pPr>
      <w:r w:rsidRPr="00E26C8E">
        <w:rPr>
          <w:caps/>
          <w:szCs w:val="17"/>
        </w:rPr>
        <w:br w:type="page"/>
      </w:r>
    </w:p>
    <w:p w:rsidR="00E26C8E" w:rsidRPr="00E26C8E" w:rsidRDefault="00E26C8E" w:rsidP="00E26C8E">
      <w:pPr>
        <w:jc w:val="center"/>
        <w:rPr>
          <w:caps/>
          <w:szCs w:val="17"/>
        </w:rPr>
      </w:pPr>
      <w:r w:rsidRPr="00E26C8E">
        <w:rPr>
          <w:caps/>
          <w:szCs w:val="17"/>
        </w:rPr>
        <w:t>Mining Act 1971</w:t>
      </w:r>
    </w:p>
    <w:p w:rsidR="00E26C8E" w:rsidRPr="00E26C8E" w:rsidRDefault="00E26C8E" w:rsidP="00E26C8E">
      <w:pPr>
        <w:jc w:val="center"/>
        <w:rPr>
          <w:smallCaps/>
          <w:szCs w:val="17"/>
        </w:rPr>
      </w:pPr>
      <w:r w:rsidRPr="00E26C8E">
        <w:rPr>
          <w:smallCaps/>
          <w:szCs w:val="17"/>
        </w:rPr>
        <w:t>Part 10A</w:t>
      </w:r>
    </w:p>
    <w:p w:rsidR="00E26C8E" w:rsidRPr="00E26C8E" w:rsidRDefault="00E26C8E" w:rsidP="00E26C8E">
      <w:pPr>
        <w:jc w:val="center"/>
        <w:rPr>
          <w:i/>
          <w:szCs w:val="17"/>
        </w:rPr>
      </w:pPr>
      <w:r w:rsidRPr="00E26C8E">
        <w:rPr>
          <w:i/>
          <w:szCs w:val="17"/>
        </w:rPr>
        <w:t>Terms of Reference for Metallic and Industrial Mineral Transitional PEPRS</w:t>
      </w:r>
    </w:p>
    <w:p w:rsidR="00E26C8E" w:rsidRPr="00E26C8E" w:rsidRDefault="00E26C8E" w:rsidP="00E26C8E">
      <w:pPr>
        <w:rPr>
          <w:rFonts w:eastAsia="Times New Roman"/>
          <w:szCs w:val="17"/>
        </w:rPr>
      </w:pPr>
      <w:r w:rsidRPr="00E26C8E">
        <w:rPr>
          <w:rFonts w:eastAsia="Times New Roman"/>
          <w:szCs w:val="17"/>
        </w:rPr>
        <w:t>This Terms of Reference applies to mining leases (ML) and miscellaneous purpose licences (MPLs) for the recovery of metallic or industrial minerals (excluding coal and uranium), where, as at 1 January 2021, that ML or MPL:</w:t>
      </w:r>
    </w:p>
    <w:p w:rsidR="00E26C8E" w:rsidRPr="00E26C8E" w:rsidRDefault="00E26C8E" w:rsidP="00E26C8E">
      <w:pPr>
        <w:ind w:left="426" w:hanging="284"/>
        <w:rPr>
          <w:rFonts w:eastAsia="Times New Roman"/>
          <w:szCs w:val="17"/>
        </w:rPr>
      </w:pPr>
      <w:r w:rsidRPr="00E26C8E">
        <w:rPr>
          <w:rFonts w:eastAsia="Times New Roman"/>
          <w:szCs w:val="17"/>
        </w:rPr>
        <w:t>1.</w:t>
      </w:r>
      <w:r w:rsidRPr="00E26C8E">
        <w:rPr>
          <w:rFonts w:eastAsia="Times New Roman"/>
          <w:szCs w:val="17"/>
        </w:rPr>
        <w:tab/>
        <w:t xml:space="preserve">has a PEPR that transitioned by virtue of regulation 114 of the repealed </w:t>
      </w:r>
      <w:r w:rsidRPr="00E26C8E">
        <w:rPr>
          <w:rFonts w:eastAsia="Times New Roman"/>
          <w:i/>
          <w:szCs w:val="17"/>
        </w:rPr>
        <w:t>Mining Regulations 2011</w:t>
      </w:r>
      <w:r w:rsidRPr="00E26C8E">
        <w:rPr>
          <w:rFonts w:eastAsia="Times New Roman"/>
          <w:szCs w:val="17"/>
        </w:rPr>
        <w:t>, being:</w:t>
      </w:r>
    </w:p>
    <w:p w:rsidR="00E26C8E" w:rsidRPr="00E26C8E" w:rsidRDefault="00E26C8E" w:rsidP="00E26C8E">
      <w:pPr>
        <w:ind w:left="709" w:hanging="283"/>
        <w:rPr>
          <w:rFonts w:eastAsia="Times New Roman"/>
          <w:szCs w:val="17"/>
        </w:rPr>
      </w:pPr>
      <w:r w:rsidRPr="00E26C8E">
        <w:rPr>
          <w:rFonts w:eastAsia="Times New Roman"/>
          <w:szCs w:val="17"/>
        </w:rPr>
        <w:t>a.</w:t>
      </w:r>
      <w:r w:rsidRPr="00E26C8E">
        <w:rPr>
          <w:rFonts w:eastAsia="Times New Roman"/>
          <w:szCs w:val="17"/>
        </w:rPr>
        <w:tab/>
        <w:t xml:space="preserve">an exploration work approval (EWA) under regulation 56(b) of the repealed </w:t>
      </w:r>
      <w:r w:rsidRPr="00E26C8E">
        <w:rPr>
          <w:rFonts w:eastAsia="Times New Roman"/>
          <w:i/>
          <w:szCs w:val="17"/>
        </w:rPr>
        <w:t>Mining Regulations 1998</w:t>
      </w:r>
      <w:r w:rsidRPr="00E26C8E">
        <w:rPr>
          <w:rFonts w:eastAsia="Times New Roman"/>
          <w:szCs w:val="17"/>
        </w:rPr>
        <w:t>; or</w:t>
      </w:r>
    </w:p>
    <w:p w:rsidR="00E26C8E" w:rsidRPr="00E26C8E" w:rsidRDefault="00E26C8E" w:rsidP="00E26C8E">
      <w:pPr>
        <w:ind w:left="709" w:hanging="283"/>
        <w:rPr>
          <w:rFonts w:eastAsia="Times New Roman"/>
          <w:szCs w:val="17"/>
        </w:rPr>
      </w:pPr>
      <w:r w:rsidRPr="00E26C8E">
        <w:rPr>
          <w:rFonts w:eastAsia="Times New Roman"/>
          <w:szCs w:val="17"/>
        </w:rPr>
        <w:t>b.</w:t>
      </w:r>
      <w:r w:rsidRPr="00E26C8E">
        <w:rPr>
          <w:rFonts w:eastAsia="Times New Roman"/>
          <w:szCs w:val="17"/>
        </w:rPr>
        <w:tab/>
        <w:t xml:space="preserve">a declaration of environmental factors (DEF) imposed under regulation 56(b) of the repealed </w:t>
      </w:r>
      <w:r w:rsidRPr="00E26C8E">
        <w:rPr>
          <w:rFonts w:eastAsia="Times New Roman"/>
          <w:i/>
          <w:szCs w:val="17"/>
        </w:rPr>
        <w:t>Mining Regulations 1998</w:t>
      </w:r>
      <w:r w:rsidRPr="00E26C8E">
        <w:rPr>
          <w:rFonts w:eastAsia="Times New Roman"/>
          <w:szCs w:val="17"/>
        </w:rPr>
        <w:t xml:space="preserve"> or by a condition attached to an exploration licence (or both); or</w:t>
      </w:r>
    </w:p>
    <w:p w:rsidR="00E26C8E" w:rsidRPr="00E26C8E" w:rsidRDefault="00E26C8E" w:rsidP="00E26C8E">
      <w:pPr>
        <w:ind w:left="709" w:hanging="283"/>
        <w:rPr>
          <w:rFonts w:eastAsia="Times New Roman"/>
          <w:szCs w:val="17"/>
        </w:rPr>
      </w:pPr>
      <w:r w:rsidRPr="00E26C8E">
        <w:rPr>
          <w:rFonts w:eastAsia="Times New Roman"/>
          <w:szCs w:val="17"/>
        </w:rPr>
        <w:t>c.</w:t>
      </w:r>
      <w:r w:rsidRPr="00E26C8E">
        <w:rPr>
          <w:rFonts w:eastAsia="Times New Roman"/>
          <w:szCs w:val="17"/>
        </w:rPr>
        <w:tab/>
        <w:t xml:space="preserve">a program for mining and rehabilitation of land (MARP) under regulation 42(b) of the repealed </w:t>
      </w:r>
      <w:r w:rsidRPr="00E26C8E">
        <w:rPr>
          <w:rFonts w:eastAsia="Times New Roman"/>
          <w:i/>
          <w:szCs w:val="17"/>
        </w:rPr>
        <w:t>Mining Regulations 1998</w:t>
      </w:r>
      <w:r w:rsidRPr="00E26C8E">
        <w:rPr>
          <w:rFonts w:eastAsia="Times New Roman"/>
          <w:szCs w:val="17"/>
        </w:rPr>
        <w:t>; or</w:t>
      </w:r>
    </w:p>
    <w:p w:rsidR="00E26C8E" w:rsidRPr="00E26C8E" w:rsidRDefault="00E26C8E" w:rsidP="00E26C8E">
      <w:pPr>
        <w:ind w:left="426" w:hanging="284"/>
        <w:rPr>
          <w:rFonts w:eastAsia="Times New Roman"/>
          <w:szCs w:val="17"/>
        </w:rPr>
      </w:pPr>
      <w:r w:rsidRPr="00E26C8E">
        <w:rPr>
          <w:rFonts w:eastAsia="Times New Roman"/>
          <w:szCs w:val="17"/>
        </w:rPr>
        <w:t>2.</w:t>
      </w:r>
      <w:r w:rsidRPr="00E26C8E">
        <w:rPr>
          <w:rFonts w:eastAsia="Times New Roman"/>
          <w:szCs w:val="17"/>
        </w:rPr>
        <w:tab/>
        <w:t>has a PEPR that transitioned by virtue of section 70DA of the</w:t>
      </w:r>
      <w:r w:rsidRPr="00E26C8E">
        <w:rPr>
          <w:rFonts w:eastAsia="Times New Roman"/>
          <w:i/>
          <w:szCs w:val="17"/>
        </w:rPr>
        <w:t xml:space="preserve"> Mining Act 1971</w:t>
      </w:r>
      <w:r w:rsidRPr="00E26C8E">
        <w:rPr>
          <w:rFonts w:eastAsia="Times New Roman"/>
          <w:szCs w:val="17"/>
        </w:rPr>
        <w:t>, being:</w:t>
      </w:r>
    </w:p>
    <w:p w:rsidR="00E26C8E" w:rsidRPr="00E26C8E" w:rsidRDefault="00E26C8E" w:rsidP="00E26C8E">
      <w:pPr>
        <w:ind w:left="709" w:hanging="283"/>
        <w:rPr>
          <w:rFonts w:eastAsia="Times New Roman"/>
          <w:szCs w:val="17"/>
        </w:rPr>
      </w:pPr>
      <w:r w:rsidRPr="00E26C8E">
        <w:rPr>
          <w:rFonts w:eastAsia="Times New Roman"/>
          <w:szCs w:val="17"/>
        </w:rPr>
        <w:t>a.</w:t>
      </w:r>
      <w:r w:rsidRPr="00E26C8E">
        <w:rPr>
          <w:rFonts w:eastAsia="Times New Roman"/>
          <w:szCs w:val="17"/>
        </w:rPr>
        <w:tab/>
        <w:t xml:space="preserve">a development program (ADP) approved under regulation 9 of the Mines and </w:t>
      </w:r>
      <w:r w:rsidRPr="00E26C8E">
        <w:rPr>
          <w:rFonts w:eastAsia="Times New Roman"/>
          <w:i/>
          <w:szCs w:val="17"/>
        </w:rPr>
        <w:t>Works Inspection Regulations 2013</w:t>
      </w:r>
      <w:r w:rsidRPr="00E26C8E">
        <w:rPr>
          <w:rFonts w:eastAsia="Times New Roman"/>
          <w:szCs w:val="17"/>
        </w:rPr>
        <w:t>; or</w:t>
      </w:r>
    </w:p>
    <w:p w:rsidR="00E26C8E" w:rsidRPr="00E26C8E" w:rsidRDefault="00E26C8E" w:rsidP="00E26C8E">
      <w:pPr>
        <w:ind w:left="426" w:hanging="284"/>
        <w:rPr>
          <w:rFonts w:eastAsia="Times New Roman"/>
          <w:szCs w:val="17"/>
        </w:rPr>
      </w:pPr>
      <w:r w:rsidRPr="00E26C8E">
        <w:rPr>
          <w:rFonts w:eastAsia="Times New Roman"/>
          <w:szCs w:val="17"/>
        </w:rPr>
        <w:t>3.</w:t>
      </w:r>
      <w:r w:rsidRPr="00E26C8E">
        <w:rPr>
          <w:rFonts w:eastAsia="Times New Roman"/>
          <w:szCs w:val="17"/>
        </w:rPr>
        <w:tab/>
        <w:t>was granted prior to 2011 and does not have a program under part 10A of the</w:t>
      </w:r>
      <w:r w:rsidRPr="00E26C8E">
        <w:rPr>
          <w:rFonts w:eastAsia="Times New Roman"/>
          <w:i/>
          <w:szCs w:val="17"/>
        </w:rPr>
        <w:t xml:space="preserve"> Mining Act 1971</w:t>
      </w:r>
      <w:r w:rsidRPr="00E26C8E">
        <w:rPr>
          <w:rFonts w:eastAsia="Times New Roman"/>
          <w:szCs w:val="17"/>
        </w:rPr>
        <w:t xml:space="preserve"> and must comply with the transitional provision in schedule 5, clause 7 of the</w:t>
      </w:r>
      <w:r w:rsidRPr="00E26C8E">
        <w:rPr>
          <w:rFonts w:eastAsia="Times New Roman"/>
          <w:i/>
          <w:szCs w:val="17"/>
        </w:rPr>
        <w:t xml:space="preserve"> Mining Regulations 2020</w:t>
      </w:r>
      <w:r w:rsidRPr="00E26C8E">
        <w:rPr>
          <w:rFonts w:eastAsia="Times New Roman"/>
          <w:szCs w:val="17"/>
        </w:rPr>
        <w:t>.</w:t>
      </w:r>
    </w:p>
    <w:p w:rsidR="00E26C8E" w:rsidRPr="00E26C8E" w:rsidRDefault="00E26C8E" w:rsidP="00E26C8E">
      <w:pPr>
        <w:rPr>
          <w:rFonts w:eastAsia="Times New Roman"/>
          <w:szCs w:val="17"/>
        </w:rPr>
      </w:pPr>
      <w:r w:rsidRPr="00E26C8E">
        <w:rPr>
          <w:rFonts w:eastAsia="Times New Roman"/>
          <w:szCs w:val="17"/>
        </w:rPr>
        <w:t>A Program for Environment Protection and Rehabilitation (transitional PEPR) under Part 10A of the</w:t>
      </w:r>
      <w:r w:rsidRPr="00E26C8E">
        <w:rPr>
          <w:rFonts w:eastAsia="Times New Roman"/>
          <w:i/>
          <w:szCs w:val="17"/>
        </w:rPr>
        <w:t xml:space="preserve"> Mining Act 1971</w:t>
      </w:r>
      <w:r w:rsidRPr="00E26C8E">
        <w:rPr>
          <w:rFonts w:eastAsia="Times New Roman"/>
          <w:szCs w:val="17"/>
        </w:rPr>
        <w:t xml:space="preserve"> for the recovery of metallic or industrial minerals must:</w:t>
      </w:r>
    </w:p>
    <w:p w:rsidR="00E26C8E" w:rsidRPr="00E26C8E" w:rsidRDefault="00E26C8E" w:rsidP="00E26C8E">
      <w:pPr>
        <w:ind w:left="426" w:hanging="284"/>
        <w:rPr>
          <w:rFonts w:eastAsia="Times New Roman"/>
          <w:szCs w:val="17"/>
        </w:rPr>
      </w:pPr>
      <w:r w:rsidRPr="00E26C8E">
        <w:rPr>
          <w:rFonts w:eastAsia="Times New Roman"/>
          <w:szCs w:val="17"/>
        </w:rPr>
        <w:t>•</w:t>
      </w:r>
      <w:r w:rsidRPr="00E26C8E">
        <w:rPr>
          <w:rFonts w:eastAsia="Times New Roman"/>
          <w:szCs w:val="17"/>
        </w:rPr>
        <w:tab/>
        <w:t>comply with sections 70B and 70C of the</w:t>
      </w:r>
      <w:r w:rsidRPr="00E26C8E">
        <w:rPr>
          <w:rFonts w:eastAsia="Times New Roman"/>
          <w:i/>
          <w:szCs w:val="17"/>
        </w:rPr>
        <w:t xml:space="preserve"> Mining Act 1971</w:t>
      </w:r>
      <w:r w:rsidRPr="00E26C8E">
        <w:rPr>
          <w:rFonts w:eastAsia="Times New Roman"/>
          <w:szCs w:val="17"/>
        </w:rPr>
        <w:t>, regulations 63, 64 and 66 of the</w:t>
      </w:r>
      <w:r w:rsidRPr="00E26C8E">
        <w:rPr>
          <w:rFonts w:eastAsia="Times New Roman"/>
          <w:i/>
          <w:szCs w:val="17"/>
        </w:rPr>
        <w:t xml:space="preserve"> Mining Regulations 2020</w:t>
      </w:r>
      <w:r w:rsidRPr="00E26C8E">
        <w:rPr>
          <w:rFonts w:eastAsia="Times New Roman"/>
          <w:szCs w:val="17"/>
        </w:rPr>
        <w:t xml:space="preserve"> and any determinations set out in this Terms of Reference; and</w:t>
      </w:r>
    </w:p>
    <w:p w:rsidR="00E26C8E" w:rsidRPr="00E26C8E" w:rsidRDefault="00E26C8E" w:rsidP="00E26C8E">
      <w:pPr>
        <w:ind w:left="426" w:hanging="284"/>
        <w:rPr>
          <w:rFonts w:eastAsia="Times New Roman"/>
          <w:szCs w:val="17"/>
        </w:rPr>
      </w:pPr>
      <w:r w:rsidRPr="00E26C8E">
        <w:rPr>
          <w:rFonts w:eastAsia="Times New Roman"/>
          <w:szCs w:val="17"/>
        </w:rPr>
        <w:t>•</w:t>
      </w:r>
      <w:r w:rsidRPr="00E26C8E">
        <w:rPr>
          <w:rFonts w:eastAsia="Times New Roman"/>
          <w:szCs w:val="17"/>
        </w:rPr>
        <w:tab/>
        <w:t>be accompanied by a declaration of accuracy that complies with regulation 84 of the</w:t>
      </w:r>
      <w:r w:rsidRPr="00E26C8E">
        <w:rPr>
          <w:rFonts w:eastAsia="Times New Roman"/>
          <w:i/>
          <w:szCs w:val="17"/>
        </w:rPr>
        <w:t xml:space="preserve"> Mining Regulations 2020</w:t>
      </w:r>
      <w:r w:rsidRPr="00E26C8E">
        <w:rPr>
          <w:rFonts w:eastAsia="Times New Roman"/>
          <w:szCs w:val="17"/>
        </w:rPr>
        <w:t>; and</w:t>
      </w:r>
    </w:p>
    <w:p w:rsidR="00E26C8E" w:rsidRPr="00E26C8E" w:rsidRDefault="00E26C8E" w:rsidP="00E26C8E">
      <w:pPr>
        <w:ind w:left="426" w:hanging="284"/>
        <w:rPr>
          <w:rFonts w:eastAsia="Times New Roman"/>
          <w:szCs w:val="17"/>
        </w:rPr>
      </w:pPr>
      <w:r w:rsidRPr="00E26C8E">
        <w:rPr>
          <w:rFonts w:eastAsia="Times New Roman"/>
          <w:szCs w:val="17"/>
        </w:rPr>
        <w:t>•</w:t>
      </w:r>
      <w:r w:rsidRPr="00E26C8E">
        <w:rPr>
          <w:rFonts w:eastAsia="Times New Roman"/>
          <w:szCs w:val="17"/>
        </w:rPr>
        <w:tab/>
        <w:t>be accompanied by the relevant application fee.</w:t>
      </w:r>
    </w:p>
    <w:p w:rsidR="00E26C8E" w:rsidRPr="00E26C8E" w:rsidRDefault="00E26C8E" w:rsidP="00E26C8E">
      <w:pPr>
        <w:rPr>
          <w:rFonts w:eastAsia="Times New Roman"/>
          <w:b/>
          <w:szCs w:val="17"/>
        </w:rPr>
      </w:pPr>
      <w:r w:rsidRPr="00E26C8E">
        <w:rPr>
          <w:rFonts w:eastAsia="Times New Roman"/>
          <w:b/>
          <w:szCs w:val="17"/>
        </w:rPr>
        <w:t>FORM OF THE PEPR</w:t>
      </w:r>
    </w:p>
    <w:p w:rsidR="00E26C8E" w:rsidRPr="00E26C8E" w:rsidRDefault="00E26C8E" w:rsidP="00E26C8E">
      <w:pPr>
        <w:ind w:left="142"/>
        <w:rPr>
          <w:rFonts w:eastAsia="Times New Roman"/>
          <w:szCs w:val="17"/>
        </w:rPr>
      </w:pPr>
      <w:r w:rsidRPr="00E26C8E">
        <w:rPr>
          <w:rFonts w:eastAsia="Times New Roman"/>
          <w:szCs w:val="17"/>
        </w:rPr>
        <w:t>A transitional PEPR for an ML and/or MPL for minerals or industrial minerals must, in accordance with section 70B(4a) of the</w:t>
      </w:r>
      <w:r w:rsidRPr="00E26C8E">
        <w:rPr>
          <w:rFonts w:eastAsia="Times New Roman"/>
          <w:i/>
          <w:szCs w:val="17"/>
        </w:rPr>
        <w:t xml:space="preserve"> Mining Act 1971</w:t>
      </w:r>
      <w:r w:rsidRPr="00E26C8E">
        <w:rPr>
          <w:rFonts w:eastAsia="Times New Roman"/>
          <w:szCs w:val="17"/>
        </w:rPr>
        <w:t>, be submitted to the Minister for approval in the following form, unless otherwise specified by the Director of Mines or an authorised officer:</w:t>
      </w:r>
    </w:p>
    <w:p w:rsidR="00E26C8E" w:rsidRPr="00E26C8E" w:rsidRDefault="00E26C8E" w:rsidP="00E26C8E">
      <w:pPr>
        <w:ind w:left="426" w:hanging="284"/>
        <w:rPr>
          <w:rFonts w:eastAsia="Times New Roman"/>
          <w:szCs w:val="17"/>
        </w:rPr>
      </w:pPr>
      <w:r w:rsidRPr="00E26C8E">
        <w:rPr>
          <w:rFonts w:eastAsia="Times New Roman"/>
          <w:szCs w:val="17"/>
        </w:rPr>
        <w:t>•</w:t>
      </w:r>
      <w:r w:rsidRPr="00E26C8E">
        <w:rPr>
          <w:rFonts w:eastAsia="Times New Roman"/>
          <w:szCs w:val="17"/>
        </w:rPr>
        <w:tab/>
        <w:t>an electronic version of the transitional PEPR must be submitted online through the relevant government website, or if approved by the Director of Mines or an authorised officer, submitted via email, post or courier and should be marked ‘Attention: Mining Assessments’</w:t>
      </w:r>
    </w:p>
    <w:p w:rsidR="00E26C8E" w:rsidRPr="00E26C8E" w:rsidRDefault="00E26C8E" w:rsidP="00E26C8E">
      <w:pPr>
        <w:ind w:left="426" w:hanging="284"/>
        <w:rPr>
          <w:rFonts w:eastAsia="Times New Roman"/>
          <w:szCs w:val="17"/>
        </w:rPr>
      </w:pPr>
      <w:r w:rsidRPr="00E26C8E">
        <w:rPr>
          <w:rFonts w:eastAsia="Times New Roman"/>
          <w:szCs w:val="17"/>
        </w:rPr>
        <w:t>•</w:t>
      </w:r>
      <w:r w:rsidRPr="00E26C8E">
        <w:rPr>
          <w:rFonts w:eastAsia="Times New Roman"/>
          <w:szCs w:val="17"/>
        </w:rPr>
        <w:tab/>
        <w:t>each page, plan or other separate sheet must include the tenement number(s), date of the transitional PEPR preparation and sequential page numbering; and</w:t>
      </w:r>
    </w:p>
    <w:p w:rsidR="00E26C8E" w:rsidRPr="00E26C8E" w:rsidRDefault="00E26C8E" w:rsidP="00E26C8E">
      <w:pPr>
        <w:ind w:left="426" w:hanging="284"/>
        <w:rPr>
          <w:rFonts w:eastAsia="Times New Roman"/>
          <w:szCs w:val="17"/>
        </w:rPr>
      </w:pPr>
      <w:r w:rsidRPr="00E26C8E">
        <w:rPr>
          <w:rFonts w:eastAsia="Times New Roman"/>
          <w:szCs w:val="17"/>
        </w:rPr>
        <w:t>•</w:t>
      </w:r>
      <w:r w:rsidRPr="00E26C8E">
        <w:rPr>
          <w:rFonts w:eastAsia="Times New Roman"/>
          <w:szCs w:val="17"/>
        </w:rPr>
        <w:tab/>
        <w:t>the electronic version must be submitted in one single Acrobat PDF file or if requested by the Director of Mines or an authorised officer, Microsoft Word compatible files must be submitted.</w:t>
      </w:r>
    </w:p>
    <w:p w:rsidR="00E26C8E" w:rsidRPr="00E26C8E" w:rsidRDefault="00E26C8E" w:rsidP="00E26C8E">
      <w:pPr>
        <w:rPr>
          <w:rFonts w:eastAsia="Times New Roman"/>
          <w:b/>
          <w:szCs w:val="17"/>
        </w:rPr>
      </w:pPr>
      <w:r w:rsidRPr="00E26C8E">
        <w:rPr>
          <w:rFonts w:eastAsia="Times New Roman"/>
          <w:b/>
          <w:szCs w:val="17"/>
        </w:rPr>
        <w:t>PEPR</w:t>
      </w:r>
    </w:p>
    <w:p w:rsidR="00E26C8E" w:rsidRPr="00E26C8E" w:rsidRDefault="00E26C8E" w:rsidP="00E26C8E">
      <w:pPr>
        <w:ind w:left="142"/>
        <w:rPr>
          <w:rFonts w:eastAsia="Times New Roman"/>
          <w:szCs w:val="17"/>
        </w:rPr>
      </w:pPr>
      <w:r w:rsidRPr="00E26C8E">
        <w:rPr>
          <w:rFonts w:eastAsia="Times New Roman"/>
          <w:szCs w:val="17"/>
        </w:rPr>
        <w:t>A transitional PEPR for an ML and/or MPL must comply with sections 70B and 70C of the</w:t>
      </w:r>
      <w:r w:rsidRPr="00E26C8E">
        <w:rPr>
          <w:rFonts w:eastAsia="Times New Roman"/>
          <w:i/>
          <w:szCs w:val="17"/>
        </w:rPr>
        <w:t xml:space="preserve"> Mining Act 1971</w:t>
      </w:r>
      <w:r w:rsidRPr="00E26C8E">
        <w:rPr>
          <w:rFonts w:eastAsia="Times New Roman"/>
          <w:szCs w:val="17"/>
        </w:rPr>
        <w:t xml:space="preserve"> and regulations 63, 64 and 66 of the</w:t>
      </w:r>
      <w:r w:rsidRPr="00E26C8E">
        <w:rPr>
          <w:rFonts w:eastAsia="Times New Roman"/>
          <w:i/>
          <w:szCs w:val="17"/>
        </w:rPr>
        <w:t xml:space="preserve"> Mining Regulations 2020</w:t>
      </w:r>
      <w:r w:rsidRPr="00E26C8E">
        <w:rPr>
          <w:rFonts w:eastAsia="Times New Roman"/>
          <w:szCs w:val="17"/>
        </w:rPr>
        <w:t>, and must comply with the following determinations of this Terms of Reference as set out below:</w:t>
      </w:r>
    </w:p>
    <w:p w:rsidR="00E26C8E" w:rsidRPr="00E26C8E" w:rsidRDefault="00E26C8E" w:rsidP="00E26C8E">
      <w:pPr>
        <w:ind w:left="426" w:hanging="284"/>
        <w:rPr>
          <w:rFonts w:eastAsia="Times New Roman"/>
          <w:b/>
          <w:szCs w:val="17"/>
        </w:rPr>
      </w:pPr>
      <w:r w:rsidRPr="00E26C8E">
        <w:rPr>
          <w:rFonts w:eastAsia="Times New Roman"/>
          <w:b/>
          <w:szCs w:val="17"/>
        </w:rPr>
        <w:t>1.</w:t>
      </w:r>
      <w:r w:rsidRPr="00E26C8E">
        <w:rPr>
          <w:rFonts w:eastAsia="Times New Roman"/>
          <w:b/>
          <w:szCs w:val="17"/>
        </w:rPr>
        <w:tab/>
        <w:t>DESCRIPTION OF THE ENVIRONMENT</w:t>
      </w:r>
    </w:p>
    <w:p w:rsidR="00E26C8E" w:rsidRPr="00E26C8E" w:rsidRDefault="00E26C8E" w:rsidP="00E26C8E">
      <w:pPr>
        <w:ind w:left="426"/>
        <w:rPr>
          <w:rFonts w:eastAsia="Times New Roman"/>
          <w:szCs w:val="17"/>
        </w:rPr>
      </w:pPr>
      <w:r w:rsidRPr="00E26C8E">
        <w:rPr>
          <w:rFonts w:eastAsia="Times New Roman"/>
          <w:szCs w:val="17"/>
        </w:rPr>
        <w:t xml:space="preserve">In accordance with regulation 63(1)(a), the Minister determines that a mineral tenement to which this Terms of Reference applies must include a description of the features of the environment that are expected to be affected by the proposed operations in accordance with regulation 63(1)(a)(i) of the </w:t>
      </w:r>
      <w:r w:rsidRPr="00E26C8E">
        <w:rPr>
          <w:rFonts w:eastAsia="Times New Roman"/>
          <w:i/>
          <w:szCs w:val="17"/>
        </w:rPr>
        <w:t>Mining Regulations 2020</w:t>
      </w:r>
      <w:r w:rsidRPr="00E26C8E">
        <w:rPr>
          <w:rFonts w:eastAsia="Times New Roman"/>
          <w:szCs w:val="17"/>
        </w:rPr>
        <w:t xml:space="preserve"> and as set out in this Terms of Reference.</w:t>
      </w:r>
    </w:p>
    <w:p w:rsidR="00E26C8E" w:rsidRPr="00E26C8E" w:rsidRDefault="00E26C8E" w:rsidP="00E26C8E">
      <w:pPr>
        <w:ind w:left="426"/>
        <w:rPr>
          <w:rFonts w:eastAsia="Times New Roman"/>
          <w:szCs w:val="17"/>
        </w:rPr>
      </w:pPr>
      <w:r w:rsidRPr="00E26C8E">
        <w:rPr>
          <w:rFonts w:eastAsia="Times New Roman"/>
          <w:szCs w:val="17"/>
        </w:rPr>
        <w:t xml:space="preserve">Each of the elements of the existing environment (as defined in section 6(4) of the </w:t>
      </w:r>
      <w:r w:rsidRPr="00E26C8E">
        <w:rPr>
          <w:rFonts w:eastAsia="Times New Roman"/>
          <w:i/>
          <w:szCs w:val="17"/>
        </w:rPr>
        <w:t>Mining Act 1971</w:t>
      </w:r>
      <w:r w:rsidRPr="00E26C8E">
        <w:rPr>
          <w:rFonts w:eastAsia="Times New Roman"/>
          <w:szCs w:val="17"/>
        </w:rPr>
        <w:t>) listed in clauses 1.1-1.20 must be described only to the extent that they may need to be considered in assessing the potential impacts of the proposed operations. If the element is not likely to be impacted by the operation, a statement to that effect must be included.</w:t>
      </w:r>
    </w:p>
    <w:p w:rsidR="00E26C8E" w:rsidRPr="00E26C8E" w:rsidRDefault="00E26C8E" w:rsidP="00E26C8E">
      <w:pPr>
        <w:ind w:left="851" w:hanging="425"/>
        <w:rPr>
          <w:rFonts w:eastAsia="Times New Roman"/>
          <w:b/>
          <w:szCs w:val="17"/>
        </w:rPr>
      </w:pPr>
      <w:r w:rsidRPr="00E26C8E">
        <w:rPr>
          <w:rFonts w:eastAsia="Times New Roman"/>
          <w:b/>
          <w:szCs w:val="17"/>
        </w:rPr>
        <w:t>1.1</w:t>
      </w:r>
      <w:r w:rsidRPr="00E26C8E">
        <w:rPr>
          <w:rFonts w:eastAsia="Times New Roman"/>
          <w:b/>
          <w:szCs w:val="17"/>
        </w:rPr>
        <w:tab/>
        <w:t>Topography and landscape</w:t>
      </w:r>
    </w:p>
    <w:p w:rsidR="00E26C8E" w:rsidRPr="00E26C8E" w:rsidRDefault="00E26C8E" w:rsidP="00E26C8E">
      <w:pPr>
        <w:ind w:left="851"/>
        <w:rPr>
          <w:rFonts w:eastAsia="Times New Roman"/>
          <w:szCs w:val="17"/>
        </w:rPr>
      </w:pPr>
      <w:r w:rsidRPr="00E26C8E">
        <w:rPr>
          <w:rFonts w:eastAsia="Times New Roman"/>
          <w:szCs w:val="17"/>
        </w:rPr>
        <w:t>Provide a description and map (as per 7.1.1.1) of the topography and landscape, detailing the:</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tenement area; and</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general surroundings.</w:t>
      </w:r>
    </w:p>
    <w:p w:rsidR="00E26C8E" w:rsidRPr="00E26C8E" w:rsidRDefault="00E26C8E" w:rsidP="00E26C8E">
      <w:pPr>
        <w:ind w:left="851" w:hanging="425"/>
        <w:rPr>
          <w:rFonts w:eastAsia="Times New Roman"/>
          <w:b/>
          <w:szCs w:val="17"/>
        </w:rPr>
      </w:pPr>
      <w:r w:rsidRPr="00E26C8E">
        <w:rPr>
          <w:rFonts w:eastAsia="Times New Roman"/>
          <w:b/>
          <w:szCs w:val="17"/>
        </w:rPr>
        <w:t>1.2</w:t>
      </w:r>
      <w:r w:rsidRPr="00E26C8E">
        <w:rPr>
          <w:rFonts w:eastAsia="Times New Roman"/>
          <w:b/>
          <w:szCs w:val="17"/>
        </w:rPr>
        <w:tab/>
        <w:t>Climate</w:t>
      </w:r>
    </w:p>
    <w:p w:rsidR="00E26C8E" w:rsidRPr="00E26C8E" w:rsidRDefault="00E26C8E" w:rsidP="00E26C8E">
      <w:pPr>
        <w:ind w:left="851"/>
        <w:rPr>
          <w:rFonts w:eastAsia="Times New Roman"/>
          <w:szCs w:val="17"/>
        </w:rPr>
      </w:pPr>
      <w:r w:rsidRPr="00E26C8E">
        <w:rPr>
          <w:rFonts w:eastAsia="Times New Roman"/>
          <w:szCs w:val="17"/>
        </w:rPr>
        <w:t>Provide:</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a summary of rainfall and temperature patterns, evaporation rates, and wind directions and speed (including maximum wind gusts); and</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details of the maximum average recurrence interval or annual exceedance probability rainfall event used for the operational and closure design of the project, and the justification for the value(s) selected.</w:t>
      </w:r>
    </w:p>
    <w:p w:rsidR="00E26C8E" w:rsidRPr="00E26C8E" w:rsidRDefault="00E26C8E" w:rsidP="00E26C8E">
      <w:pPr>
        <w:ind w:left="851" w:hanging="425"/>
        <w:rPr>
          <w:rFonts w:eastAsia="Times New Roman"/>
          <w:b/>
          <w:szCs w:val="17"/>
        </w:rPr>
      </w:pPr>
      <w:r w:rsidRPr="00E26C8E">
        <w:rPr>
          <w:rFonts w:eastAsia="Times New Roman"/>
          <w:b/>
          <w:szCs w:val="17"/>
        </w:rPr>
        <w:t>1.3</w:t>
      </w:r>
      <w:r w:rsidRPr="00E26C8E">
        <w:rPr>
          <w:rFonts w:eastAsia="Times New Roman"/>
          <w:b/>
          <w:szCs w:val="17"/>
        </w:rPr>
        <w:tab/>
        <w:t>Topsoil and subsoil</w:t>
      </w:r>
    </w:p>
    <w:p w:rsidR="00E26C8E" w:rsidRPr="00E26C8E" w:rsidRDefault="00E26C8E" w:rsidP="00E26C8E">
      <w:pPr>
        <w:ind w:left="851"/>
        <w:rPr>
          <w:rFonts w:eastAsia="Times New Roman"/>
          <w:szCs w:val="17"/>
        </w:rPr>
      </w:pPr>
      <w:r w:rsidRPr="00E26C8E">
        <w:rPr>
          <w:rFonts w:eastAsia="Times New Roman"/>
          <w:szCs w:val="17"/>
        </w:rPr>
        <w:t>Provide:</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a description of the soil profile (type and depth), and the characteristics and/or productivity of all soils on the tenement area (show this information on a map as per 7.1.1.2 if there is a variation in soils over the tenement area); and</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identify any soil characteristics, including (but not limited to) erodibility, acid sulfate, sodic or non-wettable soils, that may require control measures to reduce environmental impacts during operations or rehabilitation.</w:t>
      </w:r>
    </w:p>
    <w:p w:rsidR="00E26C8E" w:rsidRPr="00E26C8E" w:rsidRDefault="00E26C8E" w:rsidP="00E26C8E">
      <w:pPr>
        <w:spacing w:after="0" w:line="240" w:lineRule="auto"/>
        <w:jc w:val="left"/>
        <w:rPr>
          <w:rFonts w:eastAsia="Times New Roman"/>
          <w:b/>
          <w:szCs w:val="17"/>
        </w:rPr>
      </w:pPr>
      <w:r w:rsidRPr="00E26C8E">
        <w:rPr>
          <w:rFonts w:eastAsia="Times New Roman"/>
          <w:b/>
          <w:szCs w:val="17"/>
        </w:rPr>
        <w:br w:type="page"/>
      </w:r>
    </w:p>
    <w:p w:rsidR="00E26C8E" w:rsidRPr="00E26C8E" w:rsidRDefault="00E26C8E" w:rsidP="00E26C8E">
      <w:pPr>
        <w:ind w:left="851" w:hanging="425"/>
        <w:rPr>
          <w:rFonts w:eastAsia="Times New Roman"/>
          <w:b/>
          <w:szCs w:val="17"/>
        </w:rPr>
      </w:pPr>
      <w:r w:rsidRPr="00E26C8E">
        <w:rPr>
          <w:rFonts w:eastAsia="Times New Roman"/>
          <w:b/>
          <w:szCs w:val="17"/>
        </w:rPr>
        <w:t>1.4</w:t>
      </w:r>
      <w:r w:rsidRPr="00E26C8E">
        <w:rPr>
          <w:rFonts w:eastAsia="Times New Roman"/>
          <w:b/>
          <w:szCs w:val="17"/>
        </w:rPr>
        <w:tab/>
        <w:t>Geological environment</w:t>
      </w:r>
    </w:p>
    <w:p w:rsidR="00E26C8E" w:rsidRPr="00E26C8E" w:rsidRDefault="00E26C8E" w:rsidP="00E26C8E">
      <w:pPr>
        <w:ind w:left="851"/>
        <w:rPr>
          <w:rFonts w:eastAsia="Times New Roman"/>
          <w:szCs w:val="17"/>
        </w:rPr>
      </w:pPr>
      <w:r w:rsidRPr="00E26C8E">
        <w:rPr>
          <w:rFonts w:eastAsia="Times New Roman"/>
          <w:szCs w:val="17"/>
        </w:rPr>
        <w:t>Provide a description of the following, as a minimum:</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regional geology</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local geology within the tenement area and geological map(s) (as per 7.1.1.2), including but not limited to:</w:t>
      </w:r>
    </w:p>
    <w:p w:rsidR="00E26C8E" w:rsidRPr="00E26C8E" w:rsidRDefault="00E26C8E" w:rsidP="00E26C8E">
      <w:pPr>
        <w:ind w:left="1418" w:hanging="284"/>
        <w:rPr>
          <w:rFonts w:eastAsia="Times New Roman"/>
          <w:szCs w:val="17"/>
        </w:rPr>
      </w:pPr>
      <w:r w:rsidRPr="00E26C8E">
        <w:rPr>
          <w:rFonts w:eastAsia="Times New Roman"/>
          <w:szCs w:val="17"/>
        </w:rPr>
        <w:t>◦</w:t>
      </w:r>
      <w:r w:rsidRPr="00E26C8E">
        <w:rPr>
          <w:rFonts w:eastAsia="Times New Roman"/>
          <w:szCs w:val="17"/>
        </w:rPr>
        <w:tab/>
        <w:t>location, dimensions and orientation (dip and strike), and extent of the mineral resource and ore reserve</w:t>
      </w:r>
    </w:p>
    <w:p w:rsidR="00E26C8E" w:rsidRPr="00E26C8E" w:rsidRDefault="00E26C8E" w:rsidP="00E26C8E">
      <w:pPr>
        <w:ind w:left="1418" w:hanging="284"/>
        <w:rPr>
          <w:rFonts w:eastAsia="Times New Roman"/>
          <w:szCs w:val="17"/>
        </w:rPr>
      </w:pPr>
      <w:r w:rsidRPr="00E26C8E">
        <w:rPr>
          <w:rFonts w:eastAsia="Times New Roman"/>
          <w:szCs w:val="17"/>
        </w:rPr>
        <w:t>◦</w:t>
      </w:r>
      <w:r w:rsidRPr="00E26C8E">
        <w:rPr>
          <w:rFonts w:eastAsia="Times New Roman"/>
          <w:szCs w:val="17"/>
        </w:rPr>
        <w:tab/>
        <w:t>location and composition of all rock types and rock units that are proposed to be disturbed</w:t>
      </w:r>
    </w:p>
    <w:p w:rsidR="00E26C8E" w:rsidRPr="00E26C8E" w:rsidRDefault="00E26C8E" w:rsidP="00E26C8E">
      <w:pPr>
        <w:ind w:left="1418" w:hanging="284"/>
        <w:rPr>
          <w:rFonts w:eastAsia="Times New Roman"/>
          <w:szCs w:val="17"/>
        </w:rPr>
      </w:pPr>
      <w:r w:rsidRPr="00E26C8E">
        <w:rPr>
          <w:rFonts w:eastAsia="Times New Roman"/>
          <w:szCs w:val="17"/>
        </w:rPr>
        <w:t>◦</w:t>
      </w:r>
      <w:r w:rsidRPr="00E26C8E">
        <w:rPr>
          <w:rFonts w:eastAsia="Times New Roman"/>
          <w:szCs w:val="17"/>
        </w:rPr>
        <w:tab/>
        <w:t>interpretation of the stratigraphy of the rocks hosting the deposit as well as any overlying and adjacent rock units; and</w:t>
      </w:r>
    </w:p>
    <w:p w:rsidR="00E26C8E" w:rsidRPr="00E26C8E" w:rsidRDefault="00E26C8E" w:rsidP="00E26C8E">
      <w:pPr>
        <w:ind w:left="1418" w:hanging="284"/>
        <w:rPr>
          <w:rFonts w:eastAsia="Times New Roman"/>
          <w:szCs w:val="17"/>
        </w:rPr>
      </w:pPr>
      <w:r w:rsidRPr="00E26C8E">
        <w:rPr>
          <w:rFonts w:eastAsia="Times New Roman"/>
          <w:szCs w:val="17"/>
        </w:rPr>
        <w:t>◦</w:t>
      </w:r>
      <w:r w:rsidRPr="00E26C8E">
        <w:rPr>
          <w:rFonts w:eastAsia="Times New Roman"/>
          <w:szCs w:val="17"/>
        </w:rPr>
        <w:tab/>
        <w:t>an indication of the potential for extension to the orebody</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representative cross-sections and long section (as per 7.2.1.1) of the geology of the tenement area; and</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the exploration data on which the geological interpretation was based.</w:t>
      </w:r>
    </w:p>
    <w:p w:rsidR="00E26C8E" w:rsidRPr="00E26C8E" w:rsidRDefault="00E26C8E" w:rsidP="00E26C8E">
      <w:pPr>
        <w:ind w:left="851" w:hanging="425"/>
        <w:rPr>
          <w:rFonts w:eastAsia="Times New Roman"/>
          <w:b/>
          <w:szCs w:val="17"/>
        </w:rPr>
      </w:pPr>
      <w:r w:rsidRPr="00E26C8E">
        <w:rPr>
          <w:rFonts w:eastAsia="Times New Roman"/>
          <w:b/>
          <w:szCs w:val="17"/>
        </w:rPr>
        <w:t>1.5</w:t>
      </w:r>
      <w:r w:rsidRPr="00E26C8E">
        <w:rPr>
          <w:rFonts w:eastAsia="Times New Roman"/>
          <w:b/>
          <w:szCs w:val="17"/>
        </w:rPr>
        <w:tab/>
        <w:t>Geochemistry and geohazards</w:t>
      </w:r>
    </w:p>
    <w:p w:rsidR="00E26C8E" w:rsidRPr="00E26C8E" w:rsidRDefault="00E26C8E" w:rsidP="00E26C8E">
      <w:pPr>
        <w:ind w:left="851"/>
        <w:rPr>
          <w:rFonts w:eastAsia="Times New Roman"/>
          <w:szCs w:val="17"/>
        </w:rPr>
      </w:pPr>
      <w:r w:rsidRPr="00E26C8E">
        <w:rPr>
          <w:rFonts w:eastAsia="Times New Roman"/>
          <w:szCs w:val="17"/>
        </w:rPr>
        <w:t>Provide:</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a geochemical assessment of all rock types that are proposed to be disturbed, based on representative sampling and analysis that includes the identification and quantification of, but not limited to, sulfide minerals that have the potential to generate acid or mobilise metals into the environment; and</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a mineralogical assessment of all the rock types that are proposed to be disturbed, based on representative sampling and analysis for the presence and quantification of (but not limited to) radioactive minerals, asbestiform minerals or minerals that have the potential to produce respirable silica.</w:t>
      </w:r>
    </w:p>
    <w:p w:rsidR="00E26C8E" w:rsidRPr="00E26C8E" w:rsidRDefault="00E26C8E" w:rsidP="00E26C8E">
      <w:pPr>
        <w:ind w:left="851"/>
        <w:rPr>
          <w:rFonts w:eastAsia="Times New Roman"/>
          <w:szCs w:val="17"/>
        </w:rPr>
      </w:pPr>
      <w:r w:rsidRPr="00E26C8E">
        <w:rPr>
          <w:rFonts w:eastAsia="Times New Roman"/>
          <w:szCs w:val="17"/>
        </w:rPr>
        <w:t>Describe the potential for any of the following natural geohazards to be present in the tenement area and show on a map:</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structural instability, including slips, faults, karst features or geological discontinuities; and</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major seismic events (based on historical data).</w:t>
      </w:r>
    </w:p>
    <w:p w:rsidR="00E26C8E" w:rsidRPr="00E26C8E" w:rsidRDefault="00E26C8E" w:rsidP="00E26C8E">
      <w:pPr>
        <w:ind w:left="851" w:hanging="425"/>
        <w:rPr>
          <w:rFonts w:eastAsia="Times New Roman"/>
          <w:b/>
          <w:szCs w:val="17"/>
        </w:rPr>
      </w:pPr>
      <w:r w:rsidRPr="00E26C8E">
        <w:rPr>
          <w:rFonts w:eastAsia="Times New Roman"/>
          <w:b/>
          <w:szCs w:val="17"/>
        </w:rPr>
        <w:t>1.6</w:t>
      </w:r>
      <w:r w:rsidRPr="00E26C8E">
        <w:rPr>
          <w:rFonts w:eastAsia="Times New Roman"/>
          <w:b/>
          <w:szCs w:val="17"/>
        </w:rPr>
        <w:tab/>
        <w:t>Groundwater</w:t>
      </w:r>
    </w:p>
    <w:p w:rsidR="00E26C8E" w:rsidRPr="00E26C8E" w:rsidRDefault="00E26C8E" w:rsidP="00E26C8E">
      <w:pPr>
        <w:ind w:left="851"/>
        <w:rPr>
          <w:rFonts w:eastAsia="Times New Roman"/>
          <w:szCs w:val="17"/>
        </w:rPr>
      </w:pPr>
      <w:r w:rsidRPr="00E26C8E">
        <w:rPr>
          <w:rFonts w:eastAsia="Times New Roman"/>
          <w:szCs w:val="17"/>
        </w:rPr>
        <w:t>If all proposed mining operations are to occur at least 3 m above the seasonally high water table, provide:</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a statement that all proposed mining operations are to occur at least 3 m above the seasonally high water table</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a statement that the proposed mining operations will not /are unlikely to increase the seasonally high water table to within 3 m of the mining operations anywhere within the lease tenement area</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an assessment of the position of the seasonally high water table beneath the entire lease tenement area; and</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the drillhole, borehole and hydrogeological data and information the assessment is based on.</w:t>
      </w:r>
    </w:p>
    <w:p w:rsidR="00E26C8E" w:rsidRPr="00E26C8E" w:rsidRDefault="00E26C8E" w:rsidP="00E26C8E">
      <w:pPr>
        <w:ind w:left="851"/>
        <w:rPr>
          <w:rFonts w:eastAsia="Times New Roman"/>
          <w:szCs w:val="17"/>
        </w:rPr>
      </w:pPr>
      <w:r w:rsidRPr="00E26C8E">
        <w:rPr>
          <w:rFonts w:eastAsia="Times New Roman"/>
          <w:szCs w:val="17"/>
        </w:rPr>
        <w:t>If any part of the proposed mining operations is likely to occur within 3 m of the seasonally high water table, or the proposed mining operations will/are likely to increase the seasonally high water table to within 3 m of the mining operations, or the proposed mining operations are likely to intersect aquifer unit(s), provide:</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 xml:space="preserve">a statement describing if the tenement area is within an area where the water resources are prescribed under the </w:t>
      </w:r>
      <w:r w:rsidRPr="00E26C8E">
        <w:rPr>
          <w:rFonts w:eastAsia="Times New Roman"/>
          <w:i/>
          <w:szCs w:val="17"/>
        </w:rPr>
        <w:t>Landscape South Australia Act 2019</w:t>
      </w:r>
      <w:r w:rsidRPr="00E26C8E">
        <w:rPr>
          <w:rFonts w:eastAsia="Times New Roman"/>
          <w:szCs w:val="17"/>
        </w:rPr>
        <w:t xml:space="preserve"> and details on the current availability of groundwater resources within the prescribed area</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a description of the local and regional hydrogeology, detailing both the stratigraphy and hydrostratigraphy</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a detailed baseline description of the groundwater characteristics and flow dynamics for aquifers within the tenement area which includes:</w:t>
      </w:r>
    </w:p>
    <w:p w:rsidR="00E26C8E" w:rsidRPr="00E26C8E" w:rsidRDefault="00E26C8E" w:rsidP="00E26C8E">
      <w:pPr>
        <w:ind w:left="1418" w:hanging="284"/>
        <w:rPr>
          <w:rFonts w:eastAsia="Times New Roman"/>
          <w:szCs w:val="17"/>
        </w:rPr>
      </w:pPr>
      <w:r w:rsidRPr="00E26C8E">
        <w:rPr>
          <w:rFonts w:eastAsia="Times New Roman"/>
          <w:szCs w:val="17"/>
        </w:rPr>
        <w:t>◦</w:t>
      </w:r>
      <w:r w:rsidRPr="00E26C8E">
        <w:rPr>
          <w:rFonts w:eastAsia="Times New Roman"/>
          <w:szCs w:val="17"/>
        </w:rPr>
        <w:tab/>
        <w:t>static water levels and groundwater heads/groundwater elevations, including seasonal fluctuations for each aquifer</w:t>
      </w:r>
    </w:p>
    <w:p w:rsidR="00E26C8E" w:rsidRPr="00E26C8E" w:rsidRDefault="00E26C8E" w:rsidP="00E26C8E">
      <w:pPr>
        <w:ind w:left="1418" w:hanging="284"/>
        <w:rPr>
          <w:rFonts w:eastAsia="Times New Roman"/>
          <w:szCs w:val="17"/>
        </w:rPr>
      </w:pPr>
      <w:r w:rsidRPr="00E26C8E">
        <w:rPr>
          <w:rFonts w:eastAsia="Times New Roman"/>
          <w:szCs w:val="17"/>
        </w:rPr>
        <w:t>◦</w:t>
      </w:r>
      <w:r w:rsidRPr="00E26C8E">
        <w:rPr>
          <w:rFonts w:eastAsia="Times New Roman"/>
          <w:szCs w:val="17"/>
        </w:rPr>
        <w:tab/>
        <w:t>baseline groundwater hydrochemistry and mineralogy, including any seasonal fluctuations and spatial variability for each aquifer</w:t>
      </w:r>
    </w:p>
    <w:p w:rsidR="00E26C8E" w:rsidRPr="00E26C8E" w:rsidRDefault="00E26C8E" w:rsidP="00E26C8E">
      <w:pPr>
        <w:ind w:left="1418" w:hanging="284"/>
        <w:rPr>
          <w:rFonts w:eastAsia="Times New Roman"/>
          <w:szCs w:val="17"/>
        </w:rPr>
      </w:pPr>
      <w:r w:rsidRPr="00E26C8E">
        <w:rPr>
          <w:rFonts w:eastAsia="Times New Roman"/>
          <w:szCs w:val="17"/>
        </w:rPr>
        <w:t>◦</w:t>
      </w:r>
      <w:r w:rsidRPr="00E26C8E">
        <w:rPr>
          <w:rFonts w:eastAsia="Times New Roman"/>
          <w:szCs w:val="17"/>
        </w:rPr>
        <w:tab/>
        <w:t>aquifer properties including hydraulic conductivity, transmissivity, specific yield, storage coefficient, total porosity, effective porosity and aquifer thickness</w:t>
      </w:r>
    </w:p>
    <w:p w:rsidR="00E26C8E" w:rsidRPr="00E26C8E" w:rsidRDefault="00E26C8E" w:rsidP="00E26C8E">
      <w:pPr>
        <w:ind w:left="1418" w:hanging="284"/>
        <w:rPr>
          <w:rFonts w:eastAsia="Times New Roman"/>
          <w:szCs w:val="17"/>
        </w:rPr>
      </w:pPr>
      <w:r w:rsidRPr="00E26C8E">
        <w:rPr>
          <w:rFonts w:eastAsia="Times New Roman"/>
          <w:szCs w:val="17"/>
        </w:rPr>
        <w:t>◦</w:t>
      </w:r>
      <w:r w:rsidRPr="00E26C8E">
        <w:rPr>
          <w:rFonts w:eastAsia="Times New Roman"/>
          <w:szCs w:val="17"/>
        </w:rPr>
        <w:tab/>
        <w:t>recharge and discharge mechanisms</w:t>
      </w:r>
    </w:p>
    <w:p w:rsidR="00E26C8E" w:rsidRPr="00E26C8E" w:rsidRDefault="00E26C8E" w:rsidP="00E26C8E">
      <w:pPr>
        <w:ind w:left="1418" w:hanging="284"/>
        <w:rPr>
          <w:rFonts w:eastAsia="Times New Roman"/>
          <w:szCs w:val="17"/>
        </w:rPr>
      </w:pPr>
      <w:r w:rsidRPr="00E26C8E">
        <w:rPr>
          <w:rFonts w:eastAsia="Times New Roman"/>
          <w:szCs w:val="17"/>
        </w:rPr>
        <w:t>◦</w:t>
      </w:r>
      <w:r w:rsidRPr="00E26C8E">
        <w:rPr>
          <w:rFonts w:eastAsia="Times New Roman"/>
          <w:szCs w:val="17"/>
        </w:rPr>
        <w:tab/>
        <w:t>hydrogeological characteristics of confining strata, including hydraulic conductivity and thickness</w:t>
      </w:r>
    </w:p>
    <w:p w:rsidR="00E26C8E" w:rsidRPr="00E26C8E" w:rsidRDefault="00E26C8E" w:rsidP="00E26C8E">
      <w:pPr>
        <w:ind w:left="1418" w:hanging="284"/>
        <w:rPr>
          <w:rFonts w:eastAsia="Times New Roman"/>
          <w:szCs w:val="17"/>
        </w:rPr>
      </w:pPr>
      <w:r w:rsidRPr="00E26C8E">
        <w:rPr>
          <w:rFonts w:eastAsia="Times New Roman"/>
          <w:szCs w:val="17"/>
        </w:rPr>
        <w:t>◦</w:t>
      </w:r>
      <w:r w:rsidRPr="00E26C8E">
        <w:rPr>
          <w:rFonts w:eastAsia="Times New Roman"/>
          <w:szCs w:val="17"/>
        </w:rPr>
        <w:tab/>
        <w:t>connectivity between the proposed mining aquifer and lateral, overlying or underlying aquifers and surface water</w:t>
      </w:r>
    </w:p>
    <w:p w:rsidR="00E26C8E" w:rsidRPr="00E26C8E" w:rsidRDefault="00E26C8E" w:rsidP="00E26C8E">
      <w:pPr>
        <w:ind w:left="1418" w:hanging="284"/>
        <w:rPr>
          <w:rFonts w:eastAsia="Times New Roman"/>
          <w:szCs w:val="17"/>
        </w:rPr>
      </w:pPr>
      <w:r w:rsidRPr="00E26C8E">
        <w:rPr>
          <w:rFonts w:eastAsia="Times New Roman"/>
          <w:szCs w:val="17"/>
        </w:rPr>
        <w:t>◦</w:t>
      </w:r>
      <w:r w:rsidRPr="00E26C8E">
        <w:rPr>
          <w:rFonts w:eastAsia="Times New Roman"/>
          <w:szCs w:val="17"/>
        </w:rPr>
        <w:tab/>
        <w:t>conceptualisation of the hydrogeology: a summary of all above and a description of the hydrogeological setting considered important for impact assessment; and</w:t>
      </w:r>
    </w:p>
    <w:p w:rsidR="00E26C8E" w:rsidRPr="00E26C8E" w:rsidRDefault="00E26C8E" w:rsidP="00E26C8E">
      <w:pPr>
        <w:ind w:left="1418" w:hanging="284"/>
        <w:rPr>
          <w:rFonts w:eastAsia="Times New Roman"/>
          <w:szCs w:val="17"/>
        </w:rPr>
      </w:pPr>
      <w:r w:rsidRPr="00E26C8E">
        <w:rPr>
          <w:rFonts w:eastAsia="Times New Roman"/>
          <w:szCs w:val="17"/>
        </w:rPr>
        <w:t>◦</w:t>
      </w:r>
      <w:r w:rsidRPr="00E26C8E">
        <w:rPr>
          <w:rFonts w:eastAsia="Times New Roman"/>
          <w:szCs w:val="17"/>
        </w:rPr>
        <w:tab/>
        <w:t>a preliminary impact assessment/numerical model of groundwater flow (and contaminant transport model, if applicable), based on the conceptual hydrogeology.</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local and regional potentiometric surface/groundwater elevation map(s) (as per 7.1.1.3) for each aquifer within the tenement area</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cross-section(s) (as per 7.2.1.2) of the hydrostratigraphy</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the environmental value of each aquifer determined according to the Environment Protection (Water Quality) Policy 2015, or any subsequent updates</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a description of the existence, location, condition and value of all aquatic, terrestrial and subterranean Groundwater Dependent Ecosystems (GDEs) within the tenement area and within and immediately surrounding the extent of predicted hydrogeological impact of the proposed mine operations; and</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an assessment of any current or historical use of local groundwater by the landowner(s) and other users which includes a baseline survey of bores, including depth to groundwater, groundwater quality, bore construction details, status and purpose and collar/ground elevations.</w:t>
      </w:r>
    </w:p>
    <w:p w:rsidR="00E26C8E" w:rsidRPr="00E26C8E" w:rsidRDefault="00E26C8E" w:rsidP="00E26C8E">
      <w:pPr>
        <w:spacing w:after="0" w:line="240" w:lineRule="auto"/>
        <w:jc w:val="left"/>
        <w:rPr>
          <w:rFonts w:eastAsia="Times New Roman"/>
          <w:b/>
          <w:szCs w:val="17"/>
        </w:rPr>
      </w:pPr>
      <w:r w:rsidRPr="00E26C8E">
        <w:rPr>
          <w:rFonts w:eastAsia="Times New Roman"/>
          <w:b/>
          <w:szCs w:val="17"/>
        </w:rPr>
        <w:br w:type="page"/>
      </w:r>
    </w:p>
    <w:p w:rsidR="00E26C8E" w:rsidRPr="00E26C8E" w:rsidRDefault="00E26C8E" w:rsidP="00E26C8E">
      <w:pPr>
        <w:ind w:left="851" w:hanging="425"/>
        <w:rPr>
          <w:rFonts w:eastAsia="Times New Roman"/>
          <w:b/>
          <w:szCs w:val="17"/>
        </w:rPr>
      </w:pPr>
      <w:r w:rsidRPr="00E26C8E">
        <w:rPr>
          <w:rFonts w:eastAsia="Times New Roman"/>
          <w:b/>
          <w:szCs w:val="17"/>
        </w:rPr>
        <w:t>1.7</w:t>
      </w:r>
      <w:r w:rsidRPr="00E26C8E">
        <w:rPr>
          <w:rFonts w:eastAsia="Times New Roman"/>
          <w:b/>
          <w:szCs w:val="17"/>
        </w:rPr>
        <w:tab/>
        <w:t>Surface water</w:t>
      </w:r>
    </w:p>
    <w:p w:rsidR="00E26C8E" w:rsidRPr="00E26C8E" w:rsidRDefault="00E26C8E" w:rsidP="00E26C8E">
      <w:pPr>
        <w:ind w:left="851"/>
        <w:rPr>
          <w:rFonts w:eastAsia="Times New Roman"/>
          <w:szCs w:val="17"/>
        </w:rPr>
      </w:pPr>
      <w:r w:rsidRPr="00E26C8E">
        <w:rPr>
          <w:rFonts w:eastAsia="Times New Roman"/>
          <w:szCs w:val="17"/>
        </w:rPr>
        <w:t>Provide a topographic map (as per 7.1.1.1) and description of the current drainage patterns for the tenement area and water catchment including:</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location of watercourses, drains, dams and wetlands</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surface water catchment boundaries</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direction of drainage and discharge from the tenement area</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 xml:space="preserve">a statement describing if the tenement area is within an area where the water resources are prescribed under the </w:t>
      </w:r>
      <w:r w:rsidRPr="00E26C8E">
        <w:rPr>
          <w:rFonts w:eastAsia="Times New Roman"/>
          <w:i/>
          <w:szCs w:val="17"/>
        </w:rPr>
        <w:t>Landscape South Australia Act 2019</w:t>
      </w:r>
      <w:r w:rsidRPr="00E26C8E">
        <w:rPr>
          <w:rFonts w:eastAsia="Times New Roman"/>
          <w:szCs w:val="17"/>
        </w:rPr>
        <w:t>, and provide details on the current availability of water resources within the prescribed area</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 xml:space="preserve">a statement if the tenement area is within a water protection area including areas under the </w:t>
      </w:r>
      <w:r w:rsidRPr="00E26C8E">
        <w:rPr>
          <w:rFonts w:eastAsia="Times New Roman"/>
          <w:i/>
          <w:szCs w:val="17"/>
        </w:rPr>
        <w:t>River Murray Act 2003</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a statement as to whether the application falls within the Murray Darling Basin; and</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groundwater—surface water interactions.</w:t>
      </w:r>
    </w:p>
    <w:p w:rsidR="00E26C8E" w:rsidRPr="00E26C8E" w:rsidRDefault="00E26C8E" w:rsidP="00E26C8E">
      <w:pPr>
        <w:ind w:left="851"/>
        <w:rPr>
          <w:rFonts w:eastAsia="Times New Roman"/>
          <w:szCs w:val="17"/>
        </w:rPr>
      </w:pPr>
      <w:r w:rsidRPr="00E26C8E">
        <w:rPr>
          <w:rFonts w:eastAsia="Times New Roman"/>
          <w:szCs w:val="17"/>
        </w:rPr>
        <w:t>Provide water quality data for identified watercourses where there is potential for discharge into that watercourse from the proposed operation (whether intentional or not). Should identified watercourses be ephemeral, and it is not possible to collect water samples, provide a characterisation of sediments sampled from the watercourse bed upstream and downstream of the tenement area.</w:t>
      </w:r>
    </w:p>
    <w:p w:rsidR="00E26C8E" w:rsidRPr="00E26C8E" w:rsidRDefault="00E26C8E" w:rsidP="00E26C8E">
      <w:pPr>
        <w:ind w:left="851"/>
        <w:rPr>
          <w:rFonts w:eastAsia="Times New Roman"/>
          <w:szCs w:val="17"/>
        </w:rPr>
      </w:pPr>
      <w:r w:rsidRPr="00E26C8E">
        <w:rPr>
          <w:rFonts w:eastAsia="Times New Roman"/>
          <w:szCs w:val="17"/>
        </w:rPr>
        <w:t>If there is potential for changing a flow regime (including change in flow volume) or discharge into these watercourses from the proposed operations, an assessment of the use of this water by the landowner, downstream users and water dependent ecosystems must be included.</w:t>
      </w:r>
    </w:p>
    <w:p w:rsidR="00E26C8E" w:rsidRPr="00E26C8E" w:rsidRDefault="00E26C8E" w:rsidP="00E26C8E">
      <w:pPr>
        <w:ind w:left="851" w:hanging="425"/>
        <w:rPr>
          <w:rFonts w:eastAsia="Times New Roman"/>
          <w:b/>
          <w:szCs w:val="17"/>
        </w:rPr>
      </w:pPr>
      <w:r w:rsidRPr="00E26C8E">
        <w:rPr>
          <w:rFonts w:eastAsia="Times New Roman"/>
          <w:b/>
          <w:szCs w:val="17"/>
        </w:rPr>
        <w:t>1.8</w:t>
      </w:r>
      <w:r w:rsidRPr="00E26C8E">
        <w:rPr>
          <w:rFonts w:eastAsia="Times New Roman"/>
          <w:b/>
          <w:szCs w:val="17"/>
        </w:rPr>
        <w:tab/>
        <w:t>Vegetation, weeds and plant pathogens</w:t>
      </w:r>
    </w:p>
    <w:p w:rsidR="00E26C8E" w:rsidRPr="00E26C8E" w:rsidRDefault="00E26C8E" w:rsidP="00E26C8E">
      <w:pPr>
        <w:ind w:left="851"/>
        <w:rPr>
          <w:rFonts w:eastAsia="Times New Roman"/>
          <w:szCs w:val="17"/>
        </w:rPr>
      </w:pPr>
      <w:r w:rsidRPr="00E26C8E">
        <w:rPr>
          <w:rFonts w:eastAsia="Times New Roman"/>
          <w:szCs w:val="17"/>
        </w:rPr>
        <w:t>Provide:</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a description and map (as per 7.1.1.1) of existing flora (native and introduced) in the tenement area and surroundings</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the State conservation status and habitat value of native vegetation present in the tenement area</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 xml:space="preserve">a description of the presence of </w:t>
      </w:r>
      <w:r w:rsidRPr="00E26C8E">
        <w:rPr>
          <w:rFonts w:eastAsia="Times New Roman"/>
          <w:i/>
          <w:szCs w:val="17"/>
        </w:rPr>
        <w:t>Commonwealth Environment Protection and Biodiversity Conservation Act 1999</w:t>
      </w:r>
      <w:r w:rsidRPr="00E26C8E">
        <w:rPr>
          <w:rFonts w:eastAsia="Times New Roman"/>
          <w:szCs w:val="17"/>
        </w:rPr>
        <w:t>, listed species and ecological communities</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a description of the extent the tenement area and adjoining land is affected or potentially affected by pathogens and prescribed weeds; and</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if known, a description of the history of land use to identify if the existing vegetation is the result of deliberate cultivation or natural regrowth arising from previous clearance.</w:t>
      </w:r>
    </w:p>
    <w:p w:rsidR="00E26C8E" w:rsidRPr="00E26C8E" w:rsidRDefault="00E26C8E" w:rsidP="00E26C8E">
      <w:pPr>
        <w:ind w:left="851" w:hanging="425"/>
        <w:rPr>
          <w:rFonts w:eastAsia="Times New Roman"/>
          <w:b/>
          <w:szCs w:val="17"/>
        </w:rPr>
      </w:pPr>
      <w:r w:rsidRPr="00E26C8E">
        <w:rPr>
          <w:rFonts w:eastAsia="Times New Roman"/>
          <w:b/>
          <w:szCs w:val="17"/>
        </w:rPr>
        <w:t>1.9</w:t>
      </w:r>
      <w:r w:rsidRPr="00E26C8E">
        <w:rPr>
          <w:rFonts w:eastAsia="Times New Roman"/>
          <w:b/>
          <w:szCs w:val="17"/>
        </w:rPr>
        <w:tab/>
        <w:t>Fauna</w:t>
      </w:r>
    </w:p>
    <w:p w:rsidR="00E26C8E" w:rsidRPr="00E26C8E" w:rsidRDefault="00E26C8E" w:rsidP="00E26C8E">
      <w:pPr>
        <w:ind w:left="851"/>
        <w:rPr>
          <w:rFonts w:eastAsia="Times New Roman"/>
          <w:szCs w:val="17"/>
        </w:rPr>
      </w:pPr>
      <w:r w:rsidRPr="00E26C8E">
        <w:rPr>
          <w:rFonts w:eastAsia="Times New Roman"/>
          <w:szCs w:val="17"/>
        </w:rPr>
        <w:t>Describe the native and feral fauna that may be present in the tenement area noting State or Commonwealth conservation status of all species.</w:t>
      </w:r>
    </w:p>
    <w:p w:rsidR="00E26C8E" w:rsidRPr="00E26C8E" w:rsidRDefault="00E26C8E" w:rsidP="00E26C8E">
      <w:pPr>
        <w:ind w:left="851" w:hanging="425"/>
        <w:rPr>
          <w:rFonts w:eastAsia="Times New Roman"/>
          <w:b/>
          <w:szCs w:val="17"/>
        </w:rPr>
      </w:pPr>
      <w:r w:rsidRPr="00E26C8E">
        <w:rPr>
          <w:rFonts w:eastAsia="Times New Roman"/>
          <w:b/>
          <w:szCs w:val="17"/>
        </w:rPr>
        <w:t>1.10</w:t>
      </w:r>
      <w:r w:rsidRPr="00E26C8E">
        <w:rPr>
          <w:rFonts w:eastAsia="Times New Roman"/>
          <w:b/>
          <w:szCs w:val="17"/>
        </w:rPr>
        <w:tab/>
        <w:t>Caves</w:t>
      </w:r>
    </w:p>
    <w:p w:rsidR="00E26C8E" w:rsidRPr="00E26C8E" w:rsidRDefault="00E26C8E" w:rsidP="00E26C8E">
      <w:pPr>
        <w:ind w:left="851"/>
        <w:rPr>
          <w:rFonts w:eastAsia="Times New Roman"/>
          <w:szCs w:val="17"/>
        </w:rPr>
      </w:pPr>
      <w:r w:rsidRPr="00E26C8E">
        <w:rPr>
          <w:rFonts w:eastAsia="Times New Roman"/>
          <w:szCs w:val="17"/>
        </w:rPr>
        <w:t>If the tenement area is within, or near to, known caves or significant limestone formations, a survey for the presence of caves must be performed.</w:t>
      </w:r>
    </w:p>
    <w:p w:rsidR="00E26C8E" w:rsidRPr="00E26C8E" w:rsidRDefault="00E26C8E" w:rsidP="00E26C8E">
      <w:pPr>
        <w:ind w:left="851"/>
        <w:rPr>
          <w:rFonts w:eastAsia="Times New Roman"/>
          <w:szCs w:val="17"/>
        </w:rPr>
      </w:pPr>
      <w:r w:rsidRPr="00E26C8E">
        <w:rPr>
          <w:rFonts w:eastAsia="Times New Roman"/>
          <w:szCs w:val="17"/>
        </w:rPr>
        <w:t>Provide a summary of the results of the survey and describe the presence of any caves in karst (limestone) areas within, or near to, the tenement area and show on a map (as per 7.1.1.5).</w:t>
      </w:r>
    </w:p>
    <w:p w:rsidR="00E26C8E" w:rsidRPr="00E26C8E" w:rsidRDefault="00E26C8E" w:rsidP="00E26C8E">
      <w:pPr>
        <w:ind w:left="851" w:hanging="425"/>
        <w:rPr>
          <w:rFonts w:eastAsia="Times New Roman"/>
          <w:b/>
          <w:szCs w:val="17"/>
        </w:rPr>
      </w:pPr>
      <w:r w:rsidRPr="00E26C8E">
        <w:rPr>
          <w:rFonts w:eastAsia="Times New Roman"/>
          <w:b/>
          <w:szCs w:val="17"/>
        </w:rPr>
        <w:t>1.11</w:t>
      </w:r>
      <w:r w:rsidRPr="00E26C8E">
        <w:rPr>
          <w:rFonts w:eastAsia="Times New Roman"/>
          <w:b/>
          <w:szCs w:val="17"/>
        </w:rPr>
        <w:tab/>
        <w:t>Local community</w:t>
      </w:r>
    </w:p>
    <w:p w:rsidR="00E26C8E" w:rsidRPr="00E26C8E" w:rsidRDefault="00E26C8E" w:rsidP="00E26C8E">
      <w:pPr>
        <w:ind w:left="851"/>
        <w:rPr>
          <w:rFonts w:eastAsia="Times New Roman"/>
          <w:szCs w:val="17"/>
        </w:rPr>
      </w:pPr>
      <w:r w:rsidRPr="00E26C8E">
        <w:rPr>
          <w:rFonts w:eastAsia="Times New Roman"/>
          <w:szCs w:val="17"/>
        </w:rPr>
        <w:t>Provide:</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a description of the local population, the economy, services and employment; and</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details of nearest town or urban areas, with a summary of the demographics of the local population.</w:t>
      </w:r>
    </w:p>
    <w:p w:rsidR="00E26C8E" w:rsidRPr="00E26C8E" w:rsidRDefault="00E26C8E" w:rsidP="00E26C8E">
      <w:pPr>
        <w:ind w:left="851" w:hanging="425"/>
        <w:rPr>
          <w:rFonts w:eastAsia="Times New Roman"/>
          <w:b/>
          <w:szCs w:val="17"/>
        </w:rPr>
      </w:pPr>
      <w:r w:rsidRPr="00E26C8E">
        <w:rPr>
          <w:rFonts w:eastAsia="Times New Roman"/>
          <w:b/>
          <w:szCs w:val="17"/>
        </w:rPr>
        <w:t>1.12</w:t>
      </w:r>
      <w:r w:rsidRPr="00E26C8E">
        <w:rPr>
          <w:rFonts w:eastAsia="Times New Roman"/>
          <w:b/>
          <w:szCs w:val="17"/>
        </w:rPr>
        <w:tab/>
        <w:t>Landowners and land use</w:t>
      </w:r>
    </w:p>
    <w:p w:rsidR="00E26C8E" w:rsidRPr="00E26C8E" w:rsidRDefault="00E26C8E" w:rsidP="00E26C8E">
      <w:pPr>
        <w:ind w:left="851"/>
        <w:rPr>
          <w:rFonts w:eastAsia="Times New Roman"/>
          <w:szCs w:val="17"/>
        </w:rPr>
      </w:pPr>
      <w:r w:rsidRPr="00E26C8E">
        <w:rPr>
          <w:rFonts w:eastAsia="Times New Roman"/>
          <w:szCs w:val="17"/>
        </w:rPr>
        <w:t>Provide a description of:</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land ownership for all titles within and adjacent to the tenement area</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land use (historical and current) for the tenement area and the surrounding areas</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the zoning as defined by the Planning and Design Code or relevant council development plans</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policies relevant to the tenement area, including region or council wide, zone specific and sub areas within a zone</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known plans for potential future land use changes by other parties; and</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any other interests or restrictions on the tenement area, including:</w:t>
      </w:r>
    </w:p>
    <w:p w:rsidR="00E26C8E" w:rsidRPr="00E26C8E" w:rsidRDefault="00E26C8E" w:rsidP="00E26C8E">
      <w:pPr>
        <w:ind w:left="1418" w:hanging="284"/>
        <w:rPr>
          <w:rFonts w:eastAsia="Times New Roman"/>
          <w:szCs w:val="17"/>
        </w:rPr>
      </w:pPr>
      <w:r w:rsidRPr="00E26C8E">
        <w:rPr>
          <w:rFonts w:eastAsia="Times New Roman"/>
          <w:szCs w:val="17"/>
        </w:rPr>
        <w:t>◦</w:t>
      </w:r>
      <w:r w:rsidRPr="00E26C8E">
        <w:rPr>
          <w:rFonts w:eastAsia="Times New Roman"/>
          <w:szCs w:val="17"/>
        </w:rPr>
        <w:tab/>
        <w:t>public utility easements</w:t>
      </w:r>
    </w:p>
    <w:p w:rsidR="00E26C8E" w:rsidRPr="00E26C8E" w:rsidRDefault="00E26C8E" w:rsidP="00E26C8E">
      <w:pPr>
        <w:ind w:left="1418" w:hanging="284"/>
        <w:rPr>
          <w:rFonts w:eastAsia="Times New Roman"/>
          <w:szCs w:val="17"/>
        </w:rPr>
      </w:pPr>
      <w:r w:rsidRPr="00E26C8E">
        <w:rPr>
          <w:rFonts w:eastAsia="Times New Roman"/>
          <w:szCs w:val="17"/>
        </w:rPr>
        <w:t>◦</w:t>
      </w:r>
      <w:r w:rsidRPr="00E26C8E">
        <w:rPr>
          <w:rFonts w:eastAsia="Times New Roman"/>
          <w:szCs w:val="17"/>
        </w:rPr>
        <w:tab/>
        <w:t>if the application is within land used for defence purposes, including (but not limited to) the Woomera Prohibited Area or the Cultana Army Training Area</w:t>
      </w:r>
    </w:p>
    <w:p w:rsidR="00E26C8E" w:rsidRPr="00E26C8E" w:rsidRDefault="00E26C8E" w:rsidP="00E26C8E">
      <w:pPr>
        <w:ind w:left="1418" w:hanging="284"/>
        <w:rPr>
          <w:rFonts w:eastAsia="Times New Roman"/>
          <w:szCs w:val="17"/>
        </w:rPr>
      </w:pPr>
      <w:r w:rsidRPr="00E26C8E">
        <w:rPr>
          <w:rFonts w:eastAsia="Times New Roman"/>
          <w:szCs w:val="17"/>
        </w:rPr>
        <w:t>◦</w:t>
      </w:r>
      <w:r w:rsidRPr="00E26C8E">
        <w:rPr>
          <w:rFonts w:eastAsia="Times New Roman"/>
          <w:szCs w:val="17"/>
        </w:rPr>
        <w:tab/>
        <w:t>any overlapping or adjacent tenements under the</w:t>
      </w:r>
      <w:r w:rsidRPr="00E26C8E">
        <w:rPr>
          <w:rFonts w:eastAsia="Times New Roman"/>
          <w:i/>
          <w:szCs w:val="17"/>
        </w:rPr>
        <w:t xml:space="preserve"> Mining Act 1971</w:t>
      </w:r>
      <w:r w:rsidRPr="00E26C8E">
        <w:rPr>
          <w:rFonts w:eastAsia="Times New Roman"/>
          <w:szCs w:val="17"/>
        </w:rPr>
        <w:t xml:space="preserve">, or </w:t>
      </w:r>
      <w:r w:rsidRPr="00E26C8E">
        <w:rPr>
          <w:rFonts w:eastAsia="Times New Roman"/>
          <w:i/>
          <w:szCs w:val="17"/>
        </w:rPr>
        <w:t>Petroleum and Geothermal Energy Act 2000</w:t>
      </w:r>
      <w:r w:rsidRPr="00E26C8E">
        <w:rPr>
          <w:rFonts w:eastAsia="Times New Roman"/>
          <w:szCs w:val="17"/>
        </w:rPr>
        <w:t>.</w:t>
      </w:r>
    </w:p>
    <w:p w:rsidR="00E26C8E" w:rsidRPr="00E26C8E" w:rsidRDefault="00E26C8E" w:rsidP="00E26C8E">
      <w:pPr>
        <w:ind w:left="851" w:hanging="425"/>
        <w:rPr>
          <w:rFonts w:eastAsia="Times New Roman"/>
          <w:b/>
          <w:szCs w:val="17"/>
        </w:rPr>
      </w:pPr>
      <w:r w:rsidRPr="00E26C8E">
        <w:rPr>
          <w:rFonts w:eastAsia="Times New Roman"/>
          <w:b/>
          <w:szCs w:val="17"/>
        </w:rPr>
        <w:t>1.13</w:t>
      </w:r>
      <w:r w:rsidRPr="00E26C8E">
        <w:rPr>
          <w:rFonts w:eastAsia="Times New Roman"/>
          <w:b/>
          <w:szCs w:val="17"/>
        </w:rPr>
        <w:tab/>
        <w:t>Proximity to infrastructure and housing</w:t>
      </w:r>
    </w:p>
    <w:p w:rsidR="00E26C8E" w:rsidRPr="00E26C8E" w:rsidRDefault="00E26C8E" w:rsidP="00E26C8E">
      <w:pPr>
        <w:ind w:left="851"/>
        <w:rPr>
          <w:rFonts w:eastAsia="Times New Roman"/>
          <w:szCs w:val="17"/>
        </w:rPr>
      </w:pPr>
      <w:r w:rsidRPr="00E26C8E">
        <w:rPr>
          <w:rFonts w:eastAsia="Times New Roman"/>
          <w:szCs w:val="17"/>
        </w:rPr>
        <w:t>Provide information and a map (as per 7.1.1.4):</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identifying residences within and near the tenement area</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identifying other human infrastructure such as (but not limited to) schools, hospitals, commercial or industrial sites, roads, sheds, bores, dams, ruins, pumps, cemeteries, scenic lookouts, roads, railway lines, fences, transmission lines, gas and water pipelines, and telephone lines (both underground and above ground); and</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identifying public roads to be utilised or affected as part of proposed operations, including an estimate of the existing traffic movements.</w:t>
      </w:r>
    </w:p>
    <w:p w:rsidR="00E26C8E" w:rsidRPr="00E26C8E" w:rsidRDefault="00E26C8E" w:rsidP="00E26C8E">
      <w:pPr>
        <w:spacing w:after="0" w:line="240" w:lineRule="auto"/>
        <w:jc w:val="left"/>
        <w:rPr>
          <w:rFonts w:eastAsia="Times New Roman"/>
          <w:b/>
          <w:szCs w:val="17"/>
        </w:rPr>
      </w:pPr>
      <w:r w:rsidRPr="00E26C8E">
        <w:rPr>
          <w:rFonts w:eastAsia="Times New Roman"/>
          <w:b/>
          <w:szCs w:val="17"/>
        </w:rPr>
        <w:br w:type="page"/>
      </w:r>
    </w:p>
    <w:p w:rsidR="00E26C8E" w:rsidRPr="00E26C8E" w:rsidRDefault="00E26C8E" w:rsidP="00E26C8E">
      <w:pPr>
        <w:spacing w:after="60"/>
        <w:ind w:left="851" w:hanging="425"/>
        <w:rPr>
          <w:rFonts w:eastAsia="Times New Roman"/>
          <w:b/>
          <w:szCs w:val="17"/>
        </w:rPr>
      </w:pPr>
      <w:r w:rsidRPr="00E26C8E">
        <w:rPr>
          <w:rFonts w:eastAsia="Times New Roman"/>
          <w:b/>
          <w:szCs w:val="17"/>
        </w:rPr>
        <w:t>1.14</w:t>
      </w:r>
      <w:r w:rsidRPr="00E26C8E">
        <w:rPr>
          <w:rFonts w:eastAsia="Times New Roman"/>
          <w:b/>
          <w:szCs w:val="17"/>
        </w:rPr>
        <w:tab/>
        <w:t>Exempt land</w:t>
      </w:r>
    </w:p>
    <w:p w:rsidR="00E26C8E" w:rsidRPr="00E26C8E" w:rsidRDefault="00E26C8E" w:rsidP="00E26C8E">
      <w:pPr>
        <w:spacing w:after="60"/>
        <w:ind w:left="851"/>
        <w:rPr>
          <w:rFonts w:eastAsia="Times New Roman"/>
          <w:szCs w:val="17"/>
        </w:rPr>
      </w:pPr>
      <w:r w:rsidRPr="00E26C8E">
        <w:rPr>
          <w:rFonts w:eastAsia="Times New Roman"/>
          <w:szCs w:val="17"/>
        </w:rPr>
        <w:t>Provide a description and map (as per 7.1.1.4) of any applicable exempt land under Section 9 of the</w:t>
      </w:r>
      <w:r w:rsidRPr="00E26C8E">
        <w:rPr>
          <w:rFonts w:eastAsia="Times New Roman"/>
          <w:i/>
          <w:szCs w:val="17"/>
        </w:rPr>
        <w:t xml:space="preserve"> Mining Act 1971</w:t>
      </w:r>
      <w:r w:rsidRPr="00E26C8E">
        <w:rPr>
          <w:rFonts w:eastAsia="Times New Roman"/>
          <w:szCs w:val="17"/>
        </w:rPr>
        <w:t>.</w:t>
      </w:r>
    </w:p>
    <w:p w:rsidR="00E26C8E" w:rsidRPr="00E26C8E" w:rsidRDefault="00E26C8E" w:rsidP="00E26C8E">
      <w:pPr>
        <w:spacing w:after="60"/>
        <w:ind w:left="851" w:hanging="425"/>
        <w:rPr>
          <w:rFonts w:eastAsia="Times New Roman"/>
          <w:b/>
          <w:szCs w:val="17"/>
        </w:rPr>
      </w:pPr>
      <w:r w:rsidRPr="00E26C8E">
        <w:rPr>
          <w:rFonts w:eastAsia="Times New Roman"/>
          <w:b/>
          <w:szCs w:val="17"/>
        </w:rPr>
        <w:t>1.15</w:t>
      </w:r>
      <w:r w:rsidRPr="00E26C8E">
        <w:rPr>
          <w:rFonts w:eastAsia="Times New Roman"/>
          <w:b/>
          <w:szCs w:val="17"/>
        </w:rPr>
        <w:tab/>
        <w:t>Amenity</w:t>
      </w:r>
    </w:p>
    <w:p w:rsidR="00E26C8E" w:rsidRPr="00E26C8E" w:rsidRDefault="00E26C8E" w:rsidP="00E26C8E">
      <w:pPr>
        <w:spacing w:after="60"/>
        <w:ind w:left="851"/>
        <w:rPr>
          <w:rFonts w:eastAsia="Times New Roman"/>
          <w:szCs w:val="17"/>
        </w:rPr>
      </w:pPr>
      <w:r w:rsidRPr="00E26C8E">
        <w:rPr>
          <w:rFonts w:eastAsia="Times New Roman"/>
          <w:szCs w:val="17"/>
        </w:rPr>
        <w:t>Provide a description of scenic or aesthetic values for the tenement area and immediate surrounds, including features of community, tourist or visitor interest.</w:t>
      </w:r>
    </w:p>
    <w:p w:rsidR="00E26C8E" w:rsidRPr="00E26C8E" w:rsidRDefault="00E26C8E" w:rsidP="00E26C8E">
      <w:pPr>
        <w:spacing w:after="60"/>
        <w:ind w:left="851" w:hanging="425"/>
        <w:rPr>
          <w:rFonts w:eastAsia="Times New Roman"/>
          <w:b/>
          <w:szCs w:val="17"/>
        </w:rPr>
      </w:pPr>
      <w:r w:rsidRPr="00E26C8E">
        <w:rPr>
          <w:rFonts w:eastAsia="Times New Roman"/>
          <w:b/>
          <w:szCs w:val="17"/>
        </w:rPr>
        <w:t>1.16</w:t>
      </w:r>
      <w:r w:rsidRPr="00E26C8E">
        <w:rPr>
          <w:rFonts w:eastAsia="Times New Roman"/>
          <w:b/>
          <w:szCs w:val="17"/>
        </w:rPr>
        <w:tab/>
        <w:t>Air quality</w:t>
      </w:r>
    </w:p>
    <w:p w:rsidR="00E26C8E" w:rsidRPr="00E26C8E" w:rsidRDefault="00E26C8E" w:rsidP="00E26C8E">
      <w:pPr>
        <w:spacing w:after="60"/>
        <w:ind w:left="851"/>
        <w:rPr>
          <w:rFonts w:eastAsia="Times New Roman"/>
          <w:szCs w:val="17"/>
        </w:rPr>
      </w:pPr>
      <w:r w:rsidRPr="00E26C8E">
        <w:rPr>
          <w:rFonts w:eastAsia="Times New Roman"/>
          <w:szCs w:val="17"/>
        </w:rPr>
        <w:t>Provide a description of the existing levels of dust and contributors to air quality including odour (both natural and anthropogenic).</w:t>
      </w:r>
    </w:p>
    <w:p w:rsidR="00E26C8E" w:rsidRPr="00E26C8E" w:rsidRDefault="00E26C8E" w:rsidP="00E26C8E">
      <w:pPr>
        <w:spacing w:after="60"/>
        <w:ind w:left="851" w:hanging="425"/>
        <w:rPr>
          <w:rFonts w:eastAsia="Times New Roman"/>
          <w:b/>
          <w:szCs w:val="17"/>
        </w:rPr>
      </w:pPr>
      <w:r w:rsidRPr="00E26C8E">
        <w:rPr>
          <w:rFonts w:eastAsia="Times New Roman"/>
          <w:b/>
          <w:szCs w:val="17"/>
        </w:rPr>
        <w:t>1.17</w:t>
      </w:r>
      <w:r w:rsidRPr="00E26C8E">
        <w:rPr>
          <w:rFonts w:eastAsia="Times New Roman"/>
          <w:b/>
          <w:szCs w:val="17"/>
        </w:rPr>
        <w:tab/>
        <w:t>Noise</w:t>
      </w:r>
    </w:p>
    <w:p w:rsidR="00E26C8E" w:rsidRPr="00E26C8E" w:rsidRDefault="00E26C8E" w:rsidP="00E26C8E">
      <w:pPr>
        <w:spacing w:after="60"/>
        <w:ind w:left="851"/>
        <w:rPr>
          <w:rFonts w:eastAsia="Times New Roman"/>
          <w:szCs w:val="17"/>
        </w:rPr>
      </w:pPr>
      <w:r w:rsidRPr="00E26C8E">
        <w:rPr>
          <w:rFonts w:eastAsia="Times New Roman"/>
          <w:szCs w:val="17"/>
        </w:rPr>
        <w:t>Provide a description and measurement data of the existing levels of noise and contributors to noise (both natural and anthropogenic).</w:t>
      </w:r>
    </w:p>
    <w:p w:rsidR="00E26C8E" w:rsidRPr="00E26C8E" w:rsidRDefault="00E26C8E" w:rsidP="00E26C8E">
      <w:pPr>
        <w:spacing w:after="60"/>
        <w:ind w:left="851" w:hanging="425"/>
        <w:rPr>
          <w:rFonts w:eastAsia="Times New Roman"/>
          <w:b/>
          <w:szCs w:val="17"/>
        </w:rPr>
      </w:pPr>
      <w:r w:rsidRPr="00E26C8E">
        <w:rPr>
          <w:rFonts w:eastAsia="Times New Roman"/>
          <w:b/>
          <w:szCs w:val="17"/>
        </w:rPr>
        <w:t>1.18</w:t>
      </w:r>
      <w:r w:rsidRPr="00E26C8E">
        <w:rPr>
          <w:rFonts w:eastAsia="Times New Roman"/>
          <w:b/>
          <w:szCs w:val="17"/>
        </w:rPr>
        <w:tab/>
        <w:t>Heritage (Aboriginal, European, geological)</w:t>
      </w:r>
    </w:p>
    <w:p w:rsidR="00E26C8E" w:rsidRPr="00E26C8E" w:rsidRDefault="00E26C8E" w:rsidP="00E26C8E">
      <w:pPr>
        <w:spacing w:after="60"/>
        <w:ind w:left="851"/>
        <w:rPr>
          <w:rFonts w:eastAsia="Times New Roman"/>
          <w:szCs w:val="17"/>
        </w:rPr>
      </w:pPr>
      <w:r w:rsidRPr="00E26C8E">
        <w:rPr>
          <w:rFonts w:eastAsia="Times New Roman"/>
          <w:szCs w:val="17"/>
        </w:rPr>
        <w:t>Detail and show on a map (as per 7.1.1.1):</w:t>
      </w:r>
    </w:p>
    <w:p w:rsidR="00E26C8E" w:rsidRPr="00E26C8E" w:rsidRDefault="00E26C8E" w:rsidP="00E26C8E">
      <w:pPr>
        <w:spacing w:after="60"/>
        <w:ind w:left="1134" w:hanging="283"/>
        <w:rPr>
          <w:rFonts w:eastAsia="Times New Roman"/>
          <w:szCs w:val="17"/>
        </w:rPr>
      </w:pPr>
      <w:r w:rsidRPr="00E26C8E">
        <w:rPr>
          <w:rFonts w:eastAsia="Times New Roman"/>
          <w:szCs w:val="17"/>
        </w:rPr>
        <w:t>•</w:t>
      </w:r>
      <w:r w:rsidRPr="00E26C8E">
        <w:rPr>
          <w:rFonts w:eastAsia="Times New Roman"/>
          <w:szCs w:val="17"/>
        </w:rPr>
        <w:tab/>
        <w:t>any registered heritage sites in or adjacent to the tenement areas that are protected under legislation (in so far as may be permitted under the relevant legislation); and</w:t>
      </w:r>
    </w:p>
    <w:p w:rsidR="00E26C8E" w:rsidRPr="00E26C8E" w:rsidRDefault="00E26C8E" w:rsidP="00E26C8E">
      <w:pPr>
        <w:spacing w:after="60"/>
        <w:ind w:left="1134" w:hanging="283"/>
        <w:rPr>
          <w:rFonts w:eastAsia="Times New Roman"/>
          <w:szCs w:val="17"/>
        </w:rPr>
      </w:pPr>
      <w:r w:rsidRPr="00E26C8E">
        <w:rPr>
          <w:rFonts w:eastAsia="Times New Roman"/>
          <w:szCs w:val="17"/>
        </w:rPr>
        <w:t>•</w:t>
      </w:r>
      <w:r w:rsidRPr="00E26C8E">
        <w:rPr>
          <w:rFonts w:eastAsia="Times New Roman"/>
          <w:szCs w:val="17"/>
        </w:rPr>
        <w:tab/>
        <w:t>include a statement concerning whether or not an Aboriginal cultural heritage survey has been conducted by the proponent and if so, the results of the survey.</w:t>
      </w:r>
    </w:p>
    <w:p w:rsidR="00E26C8E" w:rsidRPr="00E26C8E" w:rsidRDefault="00E26C8E" w:rsidP="00E26C8E">
      <w:pPr>
        <w:spacing w:after="60"/>
        <w:ind w:left="851" w:hanging="425"/>
        <w:rPr>
          <w:rFonts w:eastAsia="Times New Roman"/>
          <w:b/>
          <w:szCs w:val="17"/>
        </w:rPr>
      </w:pPr>
      <w:r w:rsidRPr="00E26C8E">
        <w:rPr>
          <w:rFonts w:eastAsia="Times New Roman"/>
          <w:b/>
          <w:szCs w:val="17"/>
        </w:rPr>
        <w:t>1.19</w:t>
      </w:r>
      <w:r w:rsidRPr="00E26C8E">
        <w:rPr>
          <w:rFonts w:eastAsia="Times New Roman"/>
          <w:b/>
          <w:szCs w:val="17"/>
        </w:rPr>
        <w:tab/>
        <w:t>Proximity to conservation areas</w:t>
      </w:r>
    </w:p>
    <w:p w:rsidR="00E26C8E" w:rsidRPr="00E26C8E" w:rsidRDefault="00E26C8E" w:rsidP="00E26C8E">
      <w:pPr>
        <w:spacing w:after="60"/>
        <w:ind w:left="851"/>
        <w:rPr>
          <w:rFonts w:eastAsia="Times New Roman"/>
          <w:szCs w:val="17"/>
        </w:rPr>
      </w:pPr>
      <w:r w:rsidRPr="00E26C8E">
        <w:rPr>
          <w:rFonts w:eastAsia="Times New Roman"/>
          <w:szCs w:val="17"/>
        </w:rPr>
        <w:t>Provide:</w:t>
      </w:r>
    </w:p>
    <w:p w:rsidR="00E26C8E" w:rsidRPr="00E26C8E" w:rsidRDefault="00E26C8E" w:rsidP="00E26C8E">
      <w:pPr>
        <w:spacing w:after="60"/>
        <w:ind w:left="1134" w:hanging="283"/>
        <w:rPr>
          <w:rFonts w:eastAsia="Times New Roman"/>
          <w:szCs w:val="17"/>
        </w:rPr>
      </w:pPr>
      <w:r w:rsidRPr="00E26C8E">
        <w:rPr>
          <w:rFonts w:eastAsia="Times New Roman"/>
          <w:szCs w:val="17"/>
        </w:rPr>
        <w:t>•</w:t>
      </w:r>
      <w:r w:rsidRPr="00E26C8E">
        <w:rPr>
          <w:rFonts w:eastAsia="Times New Roman"/>
          <w:szCs w:val="17"/>
        </w:rPr>
        <w:tab/>
        <w:t>information and a map (as per 7.1.1.1) showing proximity to national parks and reserves, private conservation areas, Commonwealth-recognised conservation areas, heritage agreement areas and geological heritage sites; and</w:t>
      </w:r>
    </w:p>
    <w:p w:rsidR="00E26C8E" w:rsidRPr="00E26C8E" w:rsidRDefault="00E26C8E" w:rsidP="00E26C8E">
      <w:pPr>
        <w:spacing w:after="60"/>
        <w:ind w:left="1134" w:hanging="283"/>
        <w:rPr>
          <w:rFonts w:eastAsia="Times New Roman"/>
          <w:szCs w:val="17"/>
        </w:rPr>
      </w:pPr>
      <w:r w:rsidRPr="00E26C8E">
        <w:rPr>
          <w:rFonts w:eastAsia="Times New Roman"/>
          <w:szCs w:val="17"/>
        </w:rPr>
        <w:t>•</w:t>
      </w:r>
      <w:r w:rsidRPr="00E26C8E">
        <w:rPr>
          <w:rFonts w:eastAsia="Times New Roman"/>
          <w:szCs w:val="17"/>
        </w:rPr>
        <w:tab/>
        <w:t>a statement as to whether the tenement area falls within the Adelaide Dolphin Sanctuary, Adelaide International Bird Sanctuary or a Marine Park.</w:t>
      </w:r>
    </w:p>
    <w:p w:rsidR="00E26C8E" w:rsidRPr="00E26C8E" w:rsidRDefault="00E26C8E" w:rsidP="00E26C8E">
      <w:pPr>
        <w:spacing w:after="60"/>
        <w:ind w:left="851" w:hanging="425"/>
        <w:rPr>
          <w:rFonts w:eastAsia="Times New Roman"/>
          <w:b/>
          <w:szCs w:val="17"/>
        </w:rPr>
      </w:pPr>
      <w:r w:rsidRPr="00E26C8E">
        <w:rPr>
          <w:rFonts w:eastAsia="Times New Roman"/>
          <w:b/>
          <w:szCs w:val="17"/>
        </w:rPr>
        <w:t>1.20</w:t>
      </w:r>
      <w:r w:rsidRPr="00E26C8E">
        <w:rPr>
          <w:rFonts w:eastAsia="Times New Roman"/>
          <w:b/>
          <w:szCs w:val="17"/>
        </w:rPr>
        <w:tab/>
        <w:t>Pre-existing site contamination and previous disturbance</w:t>
      </w:r>
    </w:p>
    <w:p w:rsidR="00E26C8E" w:rsidRPr="00E26C8E" w:rsidRDefault="00E26C8E" w:rsidP="00E26C8E">
      <w:pPr>
        <w:spacing w:after="60"/>
        <w:ind w:left="851"/>
        <w:rPr>
          <w:rFonts w:eastAsia="Times New Roman"/>
          <w:szCs w:val="17"/>
        </w:rPr>
      </w:pPr>
      <w:r w:rsidRPr="00E26C8E">
        <w:rPr>
          <w:rFonts w:eastAsia="Times New Roman"/>
          <w:szCs w:val="17"/>
        </w:rPr>
        <w:t>Provide information and a map (as per 7.1.1.1) showing:</w:t>
      </w:r>
    </w:p>
    <w:p w:rsidR="00E26C8E" w:rsidRPr="00E26C8E" w:rsidRDefault="00E26C8E" w:rsidP="00E26C8E">
      <w:pPr>
        <w:spacing w:after="60"/>
        <w:ind w:left="1134" w:hanging="283"/>
        <w:rPr>
          <w:rFonts w:eastAsia="Times New Roman"/>
          <w:szCs w:val="17"/>
        </w:rPr>
      </w:pPr>
      <w:r w:rsidRPr="00E26C8E">
        <w:rPr>
          <w:rFonts w:eastAsia="Times New Roman"/>
          <w:szCs w:val="17"/>
        </w:rPr>
        <w:t>•</w:t>
      </w:r>
      <w:r w:rsidRPr="00E26C8E">
        <w:rPr>
          <w:rFonts w:eastAsia="Times New Roman"/>
          <w:szCs w:val="17"/>
        </w:rPr>
        <w:tab/>
        <w:t>any known existing contamination of the site and of any disturbance by previous operations or other activities.</w:t>
      </w:r>
    </w:p>
    <w:p w:rsidR="00E26C8E" w:rsidRPr="00E26C8E" w:rsidRDefault="00E26C8E" w:rsidP="00E26C8E">
      <w:pPr>
        <w:spacing w:after="60"/>
        <w:ind w:left="426" w:hanging="284"/>
        <w:rPr>
          <w:rFonts w:eastAsia="Times New Roman"/>
          <w:b/>
          <w:szCs w:val="17"/>
        </w:rPr>
      </w:pPr>
      <w:r w:rsidRPr="00E26C8E">
        <w:rPr>
          <w:rFonts w:eastAsia="Times New Roman"/>
          <w:b/>
          <w:szCs w:val="17"/>
        </w:rPr>
        <w:t>2.</w:t>
      </w:r>
      <w:r w:rsidRPr="00E26C8E">
        <w:rPr>
          <w:rFonts w:eastAsia="Times New Roman"/>
          <w:b/>
          <w:szCs w:val="17"/>
        </w:rPr>
        <w:tab/>
        <w:t>DESCRIPTION OF THE MINING OPERATIONS</w:t>
      </w:r>
    </w:p>
    <w:p w:rsidR="00E26C8E" w:rsidRPr="00E26C8E" w:rsidRDefault="00E26C8E" w:rsidP="00E26C8E">
      <w:pPr>
        <w:spacing w:after="60"/>
        <w:ind w:left="426"/>
        <w:rPr>
          <w:rFonts w:eastAsia="Times New Roman"/>
          <w:szCs w:val="17"/>
        </w:rPr>
      </w:pPr>
      <w:r w:rsidRPr="00E26C8E">
        <w:rPr>
          <w:rFonts w:eastAsia="Times New Roman"/>
          <w:szCs w:val="17"/>
        </w:rPr>
        <w:t>In specifying the authorised operations that are proposed in accordance with section 70B(2)(a) of the</w:t>
      </w:r>
      <w:r w:rsidRPr="00E26C8E">
        <w:rPr>
          <w:rFonts w:eastAsia="Times New Roman"/>
          <w:i/>
          <w:szCs w:val="17"/>
        </w:rPr>
        <w:t xml:space="preserve"> Mining Act 1971</w:t>
      </w:r>
      <w:r w:rsidRPr="00E26C8E">
        <w:rPr>
          <w:rFonts w:eastAsia="Times New Roman"/>
          <w:szCs w:val="17"/>
        </w:rPr>
        <w:t>, the Minister determines in accordance with regulation 63(3)(e) of the</w:t>
      </w:r>
      <w:r w:rsidRPr="00E26C8E">
        <w:rPr>
          <w:rFonts w:eastAsia="Times New Roman"/>
          <w:i/>
          <w:szCs w:val="17"/>
        </w:rPr>
        <w:t xml:space="preserve"> Mining Regulations 2020</w:t>
      </w:r>
      <w:r w:rsidRPr="00E26C8E">
        <w:rPr>
          <w:rFonts w:eastAsia="Times New Roman"/>
          <w:szCs w:val="17"/>
        </w:rPr>
        <w:t xml:space="preserve"> that a transitional PEPR must include a description of the proposed operations as set out in this Terms of Reference. Each of the elements listed in clauses 2.1–2.10 must be described only to the extent that they apply to the mining operation.</w:t>
      </w:r>
    </w:p>
    <w:p w:rsidR="00E26C8E" w:rsidRPr="00E26C8E" w:rsidRDefault="00E26C8E" w:rsidP="00E26C8E">
      <w:pPr>
        <w:spacing w:after="60"/>
        <w:ind w:left="851" w:hanging="425"/>
        <w:rPr>
          <w:rFonts w:eastAsia="Times New Roman"/>
          <w:b/>
          <w:szCs w:val="17"/>
        </w:rPr>
      </w:pPr>
      <w:r w:rsidRPr="00E26C8E">
        <w:rPr>
          <w:rFonts w:eastAsia="Times New Roman"/>
          <w:b/>
          <w:szCs w:val="17"/>
        </w:rPr>
        <w:t>2.1.</w:t>
      </w:r>
      <w:r w:rsidRPr="00E26C8E">
        <w:rPr>
          <w:rFonts w:eastAsia="Times New Roman"/>
          <w:b/>
          <w:szCs w:val="17"/>
        </w:rPr>
        <w:tab/>
        <w:t>General description and maps/plans of operations</w:t>
      </w:r>
    </w:p>
    <w:p w:rsidR="00E26C8E" w:rsidRPr="00E26C8E" w:rsidRDefault="00E26C8E" w:rsidP="00E26C8E">
      <w:pPr>
        <w:spacing w:after="60"/>
        <w:ind w:left="851"/>
        <w:rPr>
          <w:rFonts w:eastAsia="Times New Roman"/>
          <w:szCs w:val="17"/>
        </w:rPr>
      </w:pPr>
      <w:r w:rsidRPr="00E26C8E">
        <w:rPr>
          <w:rFonts w:eastAsia="Times New Roman"/>
          <w:szCs w:val="17"/>
        </w:rPr>
        <w:t>Provide a summary description of all elements of the operation, including mining, processing and waste management (include maps/plans and sections as per clause 7).</w:t>
      </w:r>
    </w:p>
    <w:p w:rsidR="00E26C8E" w:rsidRPr="00E26C8E" w:rsidRDefault="00E26C8E" w:rsidP="00E26C8E">
      <w:pPr>
        <w:spacing w:after="60"/>
        <w:ind w:left="851" w:hanging="425"/>
        <w:rPr>
          <w:rFonts w:eastAsia="Times New Roman"/>
          <w:b/>
          <w:szCs w:val="17"/>
        </w:rPr>
      </w:pPr>
      <w:r w:rsidRPr="00E26C8E">
        <w:rPr>
          <w:rFonts w:eastAsia="Times New Roman"/>
          <w:b/>
          <w:szCs w:val="17"/>
        </w:rPr>
        <w:t>2.2.</w:t>
      </w:r>
      <w:r w:rsidRPr="00E26C8E">
        <w:rPr>
          <w:rFonts w:eastAsia="Times New Roman"/>
          <w:b/>
          <w:szCs w:val="17"/>
        </w:rPr>
        <w:tab/>
        <w:t>Reserves, products and market</w:t>
      </w:r>
    </w:p>
    <w:p w:rsidR="00E26C8E" w:rsidRPr="00E26C8E" w:rsidRDefault="00E26C8E" w:rsidP="00E26C8E">
      <w:pPr>
        <w:spacing w:after="60"/>
        <w:ind w:left="1418" w:hanging="567"/>
        <w:rPr>
          <w:rFonts w:eastAsia="Times New Roman"/>
          <w:i/>
          <w:szCs w:val="17"/>
        </w:rPr>
      </w:pPr>
      <w:r w:rsidRPr="00E26C8E">
        <w:rPr>
          <w:rFonts w:eastAsia="Times New Roman"/>
          <w:i/>
          <w:szCs w:val="17"/>
        </w:rPr>
        <w:t>2.2.1</w:t>
      </w:r>
      <w:r w:rsidRPr="00E26C8E">
        <w:rPr>
          <w:rFonts w:eastAsia="Times New Roman"/>
          <w:i/>
          <w:szCs w:val="17"/>
        </w:rPr>
        <w:tab/>
        <w:t>Ore reserves or mineral resources (or both)</w:t>
      </w:r>
    </w:p>
    <w:p w:rsidR="00E26C8E" w:rsidRPr="00E26C8E" w:rsidRDefault="00E26C8E" w:rsidP="00E26C8E">
      <w:pPr>
        <w:spacing w:after="60"/>
        <w:ind w:left="1418"/>
        <w:rPr>
          <w:rFonts w:eastAsia="Times New Roman"/>
          <w:szCs w:val="17"/>
        </w:rPr>
      </w:pPr>
      <w:r w:rsidRPr="00E26C8E">
        <w:rPr>
          <w:rFonts w:eastAsia="Times New Roman"/>
          <w:szCs w:val="17"/>
        </w:rPr>
        <w:t>Provide:</w:t>
      </w:r>
    </w:p>
    <w:p w:rsidR="00E26C8E" w:rsidRPr="00E26C8E" w:rsidRDefault="00E26C8E" w:rsidP="00E26C8E">
      <w:pPr>
        <w:spacing w:after="60"/>
        <w:ind w:left="1701" w:hanging="283"/>
        <w:rPr>
          <w:rFonts w:eastAsia="Times New Roman"/>
          <w:szCs w:val="17"/>
        </w:rPr>
      </w:pPr>
      <w:r w:rsidRPr="00E26C8E">
        <w:rPr>
          <w:rFonts w:eastAsia="Times New Roman"/>
          <w:szCs w:val="17"/>
        </w:rPr>
        <w:t>•</w:t>
      </w:r>
      <w:r w:rsidRPr="00E26C8E">
        <w:rPr>
          <w:rFonts w:eastAsia="Times New Roman"/>
          <w:szCs w:val="17"/>
        </w:rPr>
        <w:tab/>
        <w:t>a statement of the current Australasian Joint Ore Reserves Committee (JORC) compliant ore reserve or mineral resource estimates (or both) in the tenement area; and</w:t>
      </w:r>
    </w:p>
    <w:p w:rsidR="00E26C8E" w:rsidRPr="00E26C8E" w:rsidRDefault="00E26C8E" w:rsidP="00E26C8E">
      <w:pPr>
        <w:spacing w:after="60"/>
        <w:ind w:left="1701" w:hanging="283"/>
        <w:rPr>
          <w:rFonts w:eastAsia="Times New Roman"/>
          <w:szCs w:val="17"/>
        </w:rPr>
      </w:pPr>
      <w:r w:rsidRPr="00E26C8E">
        <w:rPr>
          <w:rFonts w:eastAsia="Times New Roman"/>
          <w:szCs w:val="17"/>
        </w:rPr>
        <w:t>•</w:t>
      </w:r>
      <w:r w:rsidRPr="00E26C8E">
        <w:rPr>
          <w:rFonts w:eastAsia="Times New Roman"/>
          <w:szCs w:val="17"/>
        </w:rPr>
        <w:tab/>
        <w:t>a statement of what reserve and/or resource forms the basis for the mining operation;</w:t>
      </w:r>
    </w:p>
    <w:p w:rsidR="00E26C8E" w:rsidRPr="00E26C8E" w:rsidRDefault="00E26C8E" w:rsidP="00E26C8E">
      <w:pPr>
        <w:spacing w:after="60"/>
        <w:ind w:left="1418"/>
        <w:rPr>
          <w:rFonts w:eastAsia="Times New Roman"/>
          <w:szCs w:val="17"/>
        </w:rPr>
      </w:pPr>
      <w:r w:rsidRPr="00E26C8E">
        <w:rPr>
          <w:rFonts w:eastAsia="Times New Roman"/>
          <w:szCs w:val="17"/>
        </w:rPr>
        <w:t>or if a JORC compliant reserve or resource (or both) has not been reported:</w:t>
      </w:r>
    </w:p>
    <w:p w:rsidR="00E26C8E" w:rsidRPr="00E26C8E" w:rsidRDefault="00E26C8E" w:rsidP="00E26C8E">
      <w:pPr>
        <w:spacing w:after="60"/>
        <w:ind w:left="1701" w:hanging="283"/>
        <w:rPr>
          <w:rFonts w:eastAsia="Times New Roman"/>
          <w:szCs w:val="17"/>
        </w:rPr>
      </w:pPr>
      <w:r w:rsidRPr="00E26C8E">
        <w:rPr>
          <w:rFonts w:eastAsia="Times New Roman"/>
          <w:szCs w:val="17"/>
        </w:rPr>
        <w:t>•</w:t>
      </w:r>
      <w:r w:rsidRPr="00E26C8E">
        <w:rPr>
          <w:rFonts w:eastAsia="Times New Roman"/>
          <w:szCs w:val="17"/>
        </w:rPr>
        <w:tab/>
        <w:t>an estimate of the resource to be mined and the basis of this estimate.</w:t>
      </w:r>
    </w:p>
    <w:p w:rsidR="00E26C8E" w:rsidRPr="00E26C8E" w:rsidRDefault="00E26C8E" w:rsidP="00E26C8E">
      <w:pPr>
        <w:spacing w:after="60"/>
        <w:ind w:left="1418"/>
        <w:rPr>
          <w:rFonts w:eastAsia="Times New Roman"/>
          <w:szCs w:val="17"/>
        </w:rPr>
      </w:pPr>
      <w:r w:rsidRPr="00E26C8E">
        <w:rPr>
          <w:rFonts w:eastAsia="Times New Roman"/>
          <w:szCs w:val="17"/>
        </w:rPr>
        <w:t>Provide steps that have been taken to ensure mining operations will not sterilise/prevent future extraction of mineral resources.</w:t>
      </w:r>
    </w:p>
    <w:p w:rsidR="00E26C8E" w:rsidRPr="00E26C8E" w:rsidRDefault="00E26C8E" w:rsidP="00E26C8E">
      <w:pPr>
        <w:spacing w:after="60"/>
        <w:ind w:left="1418" w:hanging="567"/>
        <w:rPr>
          <w:rFonts w:eastAsia="Times New Roman"/>
          <w:szCs w:val="17"/>
        </w:rPr>
      </w:pPr>
      <w:r w:rsidRPr="00E26C8E">
        <w:rPr>
          <w:rFonts w:eastAsia="Times New Roman"/>
          <w:i/>
          <w:szCs w:val="17"/>
        </w:rPr>
        <w:t>2.2.2</w:t>
      </w:r>
      <w:r w:rsidRPr="00E26C8E">
        <w:rPr>
          <w:rFonts w:eastAsia="Times New Roman"/>
          <w:i/>
          <w:szCs w:val="17"/>
        </w:rPr>
        <w:tab/>
        <w:t>Production rate and products</w:t>
      </w:r>
    </w:p>
    <w:p w:rsidR="00E26C8E" w:rsidRPr="00E26C8E" w:rsidRDefault="00E26C8E" w:rsidP="00E26C8E">
      <w:pPr>
        <w:spacing w:after="60"/>
        <w:ind w:left="1418"/>
        <w:rPr>
          <w:rFonts w:eastAsia="Times New Roman"/>
          <w:szCs w:val="17"/>
        </w:rPr>
      </w:pPr>
      <w:r w:rsidRPr="00E26C8E">
        <w:rPr>
          <w:rFonts w:eastAsia="Times New Roman"/>
          <w:szCs w:val="17"/>
        </w:rPr>
        <w:t>Provide:</w:t>
      </w:r>
    </w:p>
    <w:p w:rsidR="00E26C8E" w:rsidRPr="00E26C8E" w:rsidRDefault="00E26C8E" w:rsidP="00E26C8E">
      <w:pPr>
        <w:spacing w:after="60"/>
        <w:ind w:left="1701" w:hanging="283"/>
        <w:rPr>
          <w:rFonts w:eastAsia="Times New Roman"/>
          <w:szCs w:val="17"/>
        </w:rPr>
      </w:pPr>
      <w:r w:rsidRPr="00E26C8E">
        <w:rPr>
          <w:rFonts w:eastAsia="Times New Roman"/>
          <w:szCs w:val="17"/>
        </w:rPr>
        <w:t>•</w:t>
      </w:r>
      <w:r w:rsidRPr="00E26C8E">
        <w:rPr>
          <w:rFonts w:eastAsia="Times New Roman"/>
          <w:szCs w:val="17"/>
        </w:rPr>
        <w:tab/>
        <w:t>a statement of the relevant commodities that are to be extracted, processed and sold, and the expected market or end use</w:t>
      </w:r>
    </w:p>
    <w:p w:rsidR="00E26C8E" w:rsidRPr="00E26C8E" w:rsidRDefault="00E26C8E" w:rsidP="00E26C8E">
      <w:pPr>
        <w:spacing w:after="60"/>
        <w:ind w:left="1701" w:hanging="283"/>
        <w:rPr>
          <w:rFonts w:eastAsia="Times New Roman"/>
          <w:szCs w:val="17"/>
        </w:rPr>
      </w:pPr>
      <w:r w:rsidRPr="00E26C8E">
        <w:rPr>
          <w:rFonts w:eastAsia="Times New Roman"/>
          <w:szCs w:val="17"/>
        </w:rPr>
        <w:t>•</w:t>
      </w:r>
      <w:r w:rsidRPr="00E26C8E">
        <w:rPr>
          <w:rFonts w:eastAsia="Times New Roman"/>
          <w:szCs w:val="17"/>
        </w:rPr>
        <w:tab/>
        <w:t>a statement of any other commodities present in the tenement area that are not to be recovered for sale, and the reasons for this decision</w:t>
      </w:r>
    </w:p>
    <w:p w:rsidR="00E26C8E" w:rsidRPr="00E26C8E" w:rsidRDefault="00E26C8E" w:rsidP="00E26C8E">
      <w:pPr>
        <w:spacing w:after="60"/>
        <w:ind w:left="1701" w:hanging="283"/>
        <w:rPr>
          <w:rFonts w:eastAsia="Times New Roman"/>
          <w:szCs w:val="17"/>
        </w:rPr>
      </w:pPr>
      <w:r w:rsidRPr="00E26C8E">
        <w:rPr>
          <w:rFonts w:eastAsia="Times New Roman"/>
          <w:szCs w:val="17"/>
        </w:rPr>
        <w:t>•</w:t>
      </w:r>
      <w:r w:rsidRPr="00E26C8E">
        <w:rPr>
          <w:rFonts w:eastAsia="Times New Roman"/>
          <w:szCs w:val="17"/>
        </w:rPr>
        <w:tab/>
        <w:t>a quantitative estimate of production of mine gate product(s) for the life of mine, and a schedule of the annual production of mine gate product(s); and</w:t>
      </w:r>
    </w:p>
    <w:p w:rsidR="00E26C8E" w:rsidRPr="00E26C8E" w:rsidRDefault="00E26C8E" w:rsidP="00E26C8E">
      <w:pPr>
        <w:spacing w:after="60"/>
        <w:ind w:left="1701" w:hanging="283"/>
        <w:rPr>
          <w:rFonts w:eastAsia="Times New Roman"/>
          <w:szCs w:val="17"/>
        </w:rPr>
      </w:pPr>
      <w:r w:rsidRPr="00E26C8E">
        <w:rPr>
          <w:rFonts w:eastAsia="Times New Roman"/>
          <w:szCs w:val="17"/>
        </w:rPr>
        <w:t>•</w:t>
      </w:r>
      <w:r w:rsidRPr="00E26C8E">
        <w:rPr>
          <w:rFonts w:eastAsia="Times New Roman"/>
          <w:szCs w:val="17"/>
        </w:rPr>
        <w:tab/>
        <w:t>a statement if any extractive minerals (as defined by Section 6 of the</w:t>
      </w:r>
      <w:r w:rsidRPr="00E26C8E">
        <w:rPr>
          <w:rFonts w:eastAsia="Times New Roman"/>
          <w:i/>
          <w:szCs w:val="17"/>
        </w:rPr>
        <w:t xml:space="preserve"> Mining Act 1971</w:t>
      </w:r>
      <w:r w:rsidRPr="00E26C8E">
        <w:rPr>
          <w:rFonts w:eastAsia="Times New Roman"/>
          <w:szCs w:val="17"/>
        </w:rPr>
        <w:t>) will leave the lease.</w:t>
      </w:r>
    </w:p>
    <w:p w:rsidR="00E26C8E" w:rsidRPr="00E26C8E" w:rsidRDefault="00E26C8E" w:rsidP="00E26C8E">
      <w:pPr>
        <w:spacing w:after="60"/>
        <w:ind w:left="851" w:hanging="425"/>
        <w:rPr>
          <w:rFonts w:eastAsia="Times New Roman"/>
          <w:b/>
          <w:szCs w:val="17"/>
        </w:rPr>
      </w:pPr>
      <w:r w:rsidRPr="00E26C8E">
        <w:rPr>
          <w:rFonts w:eastAsia="Times New Roman"/>
          <w:b/>
          <w:szCs w:val="17"/>
        </w:rPr>
        <w:t>2.3</w:t>
      </w:r>
      <w:r w:rsidRPr="00E26C8E">
        <w:rPr>
          <w:rFonts w:eastAsia="Times New Roman"/>
          <w:b/>
          <w:szCs w:val="17"/>
        </w:rPr>
        <w:tab/>
        <w:t>Exploration activities</w:t>
      </w:r>
    </w:p>
    <w:p w:rsidR="00E26C8E" w:rsidRPr="00E26C8E" w:rsidRDefault="00E26C8E" w:rsidP="00E26C8E">
      <w:pPr>
        <w:spacing w:after="60"/>
        <w:ind w:left="851"/>
        <w:rPr>
          <w:rFonts w:eastAsia="Times New Roman"/>
          <w:szCs w:val="17"/>
        </w:rPr>
      </w:pPr>
      <w:r w:rsidRPr="00E26C8E">
        <w:rPr>
          <w:rFonts w:eastAsia="Times New Roman"/>
          <w:szCs w:val="17"/>
        </w:rPr>
        <w:t>Provide information that details all exploration activities to be undertaken within the tenement area as a part of the mining operation, including:</w:t>
      </w:r>
    </w:p>
    <w:p w:rsidR="00E26C8E" w:rsidRPr="00E26C8E" w:rsidRDefault="00E26C8E" w:rsidP="00E26C8E">
      <w:pPr>
        <w:spacing w:after="60"/>
        <w:ind w:left="1134" w:hanging="283"/>
        <w:rPr>
          <w:rFonts w:eastAsia="Times New Roman"/>
          <w:szCs w:val="17"/>
        </w:rPr>
      </w:pPr>
      <w:r w:rsidRPr="00E26C8E">
        <w:rPr>
          <w:rFonts w:eastAsia="Times New Roman"/>
          <w:szCs w:val="17"/>
        </w:rPr>
        <w:t>•</w:t>
      </w:r>
      <w:r w:rsidRPr="00E26C8E">
        <w:rPr>
          <w:rFonts w:eastAsia="Times New Roman"/>
          <w:szCs w:val="17"/>
        </w:rPr>
        <w:tab/>
        <w:t>purpose of the activities (ie resource drill-out or resource extension)</w:t>
      </w:r>
    </w:p>
    <w:p w:rsidR="00E26C8E" w:rsidRPr="00E26C8E" w:rsidRDefault="00E26C8E" w:rsidP="00E26C8E">
      <w:pPr>
        <w:spacing w:after="60"/>
        <w:ind w:left="1134" w:hanging="283"/>
        <w:rPr>
          <w:rFonts w:eastAsia="Times New Roman"/>
          <w:szCs w:val="17"/>
        </w:rPr>
      </w:pPr>
      <w:r w:rsidRPr="00E26C8E">
        <w:rPr>
          <w:rFonts w:eastAsia="Times New Roman"/>
          <w:szCs w:val="17"/>
        </w:rPr>
        <w:t>•</w:t>
      </w:r>
      <w:r w:rsidRPr="00E26C8E">
        <w:rPr>
          <w:rFonts w:eastAsia="Times New Roman"/>
          <w:szCs w:val="17"/>
        </w:rPr>
        <w:tab/>
        <w:t>types of drilling</w:t>
      </w:r>
    </w:p>
    <w:p w:rsidR="00E26C8E" w:rsidRPr="00E26C8E" w:rsidRDefault="00E26C8E" w:rsidP="00E26C8E">
      <w:pPr>
        <w:spacing w:after="60"/>
        <w:ind w:left="1134" w:hanging="283"/>
        <w:rPr>
          <w:rFonts w:eastAsia="Times New Roman"/>
          <w:szCs w:val="17"/>
        </w:rPr>
      </w:pPr>
      <w:r w:rsidRPr="00E26C8E">
        <w:rPr>
          <w:rFonts w:eastAsia="Times New Roman"/>
          <w:szCs w:val="17"/>
        </w:rPr>
        <w:t>•</w:t>
      </w:r>
      <w:r w:rsidRPr="00E26C8E">
        <w:rPr>
          <w:rFonts w:eastAsia="Times New Roman"/>
          <w:szCs w:val="17"/>
        </w:rPr>
        <w:tab/>
        <w:t>geophysical techniques likely to be used</w:t>
      </w:r>
    </w:p>
    <w:p w:rsidR="00E26C8E" w:rsidRPr="00E26C8E" w:rsidRDefault="00E26C8E" w:rsidP="00E26C8E">
      <w:pPr>
        <w:spacing w:after="60"/>
        <w:ind w:left="1134" w:hanging="283"/>
        <w:rPr>
          <w:rFonts w:eastAsia="Times New Roman"/>
          <w:szCs w:val="17"/>
        </w:rPr>
      </w:pPr>
      <w:r w:rsidRPr="00E26C8E">
        <w:rPr>
          <w:rFonts w:eastAsia="Times New Roman"/>
          <w:szCs w:val="17"/>
        </w:rPr>
        <w:t>•</w:t>
      </w:r>
      <w:r w:rsidRPr="00E26C8E">
        <w:rPr>
          <w:rFonts w:eastAsia="Times New Roman"/>
          <w:szCs w:val="17"/>
        </w:rPr>
        <w:tab/>
        <w:t>earthworks required to conduct exploration activities</w:t>
      </w:r>
    </w:p>
    <w:p w:rsidR="00E26C8E" w:rsidRPr="00E26C8E" w:rsidRDefault="00E26C8E" w:rsidP="00E26C8E">
      <w:pPr>
        <w:spacing w:after="60"/>
        <w:ind w:left="1134" w:hanging="283"/>
        <w:rPr>
          <w:rFonts w:eastAsia="Times New Roman"/>
          <w:szCs w:val="17"/>
        </w:rPr>
      </w:pPr>
      <w:r w:rsidRPr="00E26C8E">
        <w:rPr>
          <w:rFonts w:eastAsia="Times New Roman"/>
          <w:szCs w:val="17"/>
        </w:rPr>
        <w:t>•</w:t>
      </w:r>
      <w:r w:rsidRPr="00E26C8E">
        <w:rPr>
          <w:rFonts w:eastAsia="Times New Roman"/>
          <w:szCs w:val="17"/>
        </w:rPr>
        <w:tab/>
        <w:t>equipment required to conduct exploration activities; and</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rehabilitation methods for exploration works (including that not yet rehabilitated from previous tenure).</w:t>
      </w:r>
    </w:p>
    <w:p w:rsidR="00E26C8E" w:rsidRPr="00E26C8E" w:rsidRDefault="00E26C8E" w:rsidP="00E26C8E">
      <w:pPr>
        <w:ind w:left="851"/>
        <w:rPr>
          <w:rFonts w:eastAsia="Times New Roman"/>
          <w:szCs w:val="17"/>
        </w:rPr>
      </w:pPr>
      <w:r w:rsidRPr="00E26C8E">
        <w:rPr>
          <w:rFonts w:eastAsia="Times New Roman"/>
          <w:szCs w:val="17"/>
        </w:rPr>
        <w:t>Any clearance of native vegetation due to exploration activities that had not been rehabilitated at the grant of the mining lease or licence must be included within the significant environmental benefit calculations detailed within the native vegetation management plan.</w:t>
      </w:r>
      <w:r w:rsidRPr="00E26C8E">
        <w:rPr>
          <w:rFonts w:eastAsia="Times New Roman"/>
          <w:b/>
          <w:szCs w:val="17"/>
        </w:rPr>
        <w:br w:type="page"/>
      </w:r>
    </w:p>
    <w:p w:rsidR="00E26C8E" w:rsidRPr="00E26C8E" w:rsidRDefault="00E26C8E" w:rsidP="00E26C8E">
      <w:pPr>
        <w:ind w:left="851" w:hanging="425"/>
        <w:rPr>
          <w:rFonts w:eastAsia="Times New Roman"/>
          <w:b/>
          <w:szCs w:val="17"/>
        </w:rPr>
      </w:pPr>
      <w:r w:rsidRPr="00E26C8E">
        <w:rPr>
          <w:rFonts w:eastAsia="Times New Roman"/>
          <w:b/>
          <w:szCs w:val="17"/>
        </w:rPr>
        <w:t>2.4</w:t>
      </w:r>
      <w:r w:rsidRPr="00E26C8E">
        <w:rPr>
          <w:rFonts w:eastAsia="Times New Roman"/>
          <w:b/>
          <w:szCs w:val="17"/>
        </w:rPr>
        <w:tab/>
        <w:t>Mining activities</w:t>
      </w:r>
    </w:p>
    <w:p w:rsidR="00E26C8E" w:rsidRPr="00E26C8E" w:rsidRDefault="00E26C8E" w:rsidP="00E26C8E">
      <w:pPr>
        <w:ind w:left="1418" w:hanging="567"/>
        <w:rPr>
          <w:rFonts w:eastAsia="Times New Roman"/>
          <w:i/>
          <w:szCs w:val="17"/>
        </w:rPr>
      </w:pPr>
      <w:r w:rsidRPr="00E26C8E">
        <w:rPr>
          <w:rFonts w:eastAsia="Times New Roman"/>
          <w:i/>
          <w:szCs w:val="17"/>
        </w:rPr>
        <w:t>2.4.1</w:t>
      </w:r>
      <w:r w:rsidRPr="00E26C8E">
        <w:rPr>
          <w:rFonts w:eastAsia="Times New Roman"/>
          <w:i/>
          <w:szCs w:val="17"/>
        </w:rPr>
        <w:tab/>
        <w:t>Type or types of mining operation to be carried out</w:t>
      </w:r>
    </w:p>
    <w:p w:rsidR="00E26C8E" w:rsidRPr="00E26C8E" w:rsidRDefault="00E26C8E" w:rsidP="00E26C8E">
      <w:pPr>
        <w:ind w:left="1418"/>
        <w:rPr>
          <w:rFonts w:eastAsia="Times New Roman"/>
          <w:szCs w:val="17"/>
        </w:rPr>
      </w:pPr>
      <w:r w:rsidRPr="00E26C8E">
        <w:rPr>
          <w:rFonts w:eastAsia="Times New Roman"/>
          <w:szCs w:val="17"/>
        </w:rPr>
        <w:t>Provide a clear statement on the type or types of mining operation to be carried out, such as: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the mining method(s) to be adopted.</w:t>
      </w:r>
    </w:p>
    <w:p w:rsidR="00E26C8E" w:rsidRPr="00E26C8E" w:rsidRDefault="00E26C8E" w:rsidP="00E26C8E">
      <w:pPr>
        <w:ind w:left="1418" w:hanging="567"/>
        <w:rPr>
          <w:rFonts w:eastAsia="Times New Roman"/>
          <w:i/>
          <w:szCs w:val="17"/>
        </w:rPr>
      </w:pPr>
      <w:r w:rsidRPr="00E26C8E">
        <w:rPr>
          <w:rFonts w:eastAsia="Times New Roman"/>
          <w:i/>
          <w:szCs w:val="17"/>
        </w:rPr>
        <w:t>2.4.2</w:t>
      </w:r>
      <w:r w:rsidRPr="00E26C8E">
        <w:rPr>
          <w:rFonts w:eastAsia="Times New Roman"/>
          <w:i/>
          <w:szCs w:val="17"/>
        </w:rPr>
        <w:tab/>
        <w:t>Open pit</w:t>
      </w:r>
    </w:p>
    <w:p w:rsidR="00E26C8E" w:rsidRPr="00E26C8E" w:rsidRDefault="00E26C8E" w:rsidP="00E26C8E">
      <w:pPr>
        <w:ind w:left="1418"/>
        <w:rPr>
          <w:rFonts w:eastAsia="Times New Roman"/>
          <w:szCs w:val="17"/>
        </w:rPr>
      </w:pPr>
      <w:r w:rsidRPr="00E26C8E">
        <w:rPr>
          <w:rFonts w:eastAsia="Times New Roman"/>
          <w:szCs w:val="17"/>
        </w:rPr>
        <w:t>Describe, for the life of mine from inception to cessation, all open pit workings, including (but not limited to):</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overall pit wall angles, bench height, berm width</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dimensions and depth of pit</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access ramps;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maps, plans and cross-sections (as per 7.1.2.1, 7.1.2.2, 7.1.2.7, 7.2.2.1 and 7.2.2.2).</w:t>
      </w:r>
    </w:p>
    <w:p w:rsidR="00E26C8E" w:rsidRPr="00E26C8E" w:rsidRDefault="00E26C8E" w:rsidP="00E26C8E">
      <w:pPr>
        <w:ind w:left="1418" w:hanging="567"/>
        <w:rPr>
          <w:rFonts w:eastAsia="Times New Roman"/>
          <w:i/>
          <w:szCs w:val="17"/>
        </w:rPr>
      </w:pPr>
      <w:r w:rsidRPr="00E26C8E">
        <w:rPr>
          <w:rFonts w:eastAsia="Times New Roman"/>
          <w:i/>
          <w:szCs w:val="17"/>
        </w:rPr>
        <w:t>2.4.3</w:t>
      </w:r>
      <w:r w:rsidRPr="00E26C8E">
        <w:rPr>
          <w:rFonts w:eastAsia="Times New Roman"/>
          <w:i/>
          <w:szCs w:val="17"/>
        </w:rPr>
        <w:tab/>
        <w:t>Underground workings</w:t>
      </w:r>
    </w:p>
    <w:p w:rsidR="00E26C8E" w:rsidRPr="00E26C8E" w:rsidRDefault="00E26C8E" w:rsidP="00E26C8E">
      <w:pPr>
        <w:ind w:left="1418"/>
        <w:rPr>
          <w:rFonts w:eastAsia="Times New Roman"/>
          <w:szCs w:val="17"/>
        </w:rPr>
      </w:pPr>
      <w:r w:rsidRPr="00E26C8E">
        <w:rPr>
          <w:rFonts w:eastAsia="Times New Roman"/>
          <w:szCs w:val="17"/>
        </w:rPr>
        <w:t>Describe underground workings, including (but not limited to):</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stoping methods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potential surface disturbance resulting from underground mining</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declines, shafts, tunnels, bore holes, ventilation intakes and exhausts;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maps, plans and cross-sections (as per 7.1.2.1, 7.1.2.2, and 7.2.2.1).</w:t>
      </w:r>
    </w:p>
    <w:p w:rsidR="00E26C8E" w:rsidRPr="00E26C8E" w:rsidRDefault="00E26C8E" w:rsidP="00E26C8E">
      <w:pPr>
        <w:ind w:left="1701" w:hanging="283"/>
        <w:rPr>
          <w:rFonts w:eastAsia="Times New Roman"/>
          <w:szCs w:val="17"/>
        </w:rPr>
      </w:pPr>
      <w:r w:rsidRPr="00E26C8E">
        <w:rPr>
          <w:rFonts w:eastAsia="Times New Roman"/>
          <w:szCs w:val="17"/>
        </w:rPr>
        <w:t>Where underground fill is used, describe: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type of fill to be used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the volume percentage of underground void to be filled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sequence of filling</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source and proportion of fill;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maps, plans and cross-sections showing the fill (as per 7.1.2.7 and 7.2.2.2).</w:t>
      </w:r>
    </w:p>
    <w:p w:rsidR="00E26C8E" w:rsidRPr="00E26C8E" w:rsidRDefault="00E26C8E" w:rsidP="00E26C8E">
      <w:pPr>
        <w:ind w:left="1418" w:hanging="567"/>
        <w:rPr>
          <w:rFonts w:eastAsia="Times New Roman"/>
          <w:i/>
          <w:szCs w:val="17"/>
        </w:rPr>
      </w:pPr>
      <w:r w:rsidRPr="00E26C8E">
        <w:rPr>
          <w:rFonts w:eastAsia="Times New Roman"/>
          <w:i/>
          <w:szCs w:val="17"/>
        </w:rPr>
        <w:t>2.4.4</w:t>
      </w:r>
      <w:r w:rsidRPr="00E26C8E">
        <w:rPr>
          <w:rFonts w:eastAsia="Times New Roman"/>
          <w:i/>
          <w:szCs w:val="17"/>
        </w:rPr>
        <w:tab/>
        <w:t>Material movements</w:t>
      </w:r>
    </w:p>
    <w:p w:rsidR="00E26C8E" w:rsidRPr="00E26C8E" w:rsidRDefault="00E26C8E" w:rsidP="00E26C8E">
      <w:pPr>
        <w:ind w:left="1418"/>
        <w:rPr>
          <w:rFonts w:eastAsia="Times New Roman"/>
          <w:szCs w:val="17"/>
        </w:rPr>
      </w:pPr>
      <w:r w:rsidRPr="00E26C8E">
        <w:rPr>
          <w:rFonts w:eastAsia="Times New Roman"/>
          <w:szCs w:val="17"/>
        </w:rPr>
        <w:t>Provide: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expected life of mine (including scope for extension)</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annual mine production rates and mine production schedule of ore and waste rock over the life of mine;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life of mine and annual strip ratios.</w:t>
      </w:r>
    </w:p>
    <w:p w:rsidR="00E26C8E" w:rsidRPr="00E26C8E" w:rsidRDefault="00E26C8E" w:rsidP="00E26C8E">
      <w:pPr>
        <w:ind w:left="1418" w:hanging="567"/>
        <w:rPr>
          <w:rFonts w:eastAsia="Times New Roman"/>
          <w:i/>
          <w:szCs w:val="17"/>
        </w:rPr>
      </w:pPr>
      <w:r w:rsidRPr="00E26C8E">
        <w:rPr>
          <w:rFonts w:eastAsia="Times New Roman"/>
          <w:i/>
          <w:szCs w:val="17"/>
        </w:rPr>
        <w:t>2.4.5</w:t>
      </w:r>
      <w:r w:rsidRPr="00E26C8E">
        <w:rPr>
          <w:rFonts w:eastAsia="Times New Roman"/>
          <w:i/>
          <w:szCs w:val="17"/>
        </w:rPr>
        <w:tab/>
        <w:t>Stockpiles</w:t>
      </w:r>
    </w:p>
    <w:p w:rsidR="00E26C8E" w:rsidRPr="00E26C8E" w:rsidRDefault="00E26C8E" w:rsidP="00E26C8E">
      <w:pPr>
        <w:ind w:left="1418"/>
        <w:rPr>
          <w:rFonts w:eastAsia="Times New Roman"/>
          <w:szCs w:val="17"/>
        </w:rPr>
      </w:pPr>
      <w:r w:rsidRPr="00E26C8E">
        <w:rPr>
          <w:rFonts w:eastAsia="Times New Roman"/>
          <w:szCs w:val="17"/>
        </w:rPr>
        <w:t>Describe for all ore, product, subsoil and topsoil stockpiles the: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location, size, shape and height of ore, product, subsoil and topsoil stockpiles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method of placement</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method of stabilisation and erosion control of all stockpiles;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water movement through stockpiles.</w:t>
      </w:r>
    </w:p>
    <w:p w:rsidR="00E26C8E" w:rsidRPr="00E26C8E" w:rsidRDefault="00E26C8E" w:rsidP="00E26C8E">
      <w:pPr>
        <w:ind w:left="1418"/>
        <w:rPr>
          <w:rFonts w:eastAsia="Times New Roman"/>
          <w:szCs w:val="17"/>
        </w:rPr>
      </w:pPr>
      <w:r w:rsidRPr="00E26C8E">
        <w:rPr>
          <w:rFonts w:eastAsia="Times New Roman"/>
          <w:szCs w:val="17"/>
        </w:rPr>
        <w:t>The location, maximum height and extent of all stockpiles must be shown on a map (as per 7.1.2.1).</w:t>
      </w:r>
    </w:p>
    <w:p w:rsidR="00E26C8E" w:rsidRPr="00E26C8E" w:rsidRDefault="00E26C8E" w:rsidP="00E26C8E">
      <w:pPr>
        <w:ind w:left="1418" w:hanging="567"/>
        <w:rPr>
          <w:rFonts w:eastAsia="Times New Roman"/>
          <w:i/>
          <w:szCs w:val="17"/>
        </w:rPr>
      </w:pPr>
      <w:r w:rsidRPr="00E26C8E">
        <w:rPr>
          <w:rFonts w:eastAsia="Times New Roman"/>
          <w:i/>
          <w:szCs w:val="17"/>
        </w:rPr>
        <w:t>2.4.6</w:t>
      </w:r>
      <w:r w:rsidRPr="00E26C8E">
        <w:rPr>
          <w:rFonts w:eastAsia="Times New Roman"/>
          <w:i/>
          <w:szCs w:val="17"/>
        </w:rPr>
        <w:tab/>
        <w:t>Use of explosives</w:t>
      </w:r>
    </w:p>
    <w:p w:rsidR="00E26C8E" w:rsidRPr="00E26C8E" w:rsidRDefault="00E26C8E" w:rsidP="00E26C8E">
      <w:pPr>
        <w:ind w:left="1418"/>
        <w:rPr>
          <w:rFonts w:eastAsia="Times New Roman"/>
          <w:szCs w:val="17"/>
        </w:rPr>
      </w:pPr>
      <w:r w:rsidRPr="00E26C8E">
        <w:rPr>
          <w:rFonts w:eastAsia="Times New Roman"/>
          <w:szCs w:val="17"/>
        </w:rPr>
        <w:t>If explosives are used, describe: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type of explosives used on the site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timing and frequency of blasting</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size of blasts;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storage of explosives (amount, type, detailed location and method of storage).</w:t>
      </w:r>
    </w:p>
    <w:p w:rsidR="00E26C8E" w:rsidRPr="00E26C8E" w:rsidRDefault="00E26C8E" w:rsidP="00E26C8E">
      <w:pPr>
        <w:ind w:left="1418" w:hanging="567"/>
        <w:rPr>
          <w:rFonts w:eastAsia="Times New Roman"/>
          <w:i/>
          <w:szCs w:val="17"/>
        </w:rPr>
      </w:pPr>
      <w:r w:rsidRPr="00E26C8E">
        <w:rPr>
          <w:rFonts w:eastAsia="Times New Roman"/>
          <w:i/>
          <w:szCs w:val="17"/>
        </w:rPr>
        <w:t>2.4.7</w:t>
      </w:r>
      <w:r w:rsidRPr="00E26C8E">
        <w:rPr>
          <w:rFonts w:eastAsia="Times New Roman"/>
          <w:i/>
          <w:szCs w:val="17"/>
        </w:rPr>
        <w:tab/>
        <w:t>Type of mining equipment</w:t>
      </w:r>
    </w:p>
    <w:p w:rsidR="00E26C8E" w:rsidRPr="00E26C8E" w:rsidRDefault="00E26C8E" w:rsidP="00E26C8E">
      <w:pPr>
        <w:ind w:left="1418"/>
        <w:rPr>
          <w:rFonts w:eastAsia="Times New Roman"/>
          <w:szCs w:val="17"/>
        </w:rPr>
      </w:pPr>
      <w:r w:rsidRPr="00E26C8E">
        <w:rPr>
          <w:rFonts w:eastAsia="Times New Roman"/>
          <w:szCs w:val="17"/>
        </w:rPr>
        <w:t>Provide a description of the equipment (fixed and mobile) to be used in the mining operation in terms of:</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type, size and capacity of machines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approximate number of units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noise outputs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exhaust outputs;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fire ignition sources.</w:t>
      </w:r>
    </w:p>
    <w:p w:rsidR="00E26C8E" w:rsidRPr="00E26C8E" w:rsidRDefault="00E26C8E" w:rsidP="00E26C8E">
      <w:pPr>
        <w:ind w:left="1418"/>
        <w:rPr>
          <w:rFonts w:eastAsia="Times New Roman"/>
          <w:szCs w:val="17"/>
        </w:rPr>
      </w:pPr>
      <w:r w:rsidRPr="00E26C8E">
        <w:rPr>
          <w:rFonts w:eastAsia="Times New Roman"/>
          <w:szCs w:val="17"/>
        </w:rPr>
        <w:t>The location of fixed equipment must be shown on a map (as per 7.1.2.1).</w:t>
      </w:r>
    </w:p>
    <w:p w:rsidR="00E26C8E" w:rsidRPr="00E26C8E" w:rsidRDefault="00E26C8E" w:rsidP="00E26C8E">
      <w:pPr>
        <w:ind w:left="1418" w:hanging="567"/>
        <w:rPr>
          <w:rFonts w:eastAsia="Times New Roman"/>
          <w:i/>
          <w:szCs w:val="17"/>
        </w:rPr>
      </w:pPr>
      <w:r w:rsidRPr="00E26C8E">
        <w:rPr>
          <w:rFonts w:eastAsia="Times New Roman"/>
          <w:i/>
          <w:szCs w:val="17"/>
        </w:rPr>
        <w:t>2.4.8</w:t>
      </w:r>
      <w:r w:rsidRPr="00E26C8E">
        <w:rPr>
          <w:rFonts w:eastAsia="Times New Roman"/>
          <w:i/>
          <w:szCs w:val="17"/>
        </w:rPr>
        <w:tab/>
        <w:t>Mine dewatering</w:t>
      </w:r>
    </w:p>
    <w:p w:rsidR="00E26C8E" w:rsidRPr="00E26C8E" w:rsidRDefault="00E26C8E" w:rsidP="00E26C8E">
      <w:pPr>
        <w:ind w:left="1418"/>
        <w:rPr>
          <w:rFonts w:eastAsia="Times New Roman"/>
          <w:szCs w:val="17"/>
        </w:rPr>
      </w:pPr>
      <w:r w:rsidRPr="00E26C8E">
        <w:rPr>
          <w:rFonts w:eastAsia="Times New Roman"/>
          <w:szCs w:val="17"/>
        </w:rPr>
        <w:t>Provide: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estimated inflows of groundwater, stormwater and water from any other mining activities into mine workings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details of mine dewatering infrastructure, and mine water management and disposal</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contingency measures for greater than planned water inflows into mine workings;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 mine water balance of water inflows and water outflows during operations and at mine completion (if not included in the water balance in clause 2.5.4).</w:t>
      </w:r>
    </w:p>
    <w:p w:rsidR="00E26C8E" w:rsidRPr="00E26C8E" w:rsidRDefault="00E26C8E" w:rsidP="00E26C8E">
      <w:pPr>
        <w:spacing w:after="0" w:line="240" w:lineRule="auto"/>
        <w:jc w:val="left"/>
        <w:rPr>
          <w:rFonts w:eastAsia="Times New Roman"/>
          <w:i/>
          <w:szCs w:val="17"/>
        </w:rPr>
      </w:pPr>
      <w:r w:rsidRPr="00E26C8E">
        <w:rPr>
          <w:rFonts w:eastAsia="Times New Roman"/>
          <w:i/>
          <w:szCs w:val="17"/>
        </w:rPr>
        <w:br w:type="page"/>
      </w:r>
    </w:p>
    <w:p w:rsidR="00E26C8E" w:rsidRPr="00E26C8E" w:rsidRDefault="00E26C8E" w:rsidP="00E26C8E">
      <w:pPr>
        <w:ind w:left="1418" w:hanging="567"/>
        <w:rPr>
          <w:rFonts w:eastAsia="Times New Roman"/>
          <w:i/>
          <w:szCs w:val="17"/>
        </w:rPr>
      </w:pPr>
      <w:r w:rsidRPr="00E26C8E">
        <w:rPr>
          <w:rFonts w:eastAsia="Times New Roman"/>
          <w:i/>
          <w:szCs w:val="17"/>
        </w:rPr>
        <w:t>2.4.9</w:t>
      </w:r>
      <w:r w:rsidRPr="00E26C8E">
        <w:rPr>
          <w:rFonts w:eastAsia="Times New Roman"/>
          <w:i/>
          <w:szCs w:val="17"/>
        </w:rPr>
        <w:tab/>
        <w:t>Sequence of mining and rehabilitation operations</w:t>
      </w:r>
    </w:p>
    <w:p w:rsidR="00E26C8E" w:rsidRPr="00E26C8E" w:rsidRDefault="00E26C8E" w:rsidP="00E26C8E">
      <w:pPr>
        <w:ind w:left="1418"/>
        <w:rPr>
          <w:rFonts w:eastAsia="Times New Roman"/>
          <w:szCs w:val="17"/>
        </w:rPr>
      </w:pPr>
      <w:r w:rsidRPr="00E26C8E">
        <w:rPr>
          <w:rFonts w:eastAsia="Times New Roman"/>
          <w:szCs w:val="17"/>
        </w:rPr>
        <w:t>Provide the following information on the sequence of operations in both text, map and cross section form (as per 7.1.2.2 and 7.2.2.1):</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description of the sequence of mining stages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sequencing of progressive and final rehabilitation, including demonstration that progressive rehabilitation has been integrated with the mining plan</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an estimation of the quantities of sulfide minerals that have the potential to generate acid or mobilise metals, or other hazardous minerals to be mined at each mining stage;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any mineral resource that may be sterilised from future mining by the planned mining operations.</w:t>
      </w:r>
    </w:p>
    <w:p w:rsidR="00E26C8E" w:rsidRPr="00E26C8E" w:rsidRDefault="00E26C8E" w:rsidP="00E26C8E">
      <w:pPr>
        <w:ind w:left="2127" w:hanging="709"/>
        <w:rPr>
          <w:rFonts w:eastAsia="Times New Roman"/>
          <w:i/>
          <w:szCs w:val="17"/>
        </w:rPr>
      </w:pPr>
      <w:r w:rsidRPr="00E26C8E">
        <w:rPr>
          <w:rFonts w:eastAsia="Times New Roman"/>
          <w:i/>
          <w:szCs w:val="17"/>
        </w:rPr>
        <w:t>2.4.9.1</w:t>
      </w:r>
      <w:r w:rsidRPr="00E26C8E">
        <w:rPr>
          <w:rFonts w:eastAsia="Times New Roman"/>
          <w:i/>
          <w:szCs w:val="17"/>
        </w:rPr>
        <w:tab/>
        <w:t>Rehabilitation strategies and timing</w:t>
      </w:r>
    </w:p>
    <w:p w:rsidR="00E26C8E" w:rsidRPr="00E26C8E" w:rsidRDefault="00E26C8E" w:rsidP="00E26C8E">
      <w:pPr>
        <w:ind w:left="2127"/>
        <w:rPr>
          <w:rFonts w:eastAsia="Times New Roman"/>
          <w:szCs w:val="17"/>
        </w:rPr>
      </w:pPr>
      <w:r w:rsidRPr="00E26C8E">
        <w:rPr>
          <w:rFonts w:eastAsia="Times New Roman"/>
          <w:szCs w:val="17"/>
        </w:rPr>
        <w:t>Describe all activities, strategies and designs relating to mine closure for rehabilitation of open pit and/or underground workings, stockpiles, explosives storage, mining equipment and mine dewatering infrastructure. Include timing of these activities and all opportunities for progressive rehabilitation. Include (but not limited to) the maximum area of land disturbed by mining operations at any time, battering of mining faces and other earthworks, mine void backfilling, abandonment bunds, sealing of portals and ventilation shafts, soil management, revegetation and expected water infill rates.</w:t>
      </w:r>
    </w:p>
    <w:p w:rsidR="00E26C8E" w:rsidRPr="00E26C8E" w:rsidRDefault="00E26C8E" w:rsidP="00E26C8E">
      <w:pPr>
        <w:ind w:left="1418" w:hanging="567"/>
        <w:rPr>
          <w:rFonts w:eastAsia="Times New Roman"/>
          <w:i/>
          <w:szCs w:val="17"/>
        </w:rPr>
      </w:pPr>
      <w:r w:rsidRPr="00E26C8E">
        <w:rPr>
          <w:rFonts w:eastAsia="Times New Roman"/>
          <w:i/>
          <w:szCs w:val="17"/>
        </w:rPr>
        <w:t>2.4.10</w:t>
      </w:r>
      <w:r w:rsidRPr="00E26C8E">
        <w:rPr>
          <w:rFonts w:eastAsia="Times New Roman"/>
          <w:i/>
          <w:szCs w:val="17"/>
        </w:rPr>
        <w:tab/>
        <w:t>Modes and hours of operation</w:t>
      </w:r>
    </w:p>
    <w:p w:rsidR="00E26C8E" w:rsidRPr="00E26C8E" w:rsidRDefault="00E26C8E" w:rsidP="00E26C8E">
      <w:pPr>
        <w:ind w:left="1418"/>
        <w:rPr>
          <w:rFonts w:eastAsia="Times New Roman"/>
          <w:szCs w:val="17"/>
        </w:rPr>
      </w:pPr>
      <w:r w:rsidRPr="00E26C8E">
        <w:rPr>
          <w:rFonts w:eastAsia="Times New Roman"/>
          <w:szCs w:val="17"/>
        </w:rPr>
        <w:t>State if the operation will be worked on a continuous (24 hour, 7 days a week), regular periodical or campaign basis.</w:t>
      </w:r>
    </w:p>
    <w:p w:rsidR="00E26C8E" w:rsidRPr="00E26C8E" w:rsidRDefault="00E26C8E" w:rsidP="00E26C8E">
      <w:pPr>
        <w:ind w:left="1418"/>
        <w:rPr>
          <w:rFonts w:eastAsia="Times New Roman"/>
          <w:szCs w:val="17"/>
        </w:rPr>
      </w:pPr>
      <w:r w:rsidRPr="00E26C8E">
        <w:rPr>
          <w:rFonts w:eastAsia="Times New Roman"/>
          <w:szCs w:val="17"/>
        </w:rPr>
        <w:t>If the operation is to be worked on a regular periodical basis, specify:</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period(s) (daily, weekly and public holidays) to be worked;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start and finish hours the site is to be worked per period. If the operation is to be worked on a campaign basis, specify:</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minimum hours the site is to be worked per year</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the minimum time of each campaign</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the maximum and minimum time between campaigns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define the beginning and end of each campaign</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hours of mining operations during campaign</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days of mining operations during campaign</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determining factors for initiating and ceasing a campaign</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maximum and minimum tonnage of each campaign;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maximum and minimum tonnage of production per year.</w:t>
      </w:r>
    </w:p>
    <w:p w:rsidR="00E26C8E" w:rsidRPr="00E26C8E" w:rsidRDefault="00E26C8E" w:rsidP="00E26C8E">
      <w:pPr>
        <w:ind w:left="1418" w:hanging="567"/>
        <w:rPr>
          <w:rFonts w:eastAsia="Times New Roman"/>
          <w:i/>
          <w:szCs w:val="17"/>
        </w:rPr>
      </w:pPr>
      <w:r w:rsidRPr="00E26C8E">
        <w:rPr>
          <w:rFonts w:eastAsia="Times New Roman"/>
          <w:i/>
          <w:szCs w:val="17"/>
        </w:rPr>
        <w:t>2.4.11</w:t>
      </w:r>
      <w:r w:rsidRPr="00E26C8E">
        <w:rPr>
          <w:rFonts w:eastAsia="Times New Roman"/>
          <w:i/>
          <w:szCs w:val="17"/>
        </w:rPr>
        <w:tab/>
        <w:t>Care and maintenance</w:t>
      </w:r>
    </w:p>
    <w:p w:rsidR="00E26C8E" w:rsidRPr="00E26C8E" w:rsidRDefault="00E26C8E" w:rsidP="00E26C8E">
      <w:pPr>
        <w:ind w:left="1418"/>
        <w:rPr>
          <w:rFonts w:eastAsia="Times New Roman"/>
          <w:szCs w:val="17"/>
        </w:rPr>
      </w:pPr>
      <w:r w:rsidRPr="00E26C8E">
        <w:rPr>
          <w:rFonts w:eastAsia="Times New Roman"/>
          <w:szCs w:val="17"/>
        </w:rPr>
        <w:t>Detail all activities and strategies required for care and maintenance of the mine, should the mine suspend production, but not progress immediately to closure.</w:t>
      </w:r>
    </w:p>
    <w:p w:rsidR="00E26C8E" w:rsidRPr="00E26C8E" w:rsidRDefault="00E26C8E" w:rsidP="00E26C8E">
      <w:pPr>
        <w:ind w:left="851" w:hanging="425"/>
        <w:rPr>
          <w:rFonts w:eastAsia="Times New Roman"/>
          <w:b/>
          <w:szCs w:val="17"/>
        </w:rPr>
      </w:pPr>
      <w:r w:rsidRPr="00E26C8E">
        <w:rPr>
          <w:rFonts w:eastAsia="Times New Roman"/>
          <w:b/>
          <w:szCs w:val="17"/>
        </w:rPr>
        <w:t>2.5</w:t>
      </w:r>
      <w:r w:rsidRPr="00E26C8E">
        <w:rPr>
          <w:rFonts w:eastAsia="Times New Roman"/>
          <w:b/>
          <w:szCs w:val="17"/>
        </w:rPr>
        <w:tab/>
        <w:t>Crushing, grinding, processing and product transport</w:t>
      </w:r>
    </w:p>
    <w:p w:rsidR="00E26C8E" w:rsidRPr="00E26C8E" w:rsidRDefault="00E26C8E" w:rsidP="00E26C8E">
      <w:pPr>
        <w:ind w:left="1418" w:hanging="567"/>
        <w:rPr>
          <w:rFonts w:eastAsia="Times New Roman"/>
          <w:i/>
          <w:szCs w:val="17"/>
        </w:rPr>
      </w:pPr>
      <w:r w:rsidRPr="00E26C8E">
        <w:rPr>
          <w:rFonts w:eastAsia="Times New Roman"/>
          <w:i/>
          <w:szCs w:val="17"/>
        </w:rPr>
        <w:t>2.5.1</w:t>
      </w:r>
      <w:r w:rsidRPr="00E26C8E">
        <w:rPr>
          <w:rFonts w:eastAsia="Times New Roman"/>
          <w:i/>
          <w:szCs w:val="17"/>
        </w:rPr>
        <w:tab/>
        <w:t>Crushing and grinding plant</w:t>
      </w:r>
    </w:p>
    <w:p w:rsidR="00E26C8E" w:rsidRPr="00E26C8E" w:rsidRDefault="00E26C8E" w:rsidP="00E26C8E">
      <w:pPr>
        <w:ind w:left="1418"/>
        <w:rPr>
          <w:rFonts w:eastAsia="Times New Roman"/>
          <w:szCs w:val="17"/>
        </w:rPr>
      </w:pPr>
      <w:r w:rsidRPr="00E26C8E">
        <w:rPr>
          <w:rFonts w:eastAsia="Times New Roman"/>
          <w:szCs w:val="17"/>
        </w:rPr>
        <w:t>Provide a description of the crushing/grinding plant including:</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area, size, type of construction and location</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throughput rate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 description of ore preparation for processing</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grind size of the ore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noise sources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dust sources and composition</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fire ignition sources;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maps and plans (as per 7.1.2.3).</w:t>
      </w:r>
    </w:p>
    <w:p w:rsidR="00E26C8E" w:rsidRPr="00E26C8E" w:rsidRDefault="00E26C8E" w:rsidP="00E26C8E">
      <w:pPr>
        <w:ind w:left="1418" w:hanging="567"/>
        <w:rPr>
          <w:rFonts w:eastAsia="Times New Roman"/>
          <w:i/>
          <w:szCs w:val="17"/>
        </w:rPr>
      </w:pPr>
      <w:r w:rsidRPr="00E26C8E">
        <w:rPr>
          <w:rFonts w:eastAsia="Times New Roman"/>
          <w:i/>
          <w:szCs w:val="17"/>
        </w:rPr>
        <w:t>2.5.2</w:t>
      </w:r>
      <w:r w:rsidRPr="00E26C8E">
        <w:rPr>
          <w:rFonts w:eastAsia="Times New Roman"/>
          <w:i/>
          <w:szCs w:val="17"/>
        </w:rPr>
        <w:tab/>
        <w:t>Processing plant</w:t>
      </w:r>
    </w:p>
    <w:p w:rsidR="00E26C8E" w:rsidRPr="00E26C8E" w:rsidRDefault="00E26C8E" w:rsidP="00E26C8E">
      <w:pPr>
        <w:ind w:left="1418"/>
        <w:rPr>
          <w:rFonts w:eastAsia="Times New Roman"/>
          <w:szCs w:val="17"/>
        </w:rPr>
      </w:pPr>
      <w:r w:rsidRPr="00E26C8E">
        <w:rPr>
          <w:rFonts w:eastAsia="Times New Roman"/>
          <w:szCs w:val="17"/>
        </w:rPr>
        <w:t>Provide a description of the processing plant including:</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the methods and details of processing and value adding</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number, location, area, size, type of construction (including lining and drainage systems, as appropriate) of processing plant</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any ancillary plant and infrastructure to be used for processing the minerals on site; examples of associated structures are concrete batching plants, wheel wash facilities, silos, fuel tanks, water tanks, chemical storage/use, reverse osmosis plants and bore fields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if chemicals are to be used in the beneficiation or processing of ore, describe the nature and quantities of the chemicals to be used, their reactions with ore and their ultimate fate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noise sources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dust sources and composition</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fire ignition sources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other potential air emissions (including odour) and their composition;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maps and plans (as per 7.1.2.1 and 7.1.2.3).</w:t>
      </w:r>
    </w:p>
    <w:p w:rsidR="00E26C8E" w:rsidRPr="00E26C8E" w:rsidRDefault="00E26C8E" w:rsidP="00E26C8E">
      <w:pPr>
        <w:ind w:left="1418" w:hanging="567"/>
        <w:rPr>
          <w:rFonts w:eastAsia="Times New Roman"/>
          <w:i/>
          <w:szCs w:val="17"/>
        </w:rPr>
      </w:pPr>
      <w:r w:rsidRPr="00E26C8E">
        <w:rPr>
          <w:rFonts w:eastAsia="Times New Roman"/>
          <w:i/>
          <w:szCs w:val="17"/>
        </w:rPr>
        <w:t>2.5.3</w:t>
      </w:r>
      <w:r w:rsidRPr="00E26C8E">
        <w:rPr>
          <w:rFonts w:eastAsia="Times New Roman"/>
          <w:i/>
          <w:szCs w:val="17"/>
        </w:rPr>
        <w:tab/>
        <w:t>Heap leach</w:t>
      </w:r>
    </w:p>
    <w:p w:rsidR="00E26C8E" w:rsidRPr="00E26C8E" w:rsidRDefault="00E26C8E" w:rsidP="00E26C8E">
      <w:pPr>
        <w:ind w:left="1418"/>
        <w:rPr>
          <w:rFonts w:eastAsia="Times New Roman"/>
          <w:szCs w:val="17"/>
        </w:rPr>
      </w:pPr>
      <w:r w:rsidRPr="00E26C8E">
        <w:rPr>
          <w:rFonts w:eastAsia="Times New Roman"/>
          <w:szCs w:val="17"/>
        </w:rPr>
        <w:t>Provide a description of the Heap Leach Pad and process including:</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type, size and location of the Heap Leach Pad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construction and operating specifications for the Heap Leach Pad and process, including solution containment measures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geochemical and geotechnical assessment of the material placed on the Heap Leach Pad before and after leaching</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method and rate of ore deposition and removal</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chemical characteristics of the leach solution, pregnant liquor and raffinate solutions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solution application rates, and method of application</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removal (where proposed) of the Heap Leach Pad at cessation of production and the method/location of disposal of leached material</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method of stabilisation and erosion control of Heap Leach Pad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an assessment of the long term chemical and physical stability of the Heap Leach Pad post mine completion</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the source, pathway and ultimate fate of any potential mobile contaminants;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maps and plans (as per 7.1.2.1 and 7.1.2.4).</w:t>
      </w:r>
    </w:p>
    <w:p w:rsidR="00E26C8E" w:rsidRPr="00E26C8E" w:rsidRDefault="00E26C8E" w:rsidP="00E26C8E">
      <w:pPr>
        <w:ind w:left="1418" w:hanging="567"/>
        <w:rPr>
          <w:rFonts w:eastAsia="Times New Roman"/>
          <w:i/>
          <w:szCs w:val="17"/>
        </w:rPr>
      </w:pPr>
      <w:r w:rsidRPr="00E26C8E">
        <w:rPr>
          <w:rFonts w:eastAsia="Times New Roman"/>
          <w:i/>
          <w:szCs w:val="17"/>
        </w:rPr>
        <w:t>2.5.4</w:t>
      </w:r>
      <w:r w:rsidRPr="00E26C8E">
        <w:rPr>
          <w:rFonts w:eastAsia="Times New Roman"/>
          <w:i/>
          <w:szCs w:val="17"/>
        </w:rPr>
        <w:tab/>
        <w:t>Process water management</w:t>
      </w:r>
    </w:p>
    <w:p w:rsidR="00E26C8E" w:rsidRPr="00E26C8E" w:rsidRDefault="00E26C8E" w:rsidP="00E26C8E">
      <w:pPr>
        <w:ind w:left="1418"/>
        <w:rPr>
          <w:rFonts w:eastAsia="Times New Roman"/>
          <w:szCs w:val="17"/>
        </w:rPr>
      </w:pPr>
      <w:r w:rsidRPr="00E26C8E">
        <w:rPr>
          <w:rFonts w:eastAsia="Times New Roman"/>
          <w:szCs w:val="17"/>
        </w:rPr>
        <w:t>Provide a water balance including:</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approximate water volumes required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 summary of the inputs and outputs (with consideration of any purge requirements)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determination of net surplus or deficit;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process flowsheet showing all streams including stormwater management and mine dewatering where these are connected to the processing circuit.</w:t>
      </w:r>
    </w:p>
    <w:p w:rsidR="00E26C8E" w:rsidRPr="00E26C8E" w:rsidRDefault="00E26C8E" w:rsidP="00E26C8E">
      <w:pPr>
        <w:ind w:left="1701" w:hanging="283"/>
        <w:rPr>
          <w:rFonts w:eastAsia="Times New Roman"/>
          <w:szCs w:val="17"/>
        </w:rPr>
      </w:pPr>
      <w:r w:rsidRPr="00E26C8E">
        <w:rPr>
          <w:rFonts w:eastAsia="Times New Roman"/>
          <w:szCs w:val="17"/>
        </w:rPr>
        <w:t>Provide a description of all water ponds, including:</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size, capacity, layout and location of ponds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design and construction methods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chemical composition of the solution to be stored in each pond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minimum freeboard to be maintained;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plans (as per 7.1.2.1).</w:t>
      </w:r>
    </w:p>
    <w:p w:rsidR="00E26C8E" w:rsidRPr="00E26C8E" w:rsidRDefault="00E26C8E" w:rsidP="00E26C8E">
      <w:pPr>
        <w:ind w:left="1418" w:hanging="567"/>
        <w:rPr>
          <w:rFonts w:eastAsia="Times New Roman"/>
          <w:i/>
          <w:szCs w:val="17"/>
        </w:rPr>
      </w:pPr>
      <w:r w:rsidRPr="00E26C8E">
        <w:rPr>
          <w:rFonts w:eastAsia="Times New Roman"/>
          <w:i/>
          <w:szCs w:val="17"/>
        </w:rPr>
        <w:t>2.5.5</w:t>
      </w:r>
      <w:r w:rsidRPr="00E26C8E">
        <w:rPr>
          <w:rFonts w:eastAsia="Times New Roman"/>
          <w:i/>
          <w:szCs w:val="17"/>
        </w:rPr>
        <w:tab/>
        <w:t>Type of mobile equipment</w:t>
      </w:r>
    </w:p>
    <w:p w:rsidR="00E26C8E" w:rsidRPr="00E26C8E" w:rsidRDefault="00E26C8E" w:rsidP="00E26C8E">
      <w:pPr>
        <w:ind w:left="1418"/>
        <w:rPr>
          <w:rFonts w:eastAsia="Times New Roman"/>
          <w:szCs w:val="17"/>
        </w:rPr>
      </w:pPr>
      <w:r w:rsidRPr="00E26C8E">
        <w:rPr>
          <w:rFonts w:eastAsia="Times New Roman"/>
          <w:szCs w:val="17"/>
        </w:rPr>
        <w:t>For mobile equipment to be used in crushing/grinding, processing ore and in transporting the mine product to the point of sale, describe: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type, size and capacity of machines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approximate number of units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noise outputs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exhaust outputs;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fire ignition sources.</w:t>
      </w:r>
    </w:p>
    <w:p w:rsidR="00E26C8E" w:rsidRPr="00E26C8E" w:rsidRDefault="00E26C8E" w:rsidP="00E26C8E">
      <w:pPr>
        <w:ind w:left="1418" w:hanging="567"/>
        <w:rPr>
          <w:rFonts w:eastAsia="Times New Roman"/>
          <w:i/>
          <w:szCs w:val="17"/>
        </w:rPr>
      </w:pPr>
      <w:r w:rsidRPr="00E26C8E">
        <w:rPr>
          <w:rFonts w:eastAsia="Times New Roman"/>
          <w:i/>
          <w:szCs w:val="17"/>
        </w:rPr>
        <w:t>2.5.6</w:t>
      </w:r>
      <w:r w:rsidRPr="00E26C8E">
        <w:rPr>
          <w:rFonts w:eastAsia="Times New Roman"/>
          <w:i/>
          <w:szCs w:val="17"/>
        </w:rPr>
        <w:tab/>
        <w:t>Conveyors and pipelines</w:t>
      </w:r>
    </w:p>
    <w:p w:rsidR="00E26C8E" w:rsidRPr="00E26C8E" w:rsidRDefault="00E26C8E" w:rsidP="00E26C8E">
      <w:pPr>
        <w:ind w:left="1418"/>
        <w:rPr>
          <w:rFonts w:eastAsia="Times New Roman"/>
          <w:szCs w:val="17"/>
        </w:rPr>
      </w:pPr>
      <w:r w:rsidRPr="00E26C8E">
        <w:rPr>
          <w:rFonts w:eastAsia="Times New Roman"/>
          <w:szCs w:val="17"/>
        </w:rPr>
        <w:t>Provide a description of any conveyors or pipelines to be used for transporting material to or from the mine, processing facilities and the point of sale including:</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length, size (volumes to be transported), design and type of construction and location</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the material being transported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leak detection strategies for pipelines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noise sources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dust sources and composition</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fire ignition sources;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maps, plans and cross-sections (as per 7.1.2.1).</w:t>
      </w:r>
    </w:p>
    <w:p w:rsidR="00E26C8E" w:rsidRPr="00E26C8E" w:rsidRDefault="00E26C8E" w:rsidP="00E26C8E">
      <w:pPr>
        <w:ind w:left="1418" w:hanging="567"/>
        <w:rPr>
          <w:rFonts w:eastAsia="Times New Roman"/>
          <w:i/>
          <w:szCs w:val="17"/>
        </w:rPr>
      </w:pPr>
      <w:r w:rsidRPr="00E26C8E">
        <w:rPr>
          <w:rFonts w:eastAsia="Times New Roman"/>
          <w:i/>
          <w:szCs w:val="17"/>
        </w:rPr>
        <w:t>2.5.7</w:t>
      </w:r>
      <w:r w:rsidRPr="00E26C8E">
        <w:rPr>
          <w:rFonts w:eastAsia="Times New Roman"/>
          <w:i/>
          <w:szCs w:val="17"/>
        </w:rPr>
        <w:tab/>
        <w:t>Hours of operation</w:t>
      </w:r>
    </w:p>
    <w:p w:rsidR="00E26C8E" w:rsidRPr="00E26C8E" w:rsidRDefault="00E26C8E" w:rsidP="00E26C8E">
      <w:pPr>
        <w:ind w:left="1418"/>
        <w:rPr>
          <w:rFonts w:eastAsia="Times New Roman"/>
          <w:szCs w:val="17"/>
        </w:rPr>
      </w:pPr>
      <w:r w:rsidRPr="00E26C8E">
        <w:rPr>
          <w:rFonts w:eastAsia="Times New Roman"/>
          <w:szCs w:val="17"/>
        </w:rPr>
        <w:t>Describe the hours of operation of crushing/grinding, processing and transport activities.</w:t>
      </w:r>
    </w:p>
    <w:p w:rsidR="00E26C8E" w:rsidRPr="00E26C8E" w:rsidRDefault="00E26C8E" w:rsidP="00E26C8E">
      <w:pPr>
        <w:ind w:left="1418" w:hanging="567"/>
        <w:rPr>
          <w:rFonts w:eastAsia="Times New Roman"/>
          <w:i/>
          <w:szCs w:val="17"/>
        </w:rPr>
      </w:pPr>
      <w:r w:rsidRPr="00E26C8E">
        <w:rPr>
          <w:rFonts w:eastAsia="Times New Roman"/>
          <w:i/>
          <w:szCs w:val="17"/>
        </w:rPr>
        <w:t>2.5.8</w:t>
      </w:r>
      <w:r w:rsidRPr="00E26C8E">
        <w:rPr>
          <w:rFonts w:eastAsia="Times New Roman"/>
          <w:i/>
          <w:szCs w:val="17"/>
        </w:rPr>
        <w:tab/>
        <w:t>Care and maintenance</w:t>
      </w:r>
    </w:p>
    <w:p w:rsidR="00E26C8E" w:rsidRPr="00E26C8E" w:rsidRDefault="00E26C8E" w:rsidP="00E26C8E">
      <w:pPr>
        <w:ind w:left="1418"/>
        <w:rPr>
          <w:rFonts w:eastAsia="Times New Roman"/>
          <w:szCs w:val="17"/>
        </w:rPr>
      </w:pPr>
      <w:r w:rsidRPr="00E26C8E">
        <w:rPr>
          <w:rFonts w:eastAsia="Times New Roman"/>
          <w:szCs w:val="17"/>
        </w:rPr>
        <w:t>Detail all activities and strategies required for care and maintenance of processing facilities, and material transport systems, should the mine suspend production, but not progress immediately to closure.</w:t>
      </w:r>
    </w:p>
    <w:p w:rsidR="00E26C8E" w:rsidRPr="00E26C8E" w:rsidRDefault="00E26C8E" w:rsidP="00E26C8E">
      <w:pPr>
        <w:ind w:left="1418" w:hanging="567"/>
        <w:rPr>
          <w:rFonts w:eastAsia="Times New Roman"/>
          <w:i/>
          <w:szCs w:val="17"/>
        </w:rPr>
      </w:pPr>
      <w:r w:rsidRPr="00E26C8E">
        <w:rPr>
          <w:rFonts w:eastAsia="Times New Roman"/>
          <w:i/>
          <w:szCs w:val="17"/>
        </w:rPr>
        <w:t>2.5.9</w:t>
      </w:r>
      <w:r w:rsidRPr="00E26C8E">
        <w:rPr>
          <w:rFonts w:eastAsia="Times New Roman"/>
          <w:i/>
          <w:szCs w:val="17"/>
        </w:rPr>
        <w:tab/>
        <w:t>Rehabilitation strategies and timing</w:t>
      </w:r>
    </w:p>
    <w:p w:rsidR="00E26C8E" w:rsidRPr="00E26C8E" w:rsidRDefault="00E26C8E" w:rsidP="00E26C8E">
      <w:pPr>
        <w:ind w:left="1418"/>
        <w:rPr>
          <w:rFonts w:eastAsia="Times New Roman"/>
          <w:szCs w:val="17"/>
        </w:rPr>
      </w:pPr>
      <w:r w:rsidRPr="00E26C8E">
        <w:rPr>
          <w:rFonts w:eastAsia="Times New Roman"/>
          <w:szCs w:val="17"/>
        </w:rPr>
        <w:t>Detail all activities, strategies and designs relating to mine closure for removal, disposal, and rehabilitation of processing facilities, and material transport systems, including timing of these activities.</w:t>
      </w:r>
    </w:p>
    <w:p w:rsidR="00E26C8E" w:rsidRPr="00E26C8E" w:rsidRDefault="00E26C8E" w:rsidP="00E26C8E">
      <w:pPr>
        <w:ind w:left="1418"/>
        <w:rPr>
          <w:rFonts w:eastAsia="Times New Roman"/>
          <w:szCs w:val="17"/>
        </w:rPr>
      </w:pPr>
      <w:r w:rsidRPr="00E26C8E">
        <w:rPr>
          <w:rFonts w:eastAsia="Times New Roman"/>
          <w:szCs w:val="17"/>
        </w:rPr>
        <w:t>For rehabilitation strategies and timing related to heap leach, provide: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 heap leach detoxification strategy</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identification of the volumes of process solution and flush water to be disposed of at closure;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 methodology for the disposal of residual process solution and flush water at closure.</w:t>
      </w:r>
    </w:p>
    <w:p w:rsidR="00E26C8E" w:rsidRPr="00E26C8E" w:rsidRDefault="00E26C8E" w:rsidP="00E26C8E">
      <w:pPr>
        <w:ind w:left="851" w:hanging="425"/>
        <w:rPr>
          <w:rFonts w:eastAsia="Times New Roman"/>
          <w:b/>
          <w:szCs w:val="17"/>
        </w:rPr>
      </w:pPr>
      <w:r w:rsidRPr="00E26C8E">
        <w:rPr>
          <w:rFonts w:eastAsia="Times New Roman"/>
          <w:b/>
          <w:szCs w:val="17"/>
        </w:rPr>
        <w:t>2.6</w:t>
      </w:r>
      <w:r w:rsidRPr="00E26C8E">
        <w:rPr>
          <w:rFonts w:eastAsia="Times New Roman"/>
          <w:b/>
          <w:szCs w:val="17"/>
        </w:rPr>
        <w:tab/>
        <w:t>Wastes</w:t>
      </w:r>
    </w:p>
    <w:p w:rsidR="00E26C8E" w:rsidRPr="00E26C8E" w:rsidRDefault="00E26C8E" w:rsidP="00E26C8E">
      <w:pPr>
        <w:ind w:left="1418" w:hanging="567"/>
        <w:rPr>
          <w:rFonts w:eastAsia="Times New Roman"/>
          <w:i/>
          <w:szCs w:val="17"/>
        </w:rPr>
      </w:pPr>
      <w:r w:rsidRPr="00E26C8E">
        <w:rPr>
          <w:rFonts w:eastAsia="Times New Roman"/>
          <w:i/>
          <w:szCs w:val="17"/>
        </w:rPr>
        <w:t>2.6.1</w:t>
      </w:r>
      <w:r w:rsidRPr="00E26C8E">
        <w:rPr>
          <w:rFonts w:eastAsia="Times New Roman"/>
          <w:i/>
          <w:szCs w:val="17"/>
        </w:rPr>
        <w:tab/>
        <w:t>Waste rock and tailings storage facilities</w:t>
      </w:r>
    </w:p>
    <w:p w:rsidR="00E26C8E" w:rsidRPr="00E26C8E" w:rsidRDefault="00E26C8E" w:rsidP="00E26C8E">
      <w:pPr>
        <w:ind w:left="1418"/>
        <w:rPr>
          <w:rFonts w:eastAsia="Times New Roman"/>
          <w:szCs w:val="17"/>
        </w:rPr>
      </w:pPr>
      <w:r w:rsidRPr="00E26C8E">
        <w:rPr>
          <w:rFonts w:eastAsia="Times New Roman"/>
          <w:szCs w:val="17"/>
        </w:rPr>
        <w:t>For waste rock and tailings storage facilities (TSF) provide: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the estimated tonnes and volumes of all waste rock and tailings to be stored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the reserve and any resource or potential resource that the estimated tonnes and volumes of waste rock and tailings is based on</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the type, location, size, shape, height and method of construction of permanent and temporary waste storage facilities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 geochemical and geotechnical assessment of the waste rock and tailings based on the geochemical and geotechnical properties determined from the analysis of representative sampling of all waste rock types and tailings to be disposed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an assessment on the weathering and erosive potential of waste rock to be disposed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specifications, drawings and plans for the design, construction, operation and completion of all facilities (as per 7.1.2.5)</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the method and rate of waste rock/tailings disposal</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where relevant, a description of the placement and encapsulation of waste material deemed to be hazardous, including potentially acid forming material (PAF)</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the method of stabilisation and erosion control of waste storage facilities, both during operations and post completion</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surface water runoff control on disturbed and rehabilitated areas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 geotechnical stability assessment and a factor of safety analysis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an assessment of seepage of liquids through the waste rock and tailings storage facilities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strategies for the containment of any seepage that has the potential to impact the environment</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an assessment of the post completion chemical and physical stability of the structure following rehabilitation, including the expected extent of erosion</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an assessment of the source, pathway and ultimate fate of any potential mobile contaminants;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 description of the governance arrangements for the design, construction, operation and closure including when it is proposed to use third-party verification.</w:t>
      </w:r>
    </w:p>
    <w:p w:rsidR="00E26C8E" w:rsidRPr="00E26C8E" w:rsidRDefault="00E26C8E" w:rsidP="00E26C8E">
      <w:pPr>
        <w:ind w:left="1418"/>
        <w:rPr>
          <w:rFonts w:eastAsia="Times New Roman"/>
          <w:szCs w:val="17"/>
        </w:rPr>
      </w:pPr>
      <w:r w:rsidRPr="00E26C8E">
        <w:rPr>
          <w:rFonts w:eastAsia="Times New Roman"/>
          <w:szCs w:val="17"/>
        </w:rPr>
        <w:t>Include a water balance for the TSF (if not included in the water balance in clause 2.5.4).</w:t>
      </w:r>
    </w:p>
    <w:p w:rsidR="00E26C8E" w:rsidRPr="00E26C8E" w:rsidRDefault="00E26C8E" w:rsidP="00E26C8E">
      <w:pPr>
        <w:ind w:left="1418" w:hanging="567"/>
        <w:rPr>
          <w:rFonts w:eastAsia="Times New Roman"/>
          <w:i/>
          <w:szCs w:val="17"/>
        </w:rPr>
      </w:pPr>
      <w:r w:rsidRPr="00E26C8E">
        <w:rPr>
          <w:rFonts w:eastAsia="Times New Roman"/>
          <w:i/>
          <w:szCs w:val="17"/>
        </w:rPr>
        <w:t>2.6.2</w:t>
      </w:r>
      <w:r w:rsidRPr="00E26C8E">
        <w:rPr>
          <w:rFonts w:eastAsia="Times New Roman"/>
          <w:i/>
          <w:szCs w:val="17"/>
        </w:rPr>
        <w:tab/>
        <w:t>Other processing wastes</w:t>
      </w:r>
    </w:p>
    <w:p w:rsidR="00E26C8E" w:rsidRPr="00E26C8E" w:rsidRDefault="00E26C8E" w:rsidP="00E26C8E">
      <w:pPr>
        <w:ind w:left="1418"/>
        <w:rPr>
          <w:rFonts w:eastAsia="Times New Roman"/>
          <w:szCs w:val="17"/>
        </w:rPr>
      </w:pPr>
      <w:r w:rsidRPr="00E26C8E">
        <w:rPr>
          <w:rFonts w:eastAsia="Times New Roman"/>
          <w:szCs w:val="17"/>
        </w:rPr>
        <w:t>Provide: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the volumes and composition of all solid and liquid wastes produced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estimated volumes of waste processing water, reverse osmosis reject water, water content of solid wastes, and method of disposal or recycling</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waste water composition</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disposal and management of any hazardous material or contaminants within waste including radioactive, toxic, corrosive or flammable materials;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the source, pathway and ultimate fate of any potential mobile contaminants.</w:t>
      </w:r>
    </w:p>
    <w:p w:rsidR="00E26C8E" w:rsidRPr="00E26C8E" w:rsidRDefault="00E26C8E" w:rsidP="00E26C8E">
      <w:pPr>
        <w:ind w:left="1418" w:hanging="567"/>
        <w:rPr>
          <w:rFonts w:eastAsia="Times New Roman"/>
          <w:i/>
          <w:szCs w:val="17"/>
        </w:rPr>
      </w:pPr>
      <w:r w:rsidRPr="00E26C8E">
        <w:rPr>
          <w:rFonts w:eastAsia="Times New Roman"/>
          <w:i/>
          <w:szCs w:val="17"/>
        </w:rPr>
        <w:t>2.6.3</w:t>
      </w:r>
      <w:r w:rsidRPr="00E26C8E">
        <w:rPr>
          <w:rFonts w:eastAsia="Times New Roman"/>
          <w:i/>
          <w:szCs w:val="17"/>
        </w:rPr>
        <w:tab/>
        <w:t>Industrial and commercial wastes</w:t>
      </w:r>
    </w:p>
    <w:p w:rsidR="00E26C8E" w:rsidRPr="00E26C8E" w:rsidRDefault="00E26C8E" w:rsidP="00E26C8E">
      <w:pPr>
        <w:ind w:left="1418"/>
        <w:rPr>
          <w:rFonts w:eastAsia="Times New Roman"/>
          <w:szCs w:val="17"/>
        </w:rPr>
      </w:pPr>
      <w:r w:rsidRPr="00E26C8E">
        <w:rPr>
          <w:rFonts w:eastAsia="Times New Roman"/>
          <w:szCs w:val="17"/>
        </w:rPr>
        <w:t>List any industrial and commercial wastes generated including, but not limited to:</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putrescible waste, including sewage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oils and other hydrocarbons;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tyres.</w:t>
      </w:r>
    </w:p>
    <w:p w:rsidR="00E26C8E" w:rsidRPr="00E26C8E" w:rsidRDefault="00E26C8E" w:rsidP="00E26C8E">
      <w:pPr>
        <w:ind w:left="1701" w:hanging="283"/>
        <w:rPr>
          <w:rFonts w:eastAsia="Times New Roman"/>
          <w:szCs w:val="17"/>
        </w:rPr>
      </w:pPr>
      <w:r w:rsidRPr="00E26C8E">
        <w:rPr>
          <w:rFonts w:eastAsia="Times New Roman"/>
          <w:szCs w:val="17"/>
        </w:rPr>
        <w:t>For each waste type, describe the method of disposal including:</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offsite disposal</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on site waste disposal (including size, location and construction details)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recycling (either on or offsite)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the type, area and layout of sewage systems to be installed at the site;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describe what, if any, approvals are required for the disposal of waste.</w:t>
      </w:r>
    </w:p>
    <w:p w:rsidR="00E26C8E" w:rsidRPr="00E26C8E" w:rsidRDefault="00E26C8E" w:rsidP="00E26C8E">
      <w:pPr>
        <w:ind w:left="1418"/>
        <w:rPr>
          <w:rFonts w:eastAsia="Times New Roman"/>
          <w:szCs w:val="17"/>
        </w:rPr>
      </w:pPr>
      <w:r w:rsidRPr="00E26C8E">
        <w:rPr>
          <w:rFonts w:eastAsia="Times New Roman"/>
          <w:szCs w:val="17"/>
        </w:rPr>
        <w:t>For each type of waste, describe any potential contaminants that may be generated from onsite storage, and the ultimate fate of those contaminants.</w:t>
      </w:r>
    </w:p>
    <w:p w:rsidR="00E26C8E" w:rsidRPr="00E26C8E" w:rsidRDefault="00E26C8E" w:rsidP="00E26C8E">
      <w:pPr>
        <w:ind w:left="1418" w:hanging="567"/>
        <w:rPr>
          <w:rFonts w:eastAsia="Times New Roman"/>
          <w:i/>
          <w:szCs w:val="17"/>
        </w:rPr>
      </w:pPr>
      <w:r w:rsidRPr="00E26C8E">
        <w:rPr>
          <w:rFonts w:eastAsia="Times New Roman"/>
          <w:i/>
          <w:szCs w:val="17"/>
        </w:rPr>
        <w:t>2.6.4</w:t>
      </w:r>
      <w:r w:rsidRPr="00E26C8E">
        <w:rPr>
          <w:rFonts w:eastAsia="Times New Roman"/>
          <w:i/>
          <w:szCs w:val="17"/>
        </w:rPr>
        <w:tab/>
        <w:t>Care and maintenance</w:t>
      </w:r>
    </w:p>
    <w:p w:rsidR="00E26C8E" w:rsidRPr="00E26C8E" w:rsidRDefault="00E26C8E" w:rsidP="00E26C8E">
      <w:pPr>
        <w:ind w:left="1418"/>
        <w:rPr>
          <w:rFonts w:eastAsia="Times New Roman"/>
          <w:szCs w:val="17"/>
        </w:rPr>
      </w:pPr>
      <w:r w:rsidRPr="00E26C8E">
        <w:rPr>
          <w:rFonts w:eastAsia="Times New Roman"/>
          <w:szCs w:val="17"/>
        </w:rPr>
        <w:t>Detail all activities and strategies required for care and maintenance of waste rock and tailings and any other waste left on site should the mine suspend production, but not progress immediately to closure.</w:t>
      </w:r>
    </w:p>
    <w:p w:rsidR="00E26C8E" w:rsidRPr="00E26C8E" w:rsidRDefault="00E26C8E" w:rsidP="00E26C8E">
      <w:pPr>
        <w:ind w:left="1418" w:hanging="567"/>
        <w:rPr>
          <w:rFonts w:eastAsia="Times New Roman"/>
          <w:i/>
          <w:szCs w:val="17"/>
        </w:rPr>
      </w:pPr>
      <w:r w:rsidRPr="00E26C8E">
        <w:rPr>
          <w:rFonts w:eastAsia="Times New Roman"/>
          <w:i/>
          <w:szCs w:val="17"/>
        </w:rPr>
        <w:t>2.6.5</w:t>
      </w:r>
      <w:r w:rsidRPr="00E26C8E">
        <w:rPr>
          <w:rFonts w:eastAsia="Times New Roman"/>
          <w:i/>
          <w:szCs w:val="17"/>
        </w:rPr>
        <w:tab/>
        <w:t>Rehabilitation strategies and timing</w:t>
      </w:r>
    </w:p>
    <w:p w:rsidR="00E26C8E" w:rsidRPr="00E26C8E" w:rsidRDefault="00E26C8E" w:rsidP="00E26C8E">
      <w:pPr>
        <w:ind w:left="1418"/>
        <w:rPr>
          <w:rFonts w:eastAsia="Times New Roman"/>
          <w:szCs w:val="17"/>
        </w:rPr>
      </w:pPr>
      <w:r w:rsidRPr="00E26C8E">
        <w:rPr>
          <w:rFonts w:eastAsia="Times New Roman"/>
          <w:szCs w:val="17"/>
        </w:rPr>
        <w:t>Detail all activities, strategies and designs relating to mine closure, including timing of these activities and all opportunities for progressive rehabilitation of waste rock and tailings and any other waste to be left on site.</w:t>
      </w:r>
    </w:p>
    <w:p w:rsidR="00E26C8E" w:rsidRPr="00E26C8E" w:rsidRDefault="00E26C8E" w:rsidP="00E26C8E">
      <w:pPr>
        <w:spacing w:after="0" w:line="240" w:lineRule="auto"/>
        <w:jc w:val="left"/>
        <w:rPr>
          <w:rFonts w:eastAsia="Times New Roman"/>
          <w:b/>
          <w:szCs w:val="17"/>
        </w:rPr>
      </w:pPr>
      <w:r w:rsidRPr="00E26C8E">
        <w:rPr>
          <w:rFonts w:eastAsia="Times New Roman"/>
          <w:b/>
          <w:szCs w:val="17"/>
        </w:rPr>
        <w:br w:type="page"/>
      </w:r>
    </w:p>
    <w:p w:rsidR="00E26C8E" w:rsidRPr="00E26C8E" w:rsidRDefault="00E26C8E" w:rsidP="00E26C8E">
      <w:pPr>
        <w:ind w:left="851" w:hanging="425"/>
        <w:rPr>
          <w:rFonts w:eastAsia="Times New Roman"/>
          <w:b/>
          <w:szCs w:val="17"/>
        </w:rPr>
      </w:pPr>
      <w:r w:rsidRPr="00E26C8E">
        <w:rPr>
          <w:rFonts w:eastAsia="Times New Roman"/>
          <w:b/>
          <w:szCs w:val="17"/>
        </w:rPr>
        <w:t>2.7</w:t>
      </w:r>
      <w:r w:rsidRPr="00E26C8E">
        <w:rPr>
          <w:rFonts w:eastAsia="Times New Roman"/>
          <w:b/>
          <w:szCs w:val="17"/>
        </w:rPr>
        <w:tab/>
        <w:t>Supporting surface infrastructure</w:t>
      </w:r>
    </w:p>
    <w:p w:rsidR="00E26C8E" w:rsidRPr="00E26C8E" w:rsidRDefault="00E26C8E" w:rsidP="00E26C8E">
      <w:pPr>
        <w:ind w:left="1418" w:hanging="567"/>
        <w:rPr>
          <w:rFonts w:eastAsia="Times New Roman"/>
          <w:i/>
          <w:szCs w:val="17"/>
        </w:rPr>
      </w:pPr>
      <w:r w:rsidRPr="00E26C8E">
        <w:rPr>
          <w:rFonts w:eastAsia="Times New Roman"/>
          <w:i/>
          <w:szCs w:val="17"/>
        </w:rPr>
        <w:t>2.7.1</w:t>
      </w:r>
      <w:r w:rsidRPr="00E26C8E">
        <w:rPr>
          <w:rFonts w:eastAsia="Times New Roman"/>
          <w:i/>
          <w:szCs w:val="17"/>
        </w:rPr>
        <w:tab/>
        <w:t>Access</w:t>
      </w:r>
    </w:p>
    <w:p w:rsidR="00E26C8E" w:rsidRPr="00E26C8E" w:rsidRDefault="00E26C8E" w:rsidP="00E26C8E">
      <w:pPr>
        <w:ind w:left="1418"/>
        <w:rPr>
          <w:rFonts w:eastAsia="Times New Roman"/>
          <w:szCs w:val="17"/>
        </w:rPr>
      </w:pPr>
      <w:r w:rsidRPr="00E26C8E">
        <w:rPr>
          <w:rFonts w:eastAsia="Times New Roman"/>
          <w:szCs w:val="17"/>
        </w:rPr>
        <w:t>Describe: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access route to the mining operations and show on a map (as per 7.1.2.6)</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indicate if any new roads are to be constructed, or if existing roads or intersections (public and private) are to be upgraded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transport system(s) used to and from the mining operations and the estimated number of vehicle movements per day;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airport/airstrips to be constructed.</w:t>
      </w:r>
    </w:p>
    <w:p w:rsidR="00E26C8E" w:rsidRPr="00E26C8E" w:rsidRDefault="00E26C8E" w:rsidP="00E26C8E">
      <w:pPr>
        <w:ind w:left="1418" w:hanging="567"/>
        <w:rPr>
          <w:rFonts w:eastAsia="Times New Roman"/>
          <w:i/>
          <w:szCs w:val="17"/>
        </w:rPr>
      </w:pPr>
      <w:r w:rsidRPr="00E26C8E">
        <w:rPr>
          <w:rFonts w:eastAsia="Times New Roman"/>
          <w:i/>
          <w:szCs w:val="17"/>
        </w:rPr>
        <w:t>2.7.2</w:t>
      </w:r>
      <w:r w:rsidRPr="00E26C8E">
        <w:rPr>
          <w:rFonts w:eastAsia="Times New Roman"/>
          <w:i/>
          <w:szCs w:val="17"/>
        </w:rPr>
        <w:tab/>
        <w:t>Accommodation and offices</w:t>
      </w:r>
    </w:p>
    <w:p w:rsidR="00E26C8E" w:rsidRPr="00E26C8E" w:rsidRDefault="00E26C8E" w:rsidP="00E26C8E">
      <w:pPr>
        <w:ind w:left="1418"/>
        <w:rPr>
          <w:rFonts w:eastAsia="Times New Roman"/>
          <w:szCs w:val="17"/>
        </w:rPr>
      </w:pPr>
      <w:r w:rsidRPr="00E26C8E">
        <w:rPr>
          <w:rFonts w:eastAsia="Times New Roman"/>
          <w:szCs w:val="17"/>
        </w:rPr>
        <w:t>Describe onsite personnel accommodation and offices, including (but not limited to):</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number, area, size, type of construction and location of accommodation, office, meals or laboratory buildings, caravans or camp, and associated structures to be used on site;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state if temporary or permanent.</w:t>
      </w:r>
    </w:p>
    <w:p w:rsidR="00E26C8E" w:rsidRPr="00E26C8E" w:rsidRDefault="00E26C8E" w:rsidP="00E26C8E">
      <w:pPr>
        <w:ind w:left="1418" w:hanging="567"/>
        <w:rPr>
          <w:rFonts w:eastAsia="Times New Roman"/>
          <w:i/>
          <w:szCs w:val="17"/>
        </w:rPr>
      </w:pPr>
      <w:r w:rsidRPr="00E26C8E">
        <w:rPr>
          <w:rFonts w:eastAsia="Times New Roman"/>
          <w:i/>
          <w:szCs w:val="17"/>
        </w:rPr>
        <w:t>2.7.3</w:t>
      </w:r>
      <w:r w:rsidRPr="00E26C8E">
        <w:rPr>
          <w:rFonts w:eastAsia="Times New Roman"/>
          <w:i/>
          <w:szCs w:val="17"/>
        </w:rPr>
        <w:tab/>
        <w:t>Public and private services and utilities used by the operation</w:t>
      </w:r>
    </w:p>
    <w:p w:rsidR="00E26C8E" w:rsidRPr="00E26C8E" w:rsidRDefault="00E26C8E" w:rsidP="00E26C8E">
      <w:pPr>
        <w:ind w:left="1418"/>
        <w:rPr>
          <w:rFonts w:eastAsia="Times New Roman"/>
          <w:szCs w:val="17"/>
        </w:rPr>
      </w:pPr>
      <w:r w:rsidRPr="00E26C8E">
        <w:rPr>
          <w:rFonts w:eastAsia="Times New Roman"/>
          <w:szCs w:val="17"/>
        </w:rPr>
        <w:t>Describe: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sources of services that are supplied to the operations, including (but not limited to) power, water, telecommunications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routes for connection if any new connections to public infrastructure are required;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any existing surface infrastructure that has been and/or the extent it may be affected by the mining operations.</w:t>
      </w:r>
    </w:p>
    <w:p w:rsidR="00E26C8E" w:rsidRPr="00E26C8E" w:rsidRDefault="00E26C8E" w:rsidP="00E26C8E">
      <w:pPr>
        <w:ind w:left="1418" w:hanging="567"/>
        <w:rPr>
          <w:rFonts w:eastAsia="Times New Roman"/>
          <w:i/>
          <w:szCs w:val="17"/>
        </w:rPr>
      </w:pPr>
      <w:r w:rsidRPr="00E26C8E">
        <w:rPr>
          <w:rFonts w:eastAsia="Times New Roman"/>
          <w:i/>
          <w:szCs w:val="17"/>
        </w:rPr>
        <w:t>2.7.4</w:t>
      </w:r>
      <w:r w:rsidRPr="00E26C8E">
        <w:rPr>
          <w:rFonts w:eastAsia="Times New Roman"/>
          <w:i/>
          <w:szCs w:val="17"/>
        </w:rPr>
        <w:tab/>
        <w:t>Visual screening</w:t>
      </w:r>
    </w:p>
    <w:p w:rsidR="00E26C8E" w:rsidRPr="00E26C8E" w:rsidRDefault="00E26C8E" w:rsidP="00E26C8E">
      <w:pPr>
        <w:ind w:left="1418"/>
        <w:rPr>
          <w:rFonts w:eastAsia="Times New Roman"/>
          <w:szCs w:val="17"/>
        </w:rPr>
      </w:pPr>
      <w:r w:rsidRPr="00E26C8E">
        <w:rPr>
          <w:rFonts w:eastAsia="Times New Roman"/>
          <w:szCs w:val="17"/>
        </w:rPr>
        <w:t>Describe the type of screening, including existing or planned vegetation (i.e. species and density of plantings) and show on a map (as per 7.1.2.1).</w:t>
      </w:r>
    </w:p>
    <w:p w:rsidR="00E26C8E" w:rsidRPr="00E26C8E" w:rsidRDefault="00E26C8E" w:rsidP="00E26C8E">
      <w:pPr>
        <w:ind w:left="1418" w:hanging="567"/>
        <w:rPr>
          <w:rFonts w:eastAsia="Times New Roman"/>
          <w:i/>
          <w:szCs w:val="17"/>
        </w:rPr>
      </w:pPr>
      <w:r w:rsidRPr="00E26C8E">
        <w:rPr>
          <w:rFonts w:eastAsia="Times New Roman"/>
          <w:i/>
          <w:szCs w:val="17"/>
        </w:rPr>
        <w:t>2.7.5</w:t>
      </w:r>
      <w:r w:rsidRPr="00E26C8E">
        <w:rPr>
          <w:rFonts w:eastAsia="Times New Roman"/>
          <w:i/>
          <w:szCs w:val="17"/>
        </w:rPr>
        <w:tab/>
        <w:t>Fuel and chemical storage</w:t>
      </w:r>
    </w:p>
    <w:p w:rsidR="00E26C8E" w:rsidRPr="00E26C8E" w:rsidRDefault="00E26C8E" w:rsidP="00E26C8E">
      <w:pPr>
        <w:ind w:left="1418"/>
        <w:rPr>
          <w:rFonts w:eastAsia="Times New Roman"/>
          <w:szCs w:val="17"/>
        </w:rPr>
      </w:pPr>
      <w:r w:rsidRPr="00E26C8E">
        <w:rPr>
          <w:rFonts w:eastAsia="Times New Roman"/>
          <w:szCs w:val="17"/>
        </w:rPr>
        <w:t>For all fuels and chemicals stored on site show the proposed location of storage on a map (as per 7.1.2.1) and provide detail on:</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types of bulk chemicals and the volumes of each;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details on storage, bunding and containment for all chemical and fuel storage vessels.</w:t>
      </w:r>
    </w:p>
    <w:p w:rsidR="00E26C8E" w:rsidRPr="00E26C8E" w:rsidRDefault="00E26C8E" w:rsidP="00E26C8E">
      <w:pPr>
        <w:ind w:left="1418" w:hanging="567"/>
        <w:rPr>
          <w:rFonts w:eastAsia="Times New Roman"/>
          <w:i/>
          <w:szCs w:val="17"/>
        </w:rPr>
      </w:pPr>
      <w:r w:rsidRPr="00E26C8E">
        <w:rPr>
          <w:rFonts w:eastAsia="Times New Roman"/>
          <w:i/>
          <w:szCs w:val="17"/>
        </w:rPr>
        <w:t>2.7.6</w:t>
      </w:r>
      <w:r w:rsidRPr="00E26C8E">
        <w:rPr>
          <w:rFonts w:eastAsia="Times New Roman"/>
          <w:i/>
          <w:szCs w:val="17"/>
        </w:rPr>
        <w:tab/>
        <w:t>Site security</w:t>
      </w:r>
    </w:p>
    <w:p w:rsidR="00E26C8E" w:rsidRPr="00E26C8E" w:rsidRDefault="00E26C8E" w:rsidP="00E26C8E">
      <w:pPr>
        <w:ind w:left="1418"/>
        <w:rPr>
          <w:rFonts w:eastAsia="Times New Roman"/>
          <w:szCs w:val="17"/>
        </w:rPr>
      </w:pPr>
      <w:r w:rsidRPr="00E26C8E">
        <w:rPr>
          <w:rFonts w:eastAsia="Times New Roman"/>
          <w:szCs w:val="17"/>
        </w:rPr>
        <w:t>Describe and show on a map (as per 7.1.2.1) infrastructure and measures that will be adopted to prevent unauthorised access by the public, including fencing, signage etc.</w:t>
      </w:r>
    </w:p>
    <w:p w:rsidR="00E26C8E" w:rsidRPr="00E26C8E" w:rsidRDefault="00E26C8E" w:rsidP="00E26C8E">
      <w:pPr>
        <w:ind w:left="1418" w:hanging="567"/>
        <w:rPr>
          <w:rFonts w:eastAsia="Times New Roman"/>
          <w:i/>
          <w:szCs w:val="17"/>
        </w:rPr>
      </w:pPr>
      <w:r w:rsidRPr="00E26C8E">
        <w:rPr>
          <w:rFonts w:eastAsia="Times New Roman"/>
          <w:i/>
          <w:szCs w:val="17"/>
        </w:rPr>
        <w:t>2.7.7</w:t>
      </w:r>
      <w:r w:rsidRPr="00E26C8E">
        <w:rPr>
          <w:rFonts w:eastAsia="Times New Roman"/>
          <w:i/>
          <w:szCs w:val="17"/>
        </w:rPr>
        <w:tab/>
        <w:t>Stormwater, silt control and drainage</w:t>
      </w:r>
    </w:p>
    <w:p w:rsidR="00E26C8E" w:rsidRPr="00E26C8E" w:rsidRDefault="00E26C8E" w:rsidP="00E26C8E">
      <w:pPr>
        <w:ind w:left="1418"/>
        <w:rPr>
          <w:rFonts w:eastAsia="Times New Roman"/>
          <w:szCs w:val="17"/>
        </w:rPr>
      </w:pPr>
      <w:r w:rsidRPr="00E26C8E">
        <w:rPr>
          <w:rFonts w:eastAsia="Times New Roman"/>
          <w:szCs w:val="17"/>
        </w:rPr>
        <w:t>Describe: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location and design of silt management structures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runoff control on disturbed and rehabilitated areas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storage, diversion and release of clean water (discharge water must comply with the applicable Environment Protection Authority South Australia water quality policy);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 whole of site stormwater balance, if not included in the water balance in clause 2.5.4.</w:t>
      </w:r>
    </w:p>
    <w:p w:rsidR="00E26C8E" w:rsidRPr="00E26C8E" w:rsidRDefault="00E26C8E" w:rsidP="00E26C8E">
      <w:pPr>
        <w:ind w:left="1418"/>
        <w:rPr>
          <w:rFonts w:eastAsia="Times New Roman"/>
          <w:szCs w:val="17"/>
        </w:rPr>
      </w:pPr>
      <w:r w:rsidRPr="00E26C8E">
        <w:rPr>
          <w:rFonts w:eastAsia="Times New Roman"/>
          <w:szCs w:val="17"/>
        </w:rPr>
        <w:t>Provide a plan showing the surface water movement for the whole mine site (as per 7.1.2.1).</w:t>
      </w:r>
    </w:p>
    <w:p w:rsidR="00E26C8E" w:rsidRPr="00E26C8E" w:rsidRDefault="00E26C8E" w:rsidP="00E26C8E">
      <w:pPr>
        <w:ind w:left="1418" w:hanging="567"/>
        <w:rPr>
          <w:rFonts w:eastAsia="Times New Roman"/>
          <w:i/>
          <w:szCs w:val="17"/>
        </w:rPr>
      </w:pPr>
      <w:r w:rsidRPr="00E26C8E">
        <w:rPr>
          <w:rFonts w:eastAsia="Times New Roman"/>
          <w:i/>
          <w:szCs w:val="17"/>
        </w:rPr>
        <w:t>2.7.8</w:t>
      </w:r>
      <w:r w:rsidRPr="00E26C8E">
        <w:rPr>
          <w:rFonts w:eastAsia="Times New Roman"/>
          <w:i/>
          <w:szCs w:val="17"/>
        </w:rPr>
        <w:tab/>
        <w:t>Care and maintenance</w:t>
      </w:r>
    </w:p>
    <w:p w:rsidR="00E26C8E" w:rsidRPr="00E26C8E" w:rsidRDefault="00E26C8E" w:rsidP="00E26C8E">
      <w:pPr>
        <w:ind w:left="1418"/>
        <w:rPr>
          <w:rFonts w:eastAsia="Times New Roman"/>
          <w:szCs w:val="17"/>
        </w:rPr>
      </w:pPr>
      <w:r w:rsidRPr="00E26C8E">
        <w:rPr>
          <w:rFonts w:eastAsia="Times New Roman"/>
          <w:szCs w:val="17"/>
        </w:rPr>
        <w:t>Detail all activities and strategies required for care and maintenance of supporting surface infrastructure should the mine suspend production, but not progress immediately to closure.</w:t>
      </w:r>
    </w:p>
    <w:p w:rsidR="00E26C8E" w:rsidRPr="00E26C8E" w:rsidRDefault="00E26C8E" w:rsidP="00E26C8E">
      <w:pPr>
        <w:ind w:left="1418" w:hanging="567"/>
        <w:rPr>
          <w:rFonts w:eastAsia="Times New Roman"/>
          <w:i/>
          <w:szCs w:val="17"/>
        </w:rPr>
      </w:pPr>
      <w:r w:rsidRPr="00E26C8E">
        <w:rPr>
          <w:rFonts w:eastAsia="Times New Roman"/>
          <w:i/>
          <w:szCs w:val="17"/>
        </w:rPr>
        <w:t>2.7.9</w:t>
      </w:r>
      <w:r w:rsidRPr="00E26C8E">
        <w:rPr>
          <w:rFonts w:eastAsia="Times New Roman"/>
          <w:i/>
          <w:szCs w:val="17"/>
        </w:rPr>
        <w:tab/>
        <w:t>Rehabilitation strategies and timing</w:t>
      </w:r>
    </w:p>
    <w:p w:rsidR="00E26C8E" w:rsidRPr="00E26C8E" w:rsidRDefault="00E26C8E" w:rsidP="00E26C8E">
      <w:pPr>
        <w:ind w:left="1418"/>
        <w:rPr>
          <w:rFonts w:eastAsia="Times New Roman"/>
          <w:szCs w:val="17"/>
        </w:rPr>
      </w:pPr>
      <w:r w:rsidRPr="00E26C8E">
        <w:rPr>
          <w:rFonts w:eastAsia="Times New Roman"/>
          <w:szCs w:val="17"/>
        </w:rPr>
        <w:t>Detail all activities, strategies and designs relating to mine closure for rehabilitation of supporting surface infrastructure. Provide details for timing of closure activities, including all opportunities for progressive rehabilitation.</w:t>
      </w:r>
    </w:p>
    <w:p w:rsidR="00E26C8E" w:rsidRPr="00E26C8E" w:rsidRDefault="00E26C8E" w:rsidP="00E26C8E">
      <w:pPr>
        <w:ind w:left="851" w:hanging="425"/>
        <w:rPr>
          <w:rFonts w:eastAsia="Times New Roman"/>
          <w:b/>
          <w:szCs w:val="17"/>
        </w:rPr>
      </w:pPr>
      <w:r w:rsidRPr="00E26C8E">
        <w:rPr>
          <w:rFonts w:eastAsia="Times New Roman"/>
          <w:b/>
          <w:szCs w:val="17"/>
        </w:rPr>
        <w:t>2.8</w:t>
      </w:r>
      <w:r w:rsidRPr="00E26C8E">
        <w:rPr>
          <w:rFonts w:eastAsia="Times New Roman"/>
          <w:b/>
          <w:szCs w:val="17"/>
        </w:rPr>
        <w:tab/>
        <w:t>Vegetation clearance</w:t>
      </w:r>
    </w:p>
    <w:p w:rsidR="00E26C8E" w:rsidRPr="00E26C8E" w:rsidRDefault="00E26C8E" w:rsidP="00E26C8E">
      <w:pPr>
        <w:ind w:left="1418"/>
        <w:rPr>
          <w:rFonts w:eastAsia="Times New Roman"/>
          <w:szCs w:val="17"/>
        </w:rPr>
      </w:pPr>
      <w:r w:rsidRPr="00E26C8E">
        <w:rPr>
          <w:rFonts w:eastAsia="Times New Roman"/>
          <w:szCs w:val="17"/>
        </w:rPr>
        <w:t>If clearance of native vegetation is to occur, a Native Vegetation Management Plan (NVMP) prepared by an accredited consultant must be included with the transitional PEPR.</w:t>
      </w:r>
    </w:p>
    <w:p w:rsidR="00E26C8E" w:rsidRPr="00E26C8E" w:rsidRDefault="00E26C8E" w:rsidP="00E26C8E">
      <w:pPr>
        <w:ind w:left="1418"/>
        <w:rPr>
          <w:rFonts w:eastAsia="Times New Roman"/>
          <w:szCs w:val="17"/>
        </w:rPr>
      </w:pPr>
      <w:r w:rsidRPr="00E26C8E">
        <w:rPr>
          <w:rFonts w:eastAsia="Times New Roman"/>
          <w:szCs w:val="17"/>
        </w:rPr>
        <w:t>The NVMP must:</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describe the vegetation type to be cleared and include a map (as per 7.1.2.2) showing the proposed clearance area;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state the quantum of significant environmental benefit (SEB) to be gained in exchange for the clearance and describe how the SEB will be provided.</w:t>
      </w:r>
    </w:p>
    <w:p w:rsidR="00E26C8E" w:rsidRPr="00E26C8E" w:rsidRDefault="00E26C8E" w:rsidP="00E26C8E">
      <w:pPr>
        <w:spacing w:after="0" w:line="240" w:lineRule="auto"/>
        <w:jc w:val="left"/>
        <w:rPr>
          <w:rFonts w:eastAsia="Times New Roman"/>
          <w:b/>
          <w:szCs w:val="17"/>
        </w:rPr>
      </w:pPr>
      <w:r w:rsidRPr="00E26C8E">
        <w:rPr>
          <w:rFonts w:eastAsia="Times New Roman"/>
          <w:b/>
          <w:szCs w:val="17"/>
        </w:rPr>
        <w:br w:type="page"/>
      </w:r>
    </w:p>
    <w:p w:rsidR="00E26C8E" w:rsidRPr="00E26C8E" w:rsidRDefault="00E26C8E" w:rsidP="00E26C8E">
      <w:pPr>
        <w:ind w:left="851" w:hanging="425"/>
        <w:rPr>
          <w:rFonts w:eastAsia="Times New Roman"/>
          <w:b/>
          <w:szCs w:val="17"/>
        </w:rPr>
      </w:pPr>
      <w:r w:rsidRPr="00E26C8E">
        <w:rPr>
          <w:rFonts w:eastAsia="Times New Roman"/>
          <w:b/>
          <w:szCs w:val="17"/>
        </w:rPr>
        <w:t>2.9</w:t>
      </w:r>
      <w:r w:rsidRPr="00E26C8E">
        <w:rPr>
          <w:rFonts w:eastAsia="Times New Roman"/>
          <w:b/>
          <w:szCs w:val="17"/>
        </w:rPr>
        <w:tab/>
        <w:t>Mine completion</w:t>
      </w:r>
    </w:p>
    <w:p w:rsidR="00E26C8E" w:rsidRPr="00E26C8E" w:rsidRDefault="00E26C8E" w:rsidP="00E26C8E">
      <w:pPr>
        <w:ind w:left="1418" w:hanging="567"/>
        <w:rPr>
          <w:rFonts w:eastAsia="Times New Roman"/>
          <w:i/>
          <w:szCs w:val="17"/>
        </w:rPr>
      </w:pPr>
      <w:r w:rsidRPr="00E26C8E">
        <w:rPr>
          <w:rFonts w:eastAsia="Times New Roman"/>
          <w:i/>
          <w:szCs w:val="17"/>
        </w:rPr>
        <w:t>2.9.1</w:t>
      </w:r>
      <w:r w:rsidRPr="00E26C8E">
        <w:rPr>
          <w:rFonts w:eastAsia="Times New Roman"/>
          <w:i/>
          <w:szCs w:val="17"/>
        </w:rPr>
        <w:tab/>
        <w:t>Description of mine site at completion</w:t>
      </w:r>
    </w:p>
    <w:p w:rsidR="00E26C8E" w:rsidRPr="00E26C8E" w:rsidRDefault="00E26C8E" w:rsidP="00E26C8E">
      <w:pPr>
        <w:ind w:left="1418"/>
        <w:rPr>
          <w:rFonts w:eastAsia="Times New Roman"/>
          <w:szCs w:val="17"/>
        </w:rPr>
      </w:pPr>
      <w:r w:rsidRPr="00E26C8E">
        <w:rPr>
          <w:rFonts w:eastAsia="Times New Roman"/>
          <w:szCs w:val="17"/>
        </w:rPr>
        <w:t>Provide a description, plans and cross sections of the mine site (as per 7.1.2.7 and 7.2.2.2) as it will be at completion after all rehabilitation and closure activities have been completed, including:</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final post completion land use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landforms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vegetation covers (including native vegetation that will not be disturbed due to mining operations)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natural contours of land not to be disturbed by mining operations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any mining infrastructure that will remain on site and will become the responsibility of the landowner</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location, description and management of waste disposal areas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location of reshaped and rehabilitated areas showing surface contours and revegetation</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mine voids (open pit and/or underground)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location of stored and/or exposed PAF material and/or other hazardous materials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expected final water level and time to reach this level, and water quality of mine voids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location of surface water infrastructure including ponds and diversions;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representative plans and cross-sections that show:</w:t>
      </w:r>
    </w:p>
    <w:p w:rsidR="00E26C8E" w:rsidRPr="00E26C8E" w:rsidRDefault="00E26C8E" w:rsidP="00E26C8E">
      <w:pPr>
        <w:ind w:left="1985" w:hanging="284"/>
        <w:rPr>
          <w:rFonts w:eastAsia="Times New Roman"/>
          <w:szCs w:val="17"/>
        </w:rPr>
      </w:pPr>
      <w:r w:rsidRPr="00E26C8E">
        <w:rPr>
          <w:rFonts w:eastAsia="Times New Roman"/>
          <w:szCs w:val="17"/>
        </w:rPr>
        <w:t>◦</w:t>
      </w:r>
      <w:r w:rsidRPr="00E26C8E">
        <w:rPr>
          <w:rFonts w:eastAsia="Times New Roman"/>
          <w:szCs w:val="17"/>
        </w:rPr>
        <w:tab/>
        <w:t>pre-mining natural surface</w:t>
      </w:r>
    </w:p>
    <w:p w:rsidR="00E26C8E" w:rsidRPr="00E26C8E" w:rsidRDefault="00E26C8E" w:rsidP="00E26C8E">
      <w:pPr>
        <w:ind w:left="1985" w:hanging="284"/>
        <w:rPr>
          <w:rFonts w:eastAsia="Times New Roman"/>
          <w:szCs w:val="17"/>
        </w:rPr>
      </w:pPr>
      <w:r w:rsidRPr="00E26C8E">
        <w:rPr>
          <w:rFonts w:eastAsia="Times New Roman"/>
          <w:szCs w:val="17"/>
        </w:rPr>
        <w:t>◦</w:t>
      </w:r>
      <w:r w:rsidRPr="00E26C8E">
        <w:rPr>
          <w:rFonts w:eastAsia="Times New Roman"/>
          <w:szCs w:val="17"/>
        </w:rPr>
        <w:tab/>
        <w:t>emplacement areas, waste disposal areas and disturbed areas</w:t>
      </w:r>
    </w:p>
    <w:p w:rsidR="00E26C8E" w:rsidRPr="00E26C8E" w:rsidRDefault="00E26C8E" w:rsidP="00E26C8E">
      <w:pPr>
        <w:ind w:left="1985" w:hanging="284"/>
        <w:rPr>
          <w:rFonts w:eastAsia="Times New Roman"/>
          <w:szCs w:val="17"/>
        </w:rPr>
      </w:pPr>
      <w:r w:rsidRPr="00E26C8E">
        <w:rPr>
          <w:rFonts w:eastAsia="Times New Roman"/>
          <w:szCs w:val="17"/>
        </w:rPr>
        <w:t>◦</w:t>
      </w:r>
      <w:r w:rsidRPr="00E26C8E">
        <w:rPr>
          <w:rFonts w:eastAsia="Times New Roman"/>
          <w:szCs w:val="17"/>
        </w:rPr>
        <w:tab/>
        <w:t>final rehabilitated surface</w:t>
      </w:r>
    </w:p>
    <w:p w:rsidR="00E26C8E" w:rsidRPr="00E26C8E" w:rsidRDefault="00E26C8E" w:rsidP="00E26C8E">
      <w:pPr>
        <w:ind w:left="1985" w:hanging="284"/>
        <w:rPr>
          <w:rFonts w:eastAsia="Times New Roman"/>
          <w:szCs w:val="17"/>
        </w:rPr>
      </w:pPr>
      <w:r w:rsidRPr="00E26C8E">
        <w:rPr>
          <w:rFonts w:eastAsia="Times New Roman"/>
          <w:szCs w:val="17"/>
        </w:rPr>
        <w:t>◦</w:t>
      </w:r>
      <w:r w:rsidRPr="00E26C8E">
        <w:rPr>
          <w:rFonts w:eastAsia="Times New Roman"/>
          <w:szCs w:val="17"/>
        </w:rPr>
        <w:tab/>
        <w:t>where relevant, backfilled and remaining underground workings</w:t>
      </w:r>
    </w:p>
    <w:p w:rsidR="00E26C8E" w:rsidRPr="00E26C8E" w:rsidRDefault="00E26C8E" w:rsidP="00E26C8E">
      <w:pPr>
        <w:ind w:left="1985" w:hanging="284"/>
        <w:rPr>
          <w:rFonts w:eastAsia="Times New Roman"/>
          <w:szCs w:val="17"/>
        </w:rPr>
      </w:pPr>
      <w:r w:rsidRPr="00E26C8E">
        <w:rPr>
          <w:rFonts w:eastAsia="Times New Roman"/>
          <w:szCs w:val="17"/>
        </w:rPr>
        <w:t>◦</w:t>
      </w:r>
      <w:r w:rsidRPr="00E26C8E">
        <w:rPr>
          <w:rFonts w:eastAsia="Times New Roman"/>
          <w:szCs w:val="17"/>
        </w:rPr>
        <w:tab/>
        <w:t>predicted final groundwater levels</w:t>
      </w:r>
    </w:p>
    <w:p w:rsidR="00E26C8E" w:rsidRPr="00E26C8E" w:rsidRDefault="00E26C8E" w:rsidP="00E26C8E">
      <w:pPr>
        <w:ind w:left="1985" w:hanging="284"/>
        <w:rPr>
          <w:rFonts w:eastAsia="Times New Roman"/>
          <w:szCs w:val="17"/>
        </w:rPr>
      </w:pPr>
      <w:r w:rsidRPr="00E26C8E">
        <w:rPr>
          <w:rFonts w:eastAsia="Times New Roman"/>
          <w:szCs w:val="17"/>
        </w:rPr>
        <w:t>◦</w:t>
      </w:r>
      <w:r w:rsidRPr="00E26C8E">
        <w:rPr>
          <w:rFonts w:eastAsia="Times New Roman"/>
          <w:szCs w:val="17"/>
        </w:rPr>
        <w:tab/>
        <w:t>interpreted geology including all rock types.</w:t>
      </w:r>
    </w:p>
    <w:p w:rsidR="00E26C8E" w:rsidRPr="00E26C8E" w:rsidRDefault="00E26C8E" w:rsidP="00E26C8E">
      <w:pPr>
        <w:ind w:left="1418"/>
        <w:rPr>
          <w:rFonts w:eastAsia="Times New Roman"/>
          <w:szCs w:val="17"/>
        </w:rPr>
      </w:pPr>
      <w:r w:rsidRPr="00E26C8E">
        <w:rPr>
          <w:rFonts w:eastAsia="Times New Roman"/>
          <w:szCs w:val="17"/>
        </w:rPr>
        <w:t>Provide a description of the mechanism for transferring responsibility for any potential residual liability (ie. ongoing maintenance or monitoring) subsequent to surrender of the tenement.</w:t>
      </w:r>
    </w:p>
    <w:p w:rsidR="00E26C8E" w:rsidRPr="00E26C8E" w:rsidRDefault="00E26C8E" w:rsidP="00E26C8E">
      <w:pPr>
        <w:ind w:left="1418" w:hanging="567"/>
        <w:rPr>
          <w:rFonts w:eastAsia="Times New Roman"/>
          <w:szCs w:val="17"/>
        </w:rPr>
      </w:pPr>
      <w:r w:rsidRPr="00E26C8E">
        <w:rPr>
          <w:rFonts w:eastAsia="Times New Roman"/>
          <w:i/>
          <w:szCs w:val="17"/>
        </w:rPr>
        <w:t>2.9.2</w:t>
      </w:r>
      <w:r w:rsidRPr="00E26C8E">
        <w:rPr>
          <w:rFonts w:eastAsia="Times New Roman"/>
          <w:i/>
          <w:szCs w:val="17"/>
        </w:rPr>
        <w:tab/>
        <w:t>Rehabilitation liability estimat</w:t>
      </w:r>
      <w:r w:rsidRPr="00E26C8E">
        <w:rPr>
          <w:rFonts w:eastAsia="Times New Roman"/>
          <w:szCs w:val="17"/>
        </w:rPr>
        <w:t>e</w:t>
      </w:r>
    </w:p>
    <w:p w:rsidR="00E26C8E" w:rsidRPr="00E26C8E" w:rsidRDefault="00E26C8E" w:rsidP="00E26C8E">
      <w:pPr>
        <w:ind w:left="1418"/>
        <w:rPr>
          <w:rFonts w:eastAsia="Times New Roman"/>
          <w:szCs w:val="17"/>
        </w:rPr>
      </w:pPr>
      <w:r w:rsidRPr="00E26C8E">
        <w:rPr>
          <w:rFonts w:eastAsia="Times New Roman"/>
          <w:szCs w:val="17"/>
        </w:rPr>
        <w:t>Provide the maximum third-party cost of rehabilitation at any time over the life of mine covered by the transitional PEPR. The estimate must be based on reasonable third-party costs of undertaking the rehabilitation strategies as outlined in clause 2 and include costs for project management, inflation, normal project variation, and contingency provision for risk associated with the strategies and uncertainty in the cost estimates.</w:t>
      </w:r>
    </w:p>
    <w:p w:rsidR="00E26C8E" w:rsidRPr="00E26C8E" w:rsidRDefault="00E26C8E" w:rsidP="00E26C8E">
      <w:pPr>
        <w:ind w:left="851" w:hanging="425"/>
        <w:rPr>
          <w:rFonts w:eastAsia="Times New Roman"/>
          <w:b/>
          <w:szCs w:val="17"/>
        </w:rPr>
      </w:pPr>
      <w:r w:rsidRPr="00E26C8E">
        <w:rPr>
          <w:rFonts w:eastAsia="Times New Roman"/>
          <w:b/>
          <w:szCs w:val="17"/>
        </w:rPr>
        <w:t>2.10</w:t>
      </w:r>
      <w:r w:rsidRPr="00E26C8E">
        <w:rPr>
          <w:rFonts w:eastAsia="Times New Roman"/>
          <w:b/>
          <w:szCs w:val="17"/>
        </w:rPr>
        <w:tab/>
        <w:t>Resource inputs</w:t>
      </w:r>
    </w:p>
    <w:p w:rsidR="00E26C8E" w:rsidRPr="00E26C8E" w:rsidRDefault="00E26C8E" w:rsidP="00E26C8E">
      <w:pPr>
        <w:ind w:left="1418" w:hanging="567"/>
        <w:rPr>
          <w:rFonts w:eastAsia="Times New Roman"/>
          <w:i/>
          <w:szCs w:val="17"/>
        </w:rPr>
      </w:pPr>
      <w:r w:rsidRPr="00E26C8E">
        <w:rPr>
          <w:rFonts w:eastAsia="Times New Roman"/>
          <w:i/>
          <w:szCs w:val="17"/>
        </w:rPr>
        <w:t>2.10.1</w:t>
      </w:r>
      <w:r w:rsidRPr="00E26C8E">
        <w:rPr>
          <w:rFonts w:eastAsia="Times New Roman"/>
          <w:i/>
          <w:szCs w:val="17"/>
        </w:rPr>
        <w:tab/>
        <w:t>Workforce</w:t>
      </w:r>
    </w:p>
    <w:p w:rsidR="00E26C8E" w:rsidRPr="00E26C8E" w:rsidRDefault="00E26C8E" w:rsidP="00E26C8E">
      <w:pPr>
        <w:ind w:left="1418"/>
        <w:rPr>
          <w:rFonts w:eastAsia="Times New Roman"/>
          <w:szCs w:val="17"/>
        </w:rPr>
      </w:pPr>
      <w:r w:rsidRPr="00E26C8E">
        <w:rPr>
          <w:rFonts w:eastAsia="Times New Roman"/>
          <w:szCs w:val="17"/>
        </w:rPr>
        <w:t>For the workforce for all operations (mining, processing, waste management and supporting surface infrastructure), describe: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how operations on the site will be managed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number and workforce breakdown by job type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number of full-time employee positions that would be directly created by the proposal (not to include existing positions)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the proportion of the workforce that would reside in the local community and the estimated impact on local employment</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any programs to target and assist Indigenous or local employment at the quarry</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training to be provided to employees and potential employees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approximate timelines for creation of the positions;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potential for local business participation, and procurement of local goods and services.</w:t>
      </w:r>
    </w:p>
    <w:p w:rsidR="00E26C8E" w:rsidRPr="00E26C8E" w:rsidRDefault="00E26C8E" w:rsidP="00E26C8E">
      <w:pPr>
        <w:ind w:left="1418" w:hanging="567"/>
        <w:rPr>
          <w:rFonts w:eastAsia="Times New Roman"/>
          <w:i/>
          <w:szCs w:val="17"/>
        </w:rPr>
      </w:pPr>
      <w:r w:rsidRPr="00E26C8E">
        <w:rPr>
          <w:rFonts w:eastAsia="Times New Roman"/>
          <w:i/>
          <w:szCs w:val="17"/>
        </w:rPr>
        <w:t>2.10.2</w:t>
      </w:r>
      <w:r w:rsidRPr="00E26C8E">
        <w:rPr>
          <w:rFonts w:eastAsia="Times New Roman"/>
          <w:i/>
          <w:szCs w:val="17"/>
        </w:rPr>
        <w:tab/>
        <w:t>Energy sources</w:t>
      </w:r>
    </w:p>
    <w:p w:rsidR="00E26C8E" w:rsidRPr="00E26C8E" w:rsidRDefault="00E26C8E" w:rsidP="00E26C8E">
      <w:pPr>
        <w:ind w:left="1418"/>
        <w:rPr>
          <w:rFonts w:eastAsia="Times New Roman"/>
          <w:szCs w:val="17"/>
        </w:rPr>
      </w:pPr>
      <w:r w:rsidRPr="00E26C8E">
        <w:rPr>
          <w:rFonts w:eastAsia="Times New Roman"/>
          <w:szCs w:val="17"/>
        </w:rPr>
        <w:t>For the energy sources and usage provide: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estimates of total annual energy usage (from all sources, including personnel transport and ore transport to point of sale)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expected sources of energy</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potential for efficiency gains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amount and percentage of zero emission energy to be utilised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equivalent annual CO2 generated;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any carbon offsets proposed.</w:t>
      </w:r>
    </w:p>
    <w:p w:rsidR="00E26C8E" w:rsidRPr="00E26C8E" w:rsidRDefault="00E26C8E" w:rsidP="00E26C8E">
      <w:pPr>
        <w:ind w:left="1418" w:hanging="567"/>
        <w:rPr>
          <w:rFonts w:eastAsia="Times New Roman"/>
          <w:i/>
          <w:szCs w:val="17"/>
        </w:rPr>
      </w:pPr>
      <w:r w:rsidRPr="00E26C8E">
        <w:rPr>
          <w:rFonts w:eastAsia="Times New Roman"/>
          <w:i/>
          <w:szCs w:val="17"/>
        </w:rPr>
        <w:t>2.10.3</w:t>
      </w:r>
      <w:r w:rsidRPr="00E26C8E">
        <w:rPr>
          <w:rFonts w:eastAsia="Times New Roman"/>
          <w:i/>
          <w:szCs w:val="17"/>
        </w:rPr>
        <w:tab/>
        <w:t>Water sources</w:t>
      </w:r>
    </w:p>
    <w:p w:rsidR="00E26C8E" w:rsidRPr="00E26C8E" w:rsidRDefault="00E26C8E" w:rsidP="00E26C8E">
      <w:pPr>
        <w:ind w:left="1418"/>
        <w:rPr>
          <w:rFonts w:eastAsia="Times New Roman"/>
          <w:szCs w:val="17"/>
        </w:rPr>
      </w:pPr>
      <w:r w:rsidRPr="00E26C8E">
        <w:rPr>
          <w:rFonts w:eastAsia="Times New Roman"/>
          <w:szCs w:val="17"/>
        </w:rPr>
        <w:t>Provide details on the source(s) of water to be used, expected usage and any discharge, including:</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expected annual water usage by source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indicate if any water usage by source will be more than 5% of the total annual water withdrawal for that source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percentage of water that will be recycled;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water discharge by quality and destination.</w:t>
      </w:r>
    </w:p>
    <w:p w:rsidR="00E26C8E" w:rsidRPr="00E26C8E" w:rsidRDefault="00E26C8E" w:rsidP="00E26C8E">
      <w:pPr>
        <w:spacing w:after="0" w:line="240" w:lineRule="auto"/>
        <w:jc w:val="left"/>
        <w:rPr>
          <w:rFonts w:eastAsia="Times New Roman"/>
          <w:b/>
          <w:szCs w:val="17"/>
        </w:rPr>
      </w:pPr>
      <w:r w:rsidRPr="00E26C8E">
        <w:rPr>
          <w:rFonts w:eastAsia="Times New Roman"/>
          <w:b/>
          <w:szCs w:val="17"/>
        </w:rPr>
        <w:br w:type="page"/>
      </w:r>
    </w:p>
    <w:p w:rsidR="00E26C8E" w:rsidRPr="00E26C8E" w:rsidRDefault="00E26C8E" w:rsidP="00E26C8E">
      <w:pPr>
        <w:ind w:left="426" w:hanging="284"/>
        <w:rPr>
          <w:rFonts w:eastAsia="Times New Roman"/>
          <w:b/>
          <w:szCs w:val="17"/>
        </w:rPr>
      </w:pPr>
      <w:r w:rsidRPr="00E26C8E">
        <w:rPr>
          <w:rFonts w:eastAsia="Times New Roman"/>
          <w:b/>
          <w:szCs w:val="17"/>
        </w:rPr>
        <w:t>3.</w:t>
      </w:r>
      <w:r w:rsidRPr="00E26C8E">
        <w:rPr>
          <w:rFonts w:eastAsia="Times New Roman"/>
          <w:b/>
          <w:szCs w:val="17"/>
        </w:rPr>
        <w:tab/>
        <w:t>CONSULTATION</w:t>
      </w:r>
    </w:p>
    <w:p w:rsidR="00E26C8E" w:rsidRPr="00E26C8E" w:rsidRDefault="00E26C8E" w:rsidP="00E26C8E">
      <w:pPr>
        <w:ind w:left="426"/>
        <w:rPr>
          <w:rFonts w:eastAsia="Times New Roman"/>
          <w:szCs w:val="17"/>
        </w:rPr>
      </w:pPr>
      <w:r w:rsidRPr="00E26C8E">
        <w:rPr>
          <w:rFonts w:eastAsia="Times New Roman"/>
          <w:szCs w:val="17"/>
        </w:rPr>
        <w:t>In setting out the result of the consultation undertaken in connection with the proposed operations in accordance with regulation 64 of the</w:t>
      </w:r>
      <w:r w:rsidRPr="00E26C8E">
        <w:rPr>
          <w:rFonts w:eastAsia="Times New Roman"/>
          <w:i/>
          <w:szCs w:val="17"/>
        </w:rPr>
        <w:t xml:space="preserve"> Mining Regulations 2020</w:t>
      </w:r>
      <w:r w:rsidRPr="00E26C8E">
        <w:rPr>
          <w:rFonts w:eastAsia="Times New Roman"/>
          <w:szCs w:val="17"/>
        </w:rPr>
        <w:t>, the Minister determines in accordance with regulation 63(1)(e) of the</w:t>
      </w:r>
      <w:r w:rsidRPr="00E26C8E">
        <w:rPr>
          <w:rFonts w:eastAsia="Times New Roman"/>
          <w:i/>
          <w:szCs w:val="17"/>
        </w:rPr>
        <w:t xml:space="preserve"> Mining Regulations 2020</w:t>
      </w:r>
      <w:r w:rsidRPr="00E26C8E">
        <w:rPr>
          <w:rFonts w:eastAsia="Times New Roman"/>
          <w:szCs w:val="17"/>
        </w:rPr>
        <w:t xml:space="preserve"> that a transitional PEPR must include:</w:t>
      </w:r>
    </w:p>
    <w:p w:rsidR="00E26C8E" w:rsidRPr="00E26C8E" w:rsidRDefault="00E26C8E" w:rsidP="00E26C8E">
      <w:pPr>
        <w:ind w:left="567"/>
        <w:rPr>
          <w:rFonts w:eastAsia="Times New Roman"/>
          <w:szCs w:val="17"/>
        </w:rPr>
      </w:pPr>
      <w:r w:rsidRPr="00E26C8E">
        <w:rPr>
          <w:rFonts w:eastAsia="Times New Roman"/>
          <w:szCs w:val="17"/>
        </w:rPr>
        <w:t>A description of:</w:t>
      </w:r>
    </w:p>
    <w:p w:rsidR="00E26C8E" w:rsidRPr="00E26C8E" w:rsidRDefault="00E26C8E" w:rsidP="00E26C8E">
      <w:pPr>
        <w:ind w:left="851" w:hanging="284"/>
        <w:rPr>
          <w:rFonts w:eastAsia="Times New Roman"/>
          <w:szCs w:val="17"/>
        </w:rPr>
      </w:pPr>
      <w:r w:rsidRPr="00E26C8E">
        <w:rPr>
          <w:rFonts w:eastAsia="Times New Roman"/>
          <w:szCs w:val="17"/>
        </w:rPr>
        <w:t>•</w:t>
      </w:r>
      <w:r w:rsidRPr="00E26C8E">
        <w:rPr>
          <w:rFonts w:eastAsia="Times New Roman"/>
          <w:szCs w:val="17"/>
        </w:rPr>
        <w:tab/>
        <w:t>the process undertaken for identifying stakeholders with an interest in, or stakeholders likely to be directly affected by the mining operation</w:t>
      </w:r>
    </w:p>
    <w:p w:rsidR="00E26C8E" w:rsidRPr="00E26C8E" w:rsidRDefault="00E26C8E" w:rsidP="00E26C8E">
      <w:pPr>
        <w:ind w:left="851" w:hanging="284"/>
        <w:rPr>
          <w:rFonts w:eastAsia="Times New Roman"/>
          <w:szCs w:val="17"/>
        </w:rPr>
      </w:pPr>
      <w:r w:rsidRPr="00E26C8E">
        <w:rPr>
          <w:rFonts w:eastAsia="Times New Roman"/>
          <w:szCs w:val="17"/>
        </w:rPr>
        <w:t>•</w:t>
      </w:r>
      <w:r w:rsidRPr="00E26C8E">
        <w:rPr>
          <w:rFonts w:eastAsia="Times New Roman"/>
          <w:szCs w:val="17"/>
        </w:rPr>
        <w:tab/>
        <w:t>the process undertaken for the delivery of information to, gathering of feedback from, and responding to those identified stakeholders</w:t>
      </w:r>
    </w:p>
    <w:p w:rsidR="00E26C8E" w:rsidRPr="00E26C8E" w:rsidRDefault="00E26C8E" w:rsidP="00E26C8E">
      <w:pPr>
        <w:ind w:left="851" w:hanging="284"/>
        <w:rPr>
          <w:rFonts w:eastAsia="Times New Roman"/>
          <w:szCs w:val="17"/>
        </w:rPr>
      </w:pPr>
      <w:r w:rsidRPr="00E26C8E">
        <w:rPr>
          <w:rFonts w:eastAsia="Times New Roman"/>
          <w:szCs w:val="17"/>
        </w:rPr>
        <w:t>•</w:t>
      </w:r>
      <w:r w:rsidRPr="00E26C8E">
        <w:rPr>
          <w:rFonts w:eastAsia="Times New Roman"/>
          <w:szCs w:val="17"/>
        </w:rPr>
        <w:tab/>
        <w:t>if any individual or group of similar affected persons were not able to be consulted, the steps taken to consult with them.</w:t>
      </w:r>
    </w:p>
    <w:p w:rsidR="00E26C8E" w:rsidRPr="00E26C8E" w:rsidRDefault="00E26C8E" w:rsidP="00E26C8E">
      <w:pPr>
        <w:ind w:left="567"/>
        <w:rPr>
          <w:rFonts w:eastAsia="Times New Roman"/>
          <w:szCs w:val="17"/>
        </w:rPr>
      </w:pPr>
      <w:r w:rsidRPr="00E26C8E">
        <w:rPr>
          <w:rFonts w:eastAsia="Times New Roman"/>
          <w:szCs w:val="17"/>
        </w:rPr>
        <w:t>The results of the consultation undertaken with those identified stakeholders, including:</w:t>
      </w:r>
    </w:p>
    <w:p w:rsidR="00E26C8E" w:rsidRPr="00E26C8E" w:rsidRDefault="00E26C8E" w:rsidP="00E26C8E">
      <w:pPr>
        <w:ind w:left="851" w:hanging="284"/>
        <w:rPr>
          <w:rFonts w:eastAsia="Times New Roman"/>
          <w:szCs w:val="17"/>
        </w:rPr>
      </w:pPr>
      <w:r w:rsidRPr="00E26C8E">
        <w:rPr>
          <w:rFonts w:eastAsia="Times New Roman"/>
          <w:szCs w:val="17"/>
        </w:rPr>
        <w:t>•</w:t>
      </w:r>
      <w:r w:rsidRPr="00E26C8E">
        <w:rPr>
          <w:rFonts w:eastAsia="Times New Roman"/>
          <w:szCs w:val="17"/>
        </w:rPr>
        <w:tab/>
        <w:t>the persons consulted</w:t>
      </w:r>
    </w:p>
    <w:p w:rsidR="00E26C8E" w:rsidRPr="00E26C8E" w:rsidRDefault="00E26C8E" w:rsidP="00E26C8E">
      <w:pPr>
        <w:ind w:left="851" w:hanging="284"/>
        <w:rPr>
          <w:rFonts w:eastAsia="Times New Roman"/>
          <w:szCs w:val="17"/>
        </w:rPr>
      </w:pPr>
      <w:r w:rsidRPr="00E26C8E">
        <w:rPr>
          <w:rFonts w:eastAsia="Times New Roman"/>
          <w:szCs w:val="17"/>
        </w:rPr>
        <w:t>•</w:t>
      </w:r>
      <w:r w:rsidRPr="00E26C8E">
        <w:rPr>
          <w:rFonts w:eastAsia="Times New Roman"/>
          <w:szCs w:val="17"/>
        </w:rPr>
        <w:tab/>
        <w:t>any concerns / issues raised; and</w:t>
      </w:r>
    </w:p>
    <w:p w:rsidR="00E26C8E" w:rsidRPr="00E26C8E" w:rsidRDefault="00E26C8E" w:rsidP="00E26C8E">
      <w:pPr>
        <w:ind w:left="851" w:hanging="284"/>
        <w:rPr>
          <w:rFonts w:eastAsia="Times New Roman"/>
          <w:szCs w:val="17"/>
        </w:rPr>
      </w:pPr>
      <w:r w:rsidRPr="00E26C8E">
        <w:rPr>
          <w:rFonts w:eastAsia="Times New Roman"/>
          <w:szCs w:val="17"/>
        </w:rPr>
        <w:t>•</w:t>
      </w:r>
      <w:r w:rsidRPr="00E26C8E">
        <w:rPr>
          <w:rFonts w:eastAsia="Times New Roman"/>
          <w:szCs w:val="17"/>
        </w:rPr>
        <w:tab/>
        <w:t>the response and steps (if any) taken or proposed to address those concerns.</w:t>
      </w:r>
    </w:p>
    <w:p w:rsidR="00E26C8E" w:rsidRPr="00E26C8E" w:rsidRDefault="00E26C8E" w:rsidP="00E26C8E">
      <w:pPr>
        <w:ind w:left="426" w:hanging="284"/>
        <w:rPr>
          <w:rFonts w:eastAsia="Times New Roman"/>
          <w:b/>
          <w:szCs w:val="17"/>
        </w:rPr>
      </w:pPr>
      <w:r w:rsidRPr="00E26C8E">
        <w:rPr>
          <w:rFonts w:eastAsia="Times New Roman"/>
          <w:b/>
          <w:szCs w:val="17"/>
        </w:rPr>
        <w:t>4.</w:t>
      </w:r>
      <w:r w:rsidRPr="00E26C8E">
        <w:rPr>
          <w:rFonts w:eastAsia="Times New Roman"/>
          <w:b/>
          <w:szCs w:val="17"/>
        </w:rPr>
        <w:tab/>
        <w:t>ENVIRONMENTAL OUTCOMES, STRATEGIES, CRITERIA AND MONITORING</w:t>
      </w:r>
    </w:p>
    <w:p w:rsidR="00E26C8E" w:rsidRPr="00E26C8E" w:rsidRDefault="00E26C8E" w:rsidP="00E26C8E">
      <w:pPr>
        <w:ind w:left="426"/>
        <w:rPr>
          <w:rFonts w:eastAsia="Times New Roman"/>
          <w:szCs w:val="17"/>
        </w:rPr>
      </w:pPr>
      <w:r w:rsidRPr="00E26C8E">
        <w:rPr>
          <w:rFonts w:eastAsia="Times New Roman"/>
          <w:szCs w:val="17"/>
        </w:rPr>
        <w:t>In setting out an assessment of the environmental impacts of the proposed authorised operations in accordance with regulation 63(1)(a)(ii) of the</w:t>
      </w:r>
      <w:r w:rsidRPr="00E26C8E">
        <w:rPr>
          <w:rFonts w:eastAsia="Times New Roman"/>
          <w:i/>
          <w:szCs w:val="17"/>
        </w:rPr>
        <w:t xml:space="preserve"> Mining Regulations 2020</w:t>
      </w:r>
      <w:r w:rsidRPr="00E26C8E">
        <w:rPr>
          <w:rFonts w:eastAsia="Times New Roman"/>
          <w:szCs w:val="17"/>
        </w:rPr>
        <w:t>, the Minister determines in accordance with regulation 63(1)(e) of the</w:t>
      </w:r>
      <w:r w:rsidRPr="00E26C8E">
        <w:rPr>
          <w:rFonts w:eastAsia="Times New Roman"/>
          <w:i/>
          <w:szCs w:val="17"/>
        </w:rPr>
        <w:t xml:space="preserve"> Mining Regulations 2020</w:t>
      </w:r>
      <w:r w:rsidRPr="00E26C8E">
        <w:rPr>
          <w:rFonts w:eastAsia="Times New Roman"/>
          <w:szCs w:val="17"/>
        </w:rPr>
        <w:t xml:space="preserve"> that a transitional PEPR must include information as set out in this Terms of Reference.</w:t>
      </w:r>
    </w:p>
    <w:p w:rsidR="00E26C8E" w:rsidRPr="00E26C8E" w:rsidRDefault="00E26C8E" w:rsidP="00E26C8E">
      <w:pPr>
        <w:ind w:left="851" w:hanging="425"/>
        <w:rPr>
          <w:rFonts w:eastAsia="Times New Roman"/>
          <w:b/>
          <w:szCs w:val="17"/>
        </w:rPr>
      </w:pPr>
      <w:r w:rsidRPr="00E26C8E">
        <w:rPr>
          <w:rFonts w:eastAsia="Times New Roman"/>
          <w:b/>
          <w:szCs w:val="17"/>
        </w:rPr>
        <w:t>4.1</w:t>
      </w:r>
      <w:r w:rsidRPr="00E26C8E">
        <w:rPr>
          <w:rFonts w:eastAsia="Times New Roman"/>
          <w:b/>
          <w:szCs w:val="17"/>
        </w:rPr>
        <w:tab/>
        <w:t>Assessment of environmental impacts</w:t>
      </w:r>
    </w:p>
    <w:p w:rsidR="00E26C8E" w:rsidRPr="00E26C8E" w:rsidRDefault="00E26C8E" w:rsidP="00E26C8E">
      <w:pPr>
        <w:ind w:left="851"/>
        <w:rPr>
          <w:rFonts w:eastAsia="Times New Roman"/>
          <w:szCs w:val="17"/>
        </w:rPr>
      </w:pPr>
      <w:r w:rsidRPr="00E26C8E">
        <w:rPr>
          <w:rFonts w:eastAsia="Times New Roman"/>
          <w:szCs w:val="17"/>
        </w:rPr>
        <w:t>In setting out an assessment of the environmental impacts of the proposed authorised operations in accordance with sections 36(1)(c)(ii)(A) and 49(1)(c)(ii)(A) of the</w:t>
      </w:r>
      <w:r w:rsidRPr="00E26C8E">
        <w:rPr>
          <w:rFonts w:eastAsia="Times New Roman"/>
          <w:i/>
          <w:szCs w:val="17"/>
        </w:rPr>
        <w:t xml:space="preserve"> Mining Act 1971</w:t>
      </w:r>
      <w:r w:rsidRPr="00E26C8E">
        <w:rPr>
          <w:rFonts w:eastAsia="Times New Roman"/>
          <w:szCs w:val="17"/>
        </w:rPr>
        <w:t xml:space="preserve"> and regulation 46(2) of the</w:t>
      </w:r>
      <w:r w:rsidRPr="00E26C8E">
        <w:rPr>
          <w:rFonts w:eastAsia="Times New Roman"/>
          <w:i/>
          <w:szCs w:val="17"/>
        </w:rPr>
        <w:t xml:space="preserve"> Mining Regulations 2020</w:t>
      </w:r>
      <w:r w:rsidRPr="00E26C8E">
        <w:rPr>
          <w:rFonts w:eastAsia="Times New Roman"/>
          <w:szCs w:val="17"/>
        </w:rPr>
        <w:t>, the Minister determines in accordance with regulation 46(7)(e) of the</w:t>
      </w:r>
      <w:r w:rsidRPr="00E26C8E">
        <w:rPr>
          <w:rFonts w:eastAsia="Times New Roman"/>
          <w:i/>
          <w:szCs w:val="17"/>
        </w:rPr>
        <w:t xml:space="preserve"> Mining Regulations 2020</w:t>
      </w:r>
      <w:r w:rsidRPr="00E26C8E">
        <w:rPr>
          <w:rFonts w:eastAsia="Times New Roman"/>
          <w:szCs w:val="17"/>
        </w:rPr>
        <w:t xml:space="preserve"> that a proposal must include an assessment of the environment as set out in this Terms of Reference.</w:t>
      </w:r>
    </w:p>
    <w:p w:rsidR="00E26C8E" w:rsidRPr="00E26C8E" w:rsidRDefault="00E26C8E" w:rsidP="00E26C8E">
      <w:pPr>
        <w:ind w:left="1418" w:hanging="567"/>
        <w:rPr>
          <w:rFonts w:eastAsia="Times New Roman"/>
          <w:i/>
          <w:szCs w:val="17"/>
        </w:rPr>
      </w:pPr>
      <w:r w:rsidRPr="00E26C8E">
        <w:rPr>
          <w:rFonts w:eastAsia="Times New Roman"/>
          <w:i/>
          <w:szCs w:val="17"/>
        </w:rPr>
        <w:t>4.1.1</w:t>
      </w:r>
      <w:r w:rsidRPr="00E26C8E">
        <w:rPr>
          <w:rFonts w:eastAsia="Times New Roman"/>
          <w:i/>
          <w:szCs w:val="17"/>
        </w:rPr>
        <w:tab/>
        <w:t>Elements of the environment</w:t>
      </w:r>
    </w:p>
    <w:p w:rsidR="00E26C8E" w:rsidRPr="00E26C8E" w:rsidRDefault="00E26C8E" w:rsidP="00E26C8E">
      <w:pPr>
        <w:ind w:left="1418"/>
        <w:rPr>
          <w:rFonts w:eastAsia="Times New Roman"/>
          <w:szCs w:val="17"/>
        </w:rPr>
      </w:pPr>
      <w:r w:rsidRPr="00E26C8E">
        <w:rPr>
          <w:rFonts w:eastAsia="Times New Roman"/>
          <w:szCs w:val="17"/>
        </w:rPr>
        <w:t>Describe the specific elements of the environment (the environment is defined in Section 6(4) of the</w:t>
      </w:r>
      <w:r w:rsidRPr="00E26C8E">
        <w:rPr>
          <w:rFonts w:eastAsia="Times New Roman"/>
          <w:i/>
          <w:szCs w:val="17"/>
        </w:rPr>
        <w:t xml:space="preserve"> Mining Act 1971</w:t>
      </w:r>
      <w:r w:rsidRPr="00E26C8E">
        <w:rPr>
          <w:rFonts w:eastAsia="Times New Roman"/>
          <w:szCs w:val="17"/>
        </w:rPr>
        <w:t>) that may reasonably be expected to be impacted by the proposed operation during construction, operation, and indefinitely post completion.</w:t>
      </w:r>
    </w:p>
    <w:p w:rsidR="00E26C8E" w:rsidRPr="00E26C8E" w:rsidRDefault="00E26C8E" w:rsidP="00E26C8E">
      <w:pPr>
        <w:ind w:left="1418"/>
        <w:rPr>
          <w:rFonts w:eastAsia="Times New Roman"/>
          <w:szCs w:val="17"/>
        </w:rPr>
      </w:pPr>
      <w:r w:rsidRPr="00E26C8E">
        <w:rPr>
          <w:rFonts w:eastAsia="Times New Roman"/>
          <w:szCs w:val="17"/>
        </w:rPr>
        <w:t>For each element of the environment identified: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provide a summary of any issues or considerations raised by stakeholders, and any relevant legislated or recognised standards in relation to the element of the environment</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describe all potential environmental receptors;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undertake an impact assessment of how the element could be potentially impacted by proposed operations (during construction, operation and post completion) through the provision of the information listed in the following clause 4.1.2.</w:t>
      </w:r>
    </w:p>
    <w:p w:rsidR="00E26C8E" w:rsidRPr="00E26C8E" w:rsidRDefault="00E26C8E" w:rsidP="00E26C8E">
      <w:pPr>
        <w:ind w:left="1418" w:hanging="567"/>
        <w:rPr>
          <w:rFonts w:eastAsia="Times New Roman"/>
          <w:i/>
          <w:szCs w:val="17"/>
        </w:rPr>
      </w:pPr>
      <w:r w:rsidRPr="00E26C8E">
        <w:rPr>
          <w:rFonts w:eastAsia="Times New Roman"/>
          <w:i/>
          <w:szCs w:val="17"/>
        </w:rPr>
        <w:t>4.1.3</w:t>
      </w:r>
      <w:r w:rsidRPr="00E26C8E">
        <w:rPr>
          <w:rFonts w:eastAsia="Times New Roman"/>
          <w:i/>
          <w:szCs w:val="17"/>
        </w:rPr>
        <w:tab/>
        <w:t>Potential impact events</w:t>
      </w:r>
    </w:p>
    <w:p w:rsidR="00E26C8E" w:rsidRPr="00E26C8E" w:rsidRDefault="00E26C8E" w:rsidP="00E26C8E">
      <w:pPr>
        <w:ind w:left="1418"/>
        <w:rPr>
          <w:rFonts w:eastAsia="Times New Roman"/>
          <w:szCs w:val="17"/>
        </w:rPr>
      </w:pPr>
      <w:r w:rsidRPr="00E26C8E">
        <w:rPr>
          <w:rFonts w:eastAsia="Times New Roman"/>
          <w:szCs w:val="17"/>
        </w:rPr>
        <w:t>Describe potential impact events associated with each phase of the proposed operations (construction, operation and post completion) and relevant to each element of the environment.</w:t>
      </w:r>
    </w:p>
    <w:p w:rsidR="00E26C8E" w:rsidRPr="00E26C8E" w:rsidRDefault="00E26C8E" w:rsidP="00E26C8E">
      <w:pPr>
        <w:ind w:left="1418"/>
        <w:rPr>
          <w:rFonts w:eastAsia="Times New Roman"/>
          <w:szCs w:val="17"/>
        </w:rPr>
      </w:pPr>
      <w:r w:rsidRPr="00E26C8E">
        <w:rPr>
          <w:rFonts w:eastAsia="Times New Roman"/>
          <w:szCs w:val="17"/>
        </w:rPr>
        <w:t>For the purpose of the impact assessment, a potential impact event is the combination of a source, a pathway and an environmental receptor.</w:t>
      </w:r>
    </w:p>
    <w:p w:rsidR="00E26C8E" w:rsidRPr="00E26C8E" w:rsidRDefault="00E26C8E" w:rsidP="00E26C8E">
      <w:pPr>
        <w:ind w:left="1418"/>
        <w:rPr>
          <w:rFonts w:eastAsia="Times New Roman"/>
          <w:szCs w:val="17"/>
        </w:rPr>
      </w:pPr>
      <w:r w:rsidRPr="00E26C8E">
        <w:rPr>
          <w:rFonts w:eastAsia="Times New Roman"/>
          <w:szCs w:val="17"/>
        </w:rPr>
        <w:t>The source, pathway and environmental receptor of each potential impact event must be described prior to the implementation of engineering or administrative control measures.</w:t>
      </w:r>
    </w:p>
    <w:p w:rsidR="00E26C8E" w:rsidRPr="00E26C8E" w:rsidRDefault="00E26C8E" w:rsidP="00E26C8E">
      <w:pPr>
        <w:ind w:left="1418"/>
        <w:rPr>
          <w:rFonts w:eastAsia="Times New Roman"/>
          <w:szCs w:val="17"/>
        </w:rPr>
      </w:pPr>
      <w:r w:rsidRPr="00E26C8E">
        <w:rPr>
          <w:rFonts w:eastAsia="Times New Roman"/>
          <w:szCs w:val="17"/>
        </w:rPr>
        <w:t>For each potential impact event identified in clause 4.1.2, provide:</w:t>
      </w:r>
    </w:p>
    <w:p w:rsidR="00E26C8E" w:rsidRPr="00E26C8E" w:rsidRDefault="00E26C8E" w:rsidP="00E26C8E">
      <w:pPr>
        <w:ind w:left="2127" w:hanging="709"/>
        <w:rPr>
          <w:rFonts w:eastAsia="Times New Roman"/>
          <w:i/>
          <w:szCs w:val="17"/>
        </w:rPr>
      </w:pPr>
      <w:r w:rsidRPr="00E26C8E">
        <w:rPr>
          <w:rFonts w:eastAsia="Times New Roman"/>
          <w:i/>
          <w:szCs w:val="17"/>
        </w:rPr>
        <w:t>4.1.3.1</w:t>
      </w:r>
      <w:r w:rsidRPr="00E26C8E">
        <w:rPr>
          <w:rFonts w:eastAsia="Times New Roman"/>
          <w:i/>
          <w:szCs w:val="17"/>
        </w:rPr>
        <w:tab/>
        <w:t>Source</w:t>
      </w:r>
    </w:p>
    <w:p w:rsidR="00E26C8E" w:rsidRPr="00E26C8E" w:rsidRDefault="00E26C8E" w:rsidP="00E26C8E">
      <w:pPr>
        <w:ind w:left="2127"/>
        <w:rPr>
          <w:rFonts w:eastAsia="Times New Roman"/>
          <w:szCs w:val="17"/>
        </w:rPr>
      </w:pPr>
      <w:r w:rsidRPr="00E26C8E">
        <w:rPr>
          <w:rFonts w:eastAsia="Times New Roman"/>
          <w:szCs w:val="17"/>
        </w:rPr>
        <w:t>A description of the source of the potential impact event which alone or in combination has the potential to cause harm to an environmental receptor.</w:t>
      </w:r>
    </w:p>
    <w:p w:rsidR="00E26C8E" w:rsidRPr="00E26C8E" w:rsidRDefault="00E26C8E" w:rsidP="00E26C8E">
      <w:pPr>
        <w:ind w:left="2127" w:hanging="709"/>
        <w:rPr>
          <w:rFonts w:eastAsia="Times New Roman"/>
          <w:i/>
          <w:szCs w:val="17"/>
        </w:rPr>
      </w:pPr>
      <w:r w:rsidRPr="00E26C8E">
        <w:rPr>
          <w:rFonts w:eastAsia="Times New Roman"/>
          <w:i/>
          <w:szCs w:val="17"/>
        </w:rPr>
        <w:t>4.1.3.2</w:t>
      </w:r>
      <w:r w:rsidRPr="00E26C8E">
        <w:rPr>
          <w:rFonts w:eastAsia="Times New Roman"/>
          <w:i/>
          <w:szCs w:val="17"/>
        </w:rPr>
        <w:tab/>
        <w:t>Pathway</w:t>
      </w:r>
    </w:p>
    <w:p w:rsidR="00E26C8E" w:rsidRPr="00E26C8E" w:rsidRDefault="00E26C8E" w:rsidP="00E26C8E">
      <w:pPr>
        <w:ind w:left="2127"/>
        <w:rPr>
          <w:rFonts w:eastAsia="Times New Roman"/>
          <w:szCs w:val="17"/>
        </w:rPr>
      </w:pPr>
      <w:r w:rsidRPr="00E26C8E">
        <w:rPr>
          <w:rFonts w:eastAsia="Times New Roman"/>
          <w:szCs w:val="17"/>
        </w:rPr>
        <w:t>A description of the potential pathway, means or route (with consideration of any natural barriers) by which an identified environmental receptor can be exposed to, or may reasonably be expected to be impacted by an identified source.</w:t>
      </w:r>
    </w:p>
    <w:p w:rsidR="00E26C8E" w:rsidRPr="00E26C8E" w:rsidRDefault="00E26C8E" w:rsidP="00E26C8E">
      <w:pPr>
        <w:ind w:left="2127" w:hanging="709"/>
        <w:rPr>
          <w:rFonts w:eastAsia="Times New Roman"/>
          <w:i/>
          <w:szCs w:val="17"/>
        </w:rPr>
      </w:pPr>
      <w:r w:rsidRPr="00E26C8E">
        <w:rPr>
          <w:rFonts w:eastAsia="Times New Roman"/>
          <w:i/>
          <w:szCs w:val="17"/>
        </w:rPr>
        <w:t>4.1.3.3</w:t>
      </w:r>
      <w:r w:rsidRPr="00E26C8E">
        <w:rPr>
          <w:rFonts w:eastAsia="Times New Roman"/>
          <w:i/>
          <w:szCs w:val="17"/>
        </w:rPr>
        <w:tab/>
        <w:t>Environmental receptor</w:t>
      </w:r>
    </w:p>
    <w:p w:rsidR="00E26C8E" w:rsidRPr="00E26C8E" w:rsidRDefault="00E26C8E" w:rsidP="00E26C8E">
      <w:pPr>
        <w:ind w:left="2127"/>
        <w:rPr>
          <w:rFonts w:eastAsia="Times New Roman"/>
          <w:szCs w:val="17"/>
        </w:rPr>
      </w:pPr>
      <w:r w:rsidRPr="00E26C8E">
        <w:rPr>
          <w:rFonts w:eastAsia="Times New Roman"/>
          <w:szCs w:val="17"/>
        </w:rPr>
        <w:t>A description of the environmental receptors that may reasonably be expected to be adversely impacted by the source, taking into account the considerations for the element of the environment described under 4.1.1</w:t>
      </w:r>
    </w:p>
    <w:p w:rsidR="00E26C8E" w:rsidRPr="00E26C8E" w:rsidRDefault="00E26C8E" w:rsidP="00E26C8E">
      <w:pPr>
        <w:ind w:left="2127" w:hanging="709"/>
        <w:rPr>
          <w:rFonts w:eastAsia="Times New Roman"/>
          <w:i/>
          <w:szCs w:val="17"/>
        </w:rPr>
      </w:pPr>
      <w:r w:rsidRPr="00E26C8E">
        <w:rPr>
          <w:rFonts w:eastAsia="Times New Roman"/>
          <w:i/>
          <w:szCs w:val="17"/>
        </w:rPr>
        <w:t>4.1.3.4</w:t>
      </w:r>
      <w:r w:rsidRPr="00E26C8E">
        <w:rPr>
          <w:rFonts w:eastAsia="Times New Roman"/>
          <w:i/>
          <w:szCs w:val="17"/>
        </w:rPr>
        <w:tab/>
        <w:t>Description of uncertainty</w:t>
      </w:r>
    </w:p>
    <w:p w:rsidR="00E26C8E" w:rsidRPr="00E26C8E" w:rsidRDefault="00E26C8E" w:rsidP="00E26C8E">
      <w:pPr>
        <w:ind w:left="2127"/>
        <w:rPr>
          <w:rFonts w:eastAsia="Times New Roman"/>
          <w:szCs w:val="17"/>
        </w:rPr>
      </w:pPr>
      <w:r w:rsidRPr="00E26C8E">
        <w:rPr>
          <w:rFonts w:eastAsia="Times New Roman"/>
          <w:szCs w:val="17"/>
        </w:rPr>
        <w:t>Describe any significant degree of uncertainty pertaining to the evaluation of sources, pathways and environmental receptors, including (but not limited to) lack of site-specific information, limitations on modelling and quality of data. Describe any assumptions connected with the identified uncertainty.</w:t>
      </w:r>
    </w:p>
    <w:p w:rsidR="00E26C8E" w:rsidRPr="00E26C8E" w:rsidRDefault="00E26C8E" w:rsidP="00E26C8E">
      <w:pPr>
        <w:ind w:left="2127"/>
        <w:rPr>
          <w:rFonts w:eastAsia="Times New Roman"/>
          <w:szCs w:val="17"/>
        </w:rPr>
      </w:pPr>
      <w:r w:rsidRPr="00E26C8E">
        <w:rPr>
          <w:rFonts w:eastAsia="Times New Roman"/>
          <w:szCs w:val="17"/>
        </w:rPr>
        <w:t>So far as is relevant, identify the sensitivity to change of any assumption that has been made, including whether a change in assumption may result in a new environmental impact.</w:t>
      </w:r>
    </w:p>
    <w:p w:rsidR="00E26C8E" w:rsidRPr="00E26C8E" w:rsidRDefault="00E26C8E" w:rsidP="00E26C8E">
      <w:pPr>
        <w:ind w:left="2127" w:hanging="709"/>
        <w:rPr>
          <w:rFonts w:eastAsia="Times New Roman"/>
          <w:i/>
          <w:szCs w:val="17"/>
        </w:rPr>
      </w:pPr>
      <w:r w:rsidRPr="00E26C8E">
        <w:rPr>
          <w:rFonts w:eastAsia="Times New Roman"/>
          <w:i/>
          <w:szCs w:val="17"/>
        </w:rPr>
        <w:t>4.1.3.5</w:t>
      </w:r>
      <w:r w:rsidRPr="00E26C8E">
        <w:rPr>
          <w:rFonts w:eastAsia="Times New Roman"/>
          <w:i/>
          <w:szCs w:val="17"/>
        </w:rPr>
        <w:tab/>
        <w:t>Confirmation of impact events</w:t>
      </w:r>
    </w:p>
    <w:p w:rsidR="00E26C8E" w:rsidRPr="00E26C8E" w:rsidRDefault="00E26C8E" w:rsidP="00E26C8E">
      <w:pPr>
        <w:ind w:left="2127"/>
        <w:rPr>
          <w:rFonts w:eastAsia="Times New Roman"/>
          <w:szCs w:val="17"/>
        </w:rPr>
      </w:pPr>
      <w:r w:rsidRPr="00E26C8E">
        <w:rPr>
          <w:rFonts w:eastAsia="Times New Roman"/>
          <w:szCs w:val="17"/>
        </w:rPr>
        <w:t>For each potential impact event provide:</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an analysis of whether a source, pathway and receptor does exist (and if not, or if it remains uncertain, provide an explanation for the conclusion); and</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a description of the likely impact from the source on the environmental receptor.</w:t>
      </w:r>
    </w:p>
    <w:p w:rsidR="00E26C8E" w:rsidRPr="00E26C8E" w:rsidRDefault="00E26C8E" w:rsidP="00E26C8E">
      <w:pPr>
        <w:spacing w:after="0" w:line="240" w:lineRule="auto"/>
        <w:jc w:val="left"/>
        <w:rPr>
          <w:rFonts w:eastAsia="Times New Roman"/>
          <w:b/>
          <w:szCs w:val="17"/>
        </w:rPr>
      </w:pPr>
      <w:r w:rsidRPr="00E26C8E">
        <w:rPr>
          <w:rFonts w:eastAsia="Times New Roman"/>
          <w:b/>
          <w:szCs w:val="17"/>
        </w:rPr>
        <w:br w:type="page"/>
      </w:r>
    </w:p>
    <w:p w:rsidR="00E26C8E" w:rsidRPr="00E26C8E" w:rsidRDefault="00E26C8E" w:rsidP="00E26C8E">
      <w:pPr>
        <w:ind w:left="851" w:hanging="425"/>
        <w:rPr>
          <w:rFonts w:eastAsia="Times New Roman"/>
          <w:b/>
          <w:szCs w:val="17"/>
        </w:rPr>
      </w:pPr>
      <w:r w:rsidRPr="00E26C8E">
        <w:rPr>
          <w:rFonts w:eastAsia="Times New Roman"/>
          <w:b/>
          <w:szCs w:val="17"/>
        </w:rPr>
        <w:t>4.2</w:t>
      </w:r>
      <w:r w:rsidRPr="00E26C8E">
        <w:rPr>
          <w:rFonts w:eastAsia="Times New Roman"/>
          <w:b/>
          <w:szCs w:val="17"/>
        </w:rPr>
        <w:tab/>
        <w:t>Control and management strategies, uncertainty assessment, statement of environmental outcomes and criteria</w:t>
      </w:r>
    </w:p>
    <w:p w:rsidR="00E26C8E" w:rsidRPr="00E26C8E" w:rsidRDefault="00E26C8E" w:rsidP="00E26C8E">
      <w:pPr>
        <w:ind w:left="851"/>
        <w:rPr>
          <w:rFonts w:eastAsia="Times New Roman"/>
          <w:szCs w:val="17"/>
        </w:rPr>
      </w:pPr>
      <w:r w:rsidRPr="00E26C8E">
        <w:rPr>
          <w:rFonts w:eastAsia="Times New Roman"/>
          <w:szCs w:val="17"/>
        </w:rPr>
        <w:t>For each impact event confirmed in clause 4.1.2.5, the information listed in clauses 4.2.1-4.2.4 must be provided:</w:t>
      </w:r>
    </w:p>
    <w:p w:rsidR="00E26C8E" w:rsidRPr="00E26C8E" w:rsidRDefault="00E26C8E" w:rsidP="00E26C8E">
      <w:pPr>
        <w:ind w:left="1418" w:hanging="567"/>
        <w:rPr>
          <w:rFonts w:eastAsia="Times New Roman"/>
          <w:i/>
          <w:szCs w:val="17"/>
        </w:rPr>
      </w:pPr>
      <w:r w:rsidRPr="00E26C8E">
        <w:rPr>
          <w:rFonts w:eastAsia="Times New Roman"/>
          <w:i/>
          <w:szCs w:val="17"/>
        </w:rPr>
        <w:t>4.2.5</w:t>
      </w:r>
      <w:r w:rsidRPr="00E26C8E">
        <w:rPr>
          <w:rFonts w:eastAsia="Times New Roman"/>
          <w:i/>
          <w:szCs w:val="17"/>
        </w:rPr>
        <w:tab/>
        <w:t>Control and management strategies</w:t>
      </w:r>
    </w:p>
    <w:p w:rsidR="00E26C8E" w:rsidRPr="00E26C8E" w:rsidRDefault="00E26C8E" w:rsidP="00E26C8E">
      <w:pPr>
        <w:ind w:left="1418"/>
        <w:rPr>
          <w:rFonts w:eastAsia="Times New Roman"/>
          <w:szCs w:val="17"/>
        </w:rPr>
      </w:pPr>
      <w:r w:rsidRPr="00E26C8E">
        <w:rPr>
          <w:rFonts w:eastAsia="Times New Roman"/>
          <w:szCs w:val="17"/>
        </w:rPr>
        <w:t>In setting out the control and management strategies adopted to demonstrate that the environmental outcomes can be and will continue to be achieved in accordance with regulation 63(1)(b) of the</w:t>
      </w:r>
      <w:r w:rsidRPr="00E26C8E">
        <w:rPr>
          <w:rFonts w:eastAsia="Times New Roman"/>
          <w:i/>
          <w:szCs w:val="17"/>
        </w:rPr>
        <w:t xml:space="preserve"> Mining Regulations 2020</w:t>
      </w:r>
      <w:r w:rsidRPr="00E26C8E">
        <w:rPr>
          <w:rFonts w:eastAsia="Times New Roman"/>
          <w:szCs w:val="17"/>
        </w:rPr>
        <w:t>, the Minister determines in accordance with regulation 63(3)(e) of the</w:t>
      </w:r>
      <w:r w:rsidRPr="00E26C8E">
        <w:rPr>
          <w:rFonts w:eastAsia="Times New Roman"/>
          <w:i/>
          <w:szCs w:val="17"/>
        </w:rPr>
        <w:t xml:space="preserve"> Mining Regulations 2020</w:t>
      </w:r>
      <w:r w:rsidRPr="00E26C8E">
        <w:rPr>
          <w:rFonts w:eastAsia="Times New Roman"/>
          <w:szCs w:val="17"/>
        </w:rPr>
        <w:t xml:space="preserve"> that a transitional PEPR must:</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include a description of the strategies proposed to manage, limit or remedy each impact event</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demonstrate that the control and management strategies proposed are commensurate with the potential impacts, achieve compliance with other applicable statutory requirements and promote progressive rehabilitation</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describe any significant degree of uncertainty in accordance with regulation 63(3)(c) pertaining to the likely effectiveness of control and management strategies, including (but not limited to) lack of site-specific information, limitations on modelling and quality of data. Describe any assumptions connected with the identified uncertainty</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so far as is relevant, identify the sensitivity to change of any assumption that has been made in accordance with regulation 63(3)(d) and assess the likelihood of an outcome not being achieved if an assumption is later found to be incorrect</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provide a description and list of current and future works (for example (but not limited to) trials, test work, studies, modelling, validations) that are to be undertaken to address the identified uncertainty or assumption</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provide a schedule of the timing that the future works will be undertaken and completed;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based on the schedule of future works, state the timing for review of the PEPR in accordance with Section 70C(1) of the</w:t>
      </w:r>
      <w:r w:rsidRPr="00E26C8E">
        <w:rPr>
          <w:rFonts w:eastAsia="Times New Roman"/>
          <w:i/>
          <w:szCs w:val="17"/>
        </w:rPr>
        <w:t xml:space="preserve"> Mining Act 1971</w:t>
      </w:r>
      <w:r w:rsidRPr="00E26C8E">
        <w:rPr>
          <w:rFonts w:eastAsia="Times New Roman"/>
          <w:szCs w:val="17"/>
        </w:rPr>
        <w:t>.</w:t>
      </w:r>
    </w:p>
    <w:p w:rsidR="00E26C8E" w:rsidRPr="00E26C8E" w:rsidRDefault="00E26C8E" w:rsidP="00E26C8E">
      <w:pPr>
        <w:ind w:left="1418" w:hanging="567"/>
        <w:rPr>
          <w:rFonts w:eastAsia="Times New Roman"/>
          <w:i/>
          <w:szCs w:val="17"/>
        </w:rPr>
      </w:pPr>
      <w:r w:rsidRPr="00E26C8E">
        <w:rPr>
          <w:rFonts w:eastAsia="Times New Roman"/>
          <w:i/>
          <w:szCs w:val="17"/>
        </w:rPr>
        <w:t>4.2.6</w:t>
      </w:r>
      <w:r w:rsidRPr="00E26C8E">
        <w:rPr>
          <w:rFonts w:eastAsia="Times New Roman"/>
          <w:i/>
          <w:szCs w:val="17"/>
        </w:rPr>
        <w:tab/>
        <w:t>Statement of proposed environmental outcomes</w:t>
      </w:r>
    </w:p>
    <w:p w:rsidR="00E26C8E" w:rsidRPr="00E26C8E" w:rsidRDefault="00E26C8E" w:rsidP="00E26C8E">
      <w:pPr>
        <w:ind w:left="1418"/>
        <w:rPr>
          <w:rFonts w:eastAsia="Times New Roman"/>
          <w:szCs w:val="17"/>
        </w:rPr>
      </w:pPr>
      <w:r w:rsidRPr="00E26C8E">
        <w:rPr>
          <w:rFonts w:eastAsia="Times New Roman"/>
          <w:szCs w:val="17"/>
        </w:rPr>
        <w:t>A transitional PEPR must set out environmental outcomes (including completion outcomes) in accordance with section 70B(2)(b)(i) of the</w:t>
      </w:r>
      <w:r w:rsidRPr="00E26C8E">
        <w:rPr>
          <w:rFonts w:eastAsia="Times New Roman"/>
          <w:i/>
          <w:szCs w:val="17"/>
        </w:rPr>
        <w:t xml:space="preserve"> Mining Act 1971</w:t>
      </w:r>
      <w:r w:rsidRPr="00E26C8E">
        <w:rPr>
          <w:rFonts w:eastAsia="Times New Roman"/>
          <w:szCs w:val="17"/>
        </w:rPr>
        <w:t>.</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Provide a statement of the proposed environmental outcome(s) (including completion outcomes assessed on a long-term basis) for each impact event confirmed in clause 4.1.2.5.</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Ensure that the statement of environmental outcome(s) describe the likely consequence of the expected impact on the environment by the proposed mine operations subsequent to the implementation of the control measures described in clause 4.2.1.</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Provide a statement that demonstrates the environmental outcomes would be able to be achieved taking into consideration the effectiveness of the control strategies (clause 4.2.1) and description of uncertainty (clause 4.2.1).</w:t>
      </w:r>
    </w:p>
    <w:p w:rsidR="00E26C8E" w:rsidRPr="00E26C8E" w:rsidRDefault="00E26C8E" w:rsidP="00E26C8E">
      <w:pPr>
        <w:ind w:left="1418" w:hanging="567"/>
        <w:rPr>
          <w:rFonts w:eastAsia="Times New Roman"/>
          <w:i/>
          <w:szCs w:val="17"/>
        </w:rPr>
      </w:pPr>
      <w:r w:rsidRPr="00E26C8E">
        <w:rPr>
          <w:rFonts w:eastAsia="Times New Roman"/>
          <w:i/>
          <w:szCs w:val="17"/>
        </w:rPr>
        <w:t>4.2.7</w:t>
      </w:r>
      <w:r w:rsidRPr="00E26C8E">
        <w:rPr>
          <w:rFonts w:eastAsia="Times New Roman"/>
          <w:i/>
          <w:szCs w:val="17"/>
        </w:rPr>
        <w:tab/>
        <w:t>Measurement criteria</w:t>
      </w:r>
    </w:p>
    <w:p w:rsidR="00E26C8E" w:rsidRPr="00E26C8E" w:rsidRDefault="00E26C8E" w:rsidP="00E26C8E">
      <w:pPr>
        <w:ind w:left="1418"/>
        <w:rPr>
          <w:rFonts w:eastAsia="Times New Roman"/>
          <w:szCs w:val="17"/>
        </w:rPr>
      </w:pPr>
      <w:r w:rsidRPr="00E26C8E">
        <w:rPr>
          <w:rFonts w:eastAsia="Times New Roman"/>
          <w:szCs w:val="17"/>
        </w:rPr>
        <w:t>In preparing a statement of the criteria to be adopted to measure each of the environmental outcomes in accordance with section 70B(2)(c) of the</w:t>
      </w:r>
      <w:r w:rsidRPr="00E26C8E">
        <w:rPr>
          <w:rFonts w:eastAsia="Times New Roman"/>
          <w:i/>
          <w:szCs w:val="17"/>
        </w:rPr>
        <w:t xml:space="preserve"> Mining Act 1971</w:t>
      </w:r>
      <w:r w:rsidRPr="00E26C8E">
        <w:rPr>
          <w:rFonts w:eastAsia="Times New Roman"/>
          <w:szCs w:val="17"/>
        </w:rPr>
        <w:t xml:space="preserve"> and regulation 63(1)(c) of the</w:t>
      </w:r>
      <w:r w:rsidRPr="00E26C8E">
        <w:rPr>
          <w:rFonts w:eastAsia="Times New Roman"/>
          <w:i/>
          <w:szCs w:val="17"/>
        </w:rPr>
        <w:t xml:space="preserve"> Mining Regulations 2020</w:t>
      </w:r>
      <w:r w:rsidRPr="00E26C8E">
        <w:rPr>
          <w:rFonts w:eastAsia="Times New Roman"/>
          <w:szCs w:val="17"/>
        </w:rPr>
        <w:t>, the Minister determines in accordance with regulation 63(3)(e) of the</w:t>
      </w:r>
      <w:r w:rsidRPr="00E26C8E">
        <w:rPr>
          <w:rFonts w:eastAsia="Times New Roman"/>
          <w:i/>
          <w:szCs w:val="17"/>
        </w:rPr>
        <w:t xml:space="preserve"> Mining Regulations 2020</w:t>
      </w:r>
      <w:r w:rsidRPr="00E26C8E">
        <w:rPr>
          <w:rFonts w:eastAsia="Times New Roman"/>
          <w:szCs w:val="17"/>
        </w:rPr>
        <w:t xml:space="preserve"> the following:</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Set out a statement of criteria for each environmental outcome (including completion outcomes).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As far as practical comply with the five elements set out in Regulation 46(5).</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Be developed separately for construction, operation and completion, as appropriate;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Where appropriate, recognised industry standards, codes of practice or legislative provisions from other Acts should be used as criteria.</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The criteria must comply with the five elements of regulation 63(1)(c) and must include details about:</w:t>
      </w:r>
    </w:p>
    <w:p w:rsidR="00E26C8E" w:rsidRPr="00E26C8E" w:rsidRDefault="00E26C8E" w:rsidP="00E26C8E">
      <w:pPr>
        <w:ind w:left="1985" w:hanging="284"/>
        <w:rPr>
          <w:rFonts w:eastAsia="Times New Roman"/>
          <w:szCs w:val="17"/>
        </w:rPr>
      </w:pPr>
      <w:r w:rsidRPr="00E26C8E">
        <w:rPr>
          <w:rFonts w:eastAsia="Times New Roman"/>
          <w:szCs w:val="17"/>
        </w:rPr>
        <w:t>◦</w:t>
      </w:r>
      <w:r w:rsidRPr="00E26C8E">
        <w:rPr>
          <w:rFonts w:eastAsia="Times New Roman"/>
          <w:szCs w:val="17"/>
        </w:rPr>
        <w:tab/>
        <w:t>responsibility (who will measure)</w:t>
      </w:r>
    </w:p>
    <w:p w:rsidR="00E26C8E" w:rsidRPr="00E26C8E" w:rsidRDefault="00E26C8E" w:rsidP="00E26C8E">
      <w:pPr>
        <w:ind w:left="1985" w:hanging="284"/>
        <w:rPr>
          <w:rFonts w:eastAsia="Times New Roman"/>
          <w:szCs w:val="17"/>
        </w:rPr>
      </w:pPr>
      <w:r w:rsidRPr="00E26C8E">
        <w:rPr>
          <w:rFonts w:eastAsia="Times New Roman"/>
          <w:szCs w:val="17"/>
        </w:rPr>
        <w:t>◦</w:t>
      </w:r>
      <w:r w:rsidRPr="00E26C8E">
        <w:rPr>
          <w:rFonts w:eastAsia="Times New Roman"/>
          <w:szCs w:val="17"/>
        </w:rPr>
        <w:tab/>
        <w:t>record-keeping; and</w:t>
      </w:r>
    </w:p>
    <w:p w:rsidR="00E26C8E" w:rsidRPr="00E26C8E" w:rsidRDefault="00E26C8E" w:rsidP="00E26C8E">
      <w:pPr>
        <w:ind w:left="1985" w:hanging="284"/>
        <w:rPr>
          <w:rFonts w:eastAsia="Times New Roman"/>
          <w:szCs w:val="17"/>
        </w:rPr>
      </w:pPr>
      <w:r w:rsidRPr="00E26C8E">
        <w:rPr>
          <w:rFonts w:eastAsia="Times New Roman"/>
          <w:szCs w:val="17"/>
        </w:rPr>
        <w:t>◦</w:t>
      </w:r>
      <w:r w:rsidRPr="00E26C8E">
        <w:rPr>
          <w:rFonts w:eastAsia="Times New Roman"/>
          <w:szCs w:val="17"/>
        </w:rPr>
        <w:tab/>
        <w:t>frequency of reporting to management and any external parties.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All point-related measurement criteria, such as water bores, sampling points and photo points (including direction) must be included on a map.</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When control or baseline data is used, this must be included in the PEPR.</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Where groundwater modelling is to be relied upon to demonstrate achievement of groundwater completion outcomes, the statement of criteria must include a process must be provided for validation of predictive modelling, including a description of the model and assumptions used.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Where native vegetation clearance is planned and in the case where an on ground offset by the operator is to be used to demonstrate the Significant Environmental Benefit (SEB), the statement of criteria must demonstrate the successful implementation of the on ground offset through the native vegetation management plan.</w:t>
      </w:r>
    </w:p>
    <w:p w:rsidR="00E26C8E" w:rsidRPr="00E26C8E" w:rsidRDefault="00E26C8E" w:rsidP="00E26C8E">
      <w:pPr>
        <w:ind w:left="1418" w:hanging="567"/>
        <w:rPr>
          <w:rFonts w:eastAsia="Times New Roman"/>
          <w:i/>
          <w:szCs w:val="17"/>
        </w:rPr>
      </w:pPr>
      <w:r w:rsidRPr="00E26C8E">
        <w:rPr>
          <w:rFonts w:eastAsia="Times New Roman"/>
          <w:i/>
          <w:szCs w:val="17"/>
        </w:rPr>
        <w:t>4.2.8</w:t>
      </w:r>
      <w:r w:rsidRPr="00E26C8E">
        <w:rPr>
          <w:rFonts w:eastAsia="Times New Roman"/>
          <w:i/>
          <w:szCs w:val="17"/>
        </w:rPr>
        <w:tab/>
        <w:t>Leading indicator criteria</w:t>
      </w:r>
    </w:p>
    <w:p w:rsidR="00E26C8E" w:rsidRPr="00E26C8E" w:rsidRDefault="00E26C8E" w:rsidP="00E26C8E">
      <w:pPr>
        <w:ind w:left="1418"/>
        <w:rPr>
          <w:rFonts w:eastAsia="Times New Roman"/>
          <w:szCs w:val="17"/>
        </w:rPr>
      </w:pPr>
      <w:r w:rsidRPr="00E26C8E">
        <w:rPr>
          <w:rFonts w:eastAsia="Times New Roman"/>
          <w:szCs w:val="17"/>
        </w:rPr>
        <w:t>If required by the lease/licence and/or where there is a high level of reliance on control strategies to achieve an environmental outcome, set out leading indicator criteria as required by Regulation 63(1)(d) that will be used to give an early warning that a control strategy may fail or be failing.</w:t>
      </w:r>
    </w:p>
    <w:p w:rsidR="00E26C8E" w:rsidRPr="00E26C8E" w:rsidRDefault="00E26C8E" w:rsidP="00E26C8E">
      <w:pPr>
        <w:ind w:left="1418"/>
        <w:rPr>
          <w:rFonts w:eastAsia="Times New Roman"/>
          <w:szCs w:val="17"/>
        </w:rPr>
      </w:pPr>
      <w:r w:rsidRPr="00E26C8E">
        <w:rPr>
          <w:rFonts w:eastAsia="Times New Roman"/>
          <w:szCs w:val="17"/>
        </w:rPr>
        <w:t>Set out leading indicator statement of criteria where required (including mine completion outcomes). The leading indicator criteria must comply with the five elements of regulation 63(1)(c) and the statement of criteria must include details about:</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responsibility (who will measure)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record keeping;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frequency of reporting to management and any external parties.</w:t>
      </w:r>
    </w:p>
    <w:p w:rsidR="00E26C8E" w:rsidRPr="00E26C8E" w:rsidRDefault="00E26C8E" w:rsidP="00E26C8E">
      <w:pPr>
        <w:spacing w:after="0" w:line="240" w:lineRule="auto"/>
        <w:jc w:val="left"/>
        <w:rPr>
          <w:rFonts w:eastAsia="Times New Roman"/>
          <w:b/>
          <w:szCs w:val="17"/>
        </w:rPr>
      </w:pPr>
      <w:r w:rsidRPr="00E26C8E">
        <w:rPr>
          <w:rFonts w:eastAsia="Times New Roman"/>
          <w:b/>
          <w:szCs w:val="17"/>
        </w:rPr>
        <w:br w:type="page"/>
      </w:r>
    </w:p>
    <w:p w:rsidR="00E26C8E" w:rsidRPr="00E26C8E" w:rsidRDefault="00E26C8E" w:rsidP="00E26C8E">
      <w:pPr>
        <w:ind w:left="426" w:hanging="284"/>
        <w:rPr>
          <w:rFonts w:eastAsia="Times New Roman"/>
          <w:b/>
          <w:szCs w:val="17"/>
        </w:rPr>
      </w:pPr>
      <w:r w:rsidRPr="00E26C8E">
        <w:rPr>
          <w:rFonts w:eastAsia="Times New Roman"/>
          <w:b/>
          <w:szCs w:val="17"/>
        </w:rPr>
        <w:t>5.</w:t>
      </w:r>
      <w:r w:rsidRPr="00E26C8E">
        <w:rPr>
          <w:rFonts w:eastAsia="Times New Roman"/>
          <w:b/>
          <w:szCs w:val="17"/>
        </w:rPr>
        <w:tab/>
        <w:t>OPERATOR CAPABILITY</w:t>
      </w:r>
    </w:p>
    <w:p w:rsidR="00E26C8E" w:rsidRPr="00E26C8E" w:rsidRDefault="00E26C8E" w:rsidP="00E26C8E">
      <w:pPr>
        <w:ind w:left="426"/>
        <w:rPr>
          <w:rFonts w:eastAsia="Times New Roman"/>
          <w:szCs w:val="17"/>
        </w:rPr>
      </w:pPr>
      <w:r w:rsidRPr="00E26C8E">
        <w:rPr>
          <w:rFonts w:eastAsia="Times New Roman"/>
          <w:szCs w:val="17"/>
        </w:rPr>
        <w:t>In preparing information about the ability of the tenement holder (and any other person who may be acting on behalf of the tenement holder) in accordance with section 70B(2)(d) of the</w:t>
      </w:r>
      <w:r w:rsidRPr="00E26C8E">
        <w:rPr>
          <w:rFonts w:eastAsia="Times New Roman"/>
          <w:i/>
          <w:szCs w:val="17"/>
        </w:rPr>
        <w:t xml:space="preserve"> Mining Act 1971</w:t>
      </w:r>
      <w:r w:rsidRPr="00E26C8E">
        <w:rPr>
          <w:rFonts w:eastAsia="Times New Roman"/>
          <w:szCs w:val="17"/>
        </w:rPr>
        <w:t>, the Minister determines in accordance with regulation 63(3)(e) of the</w:t>
      </w:r>
      <w:r w:rsidRPr="00E26C8E">
        <w:rPr>
          <w:rFonts w:eastAsia="Times New Roman"/>
          <w:i/>
          <w:szCs w:val="17"/>
        </w:rPr>
        <w:t xml:space="preserve"> Mining Regulations 2020</w:t>
      </w:r>
      <w:r w:rsidRPr="00E26C8E">
        <w:rPr>
          <w:rFonts w:eastAsia="Times New Roman"/>
          <w:szCs w:val="17"/>
        </w:rPr>
        <w:t xml:space="preserve"> that this information must be accompanied by relevant evidence demonstrating that the tenement holder (and any other person who may be acting on behalf of the tenement holder as an operator) has appropriate experience, processes and procedures in place to be able to achieve the environmental outcomes.</w:t>
      </w:r>
    </w:p>
    <w:p w:rsidR="00E26C8E" w:rsidRPr="00E26C8E" w:rsidRDefault="00E26C8E" w:rsidP="00E26C8E">
      <w:pPr>
        <w:ind w:left="426" w:hanging="284"/>
        <w:rPr>
          <w:rFonts w:eastAsia="Times New Roman"/>
          <w:b/>
          <w:szCs w:val="17"/>
        </w:rPr>
      </w:pPr>
      <w:r w:rsidRPr="00E26C8E">
        <w:rPr>
          <w:rFonts w:eastAsia="Times New Roman"/>
          <w:b/>
          <w:szCs w:val="17"/>
        </w:rPr>
        <w:t>6.</w:t>
      </w:r>
      <w:r w:rsidRPr="00E26C8E">
        <w:rPr>
          <w:rFonts w:eastAsia="Times New Roman"/>
          <w:b/>
          <w:szCs w:val="17"/>
        </w:rPr>
        <w:tab/>
        <w:t>LEASE/LICENCE</w:t>
      </w:r>
    </w:p>
    <w:p w:rsidR="00E26C8E" w:rsidRPr="00E26C8E" w:rsidRDefault="00E26C8E" w:rsidP="00E26C8E">
      <w:pPr>
        <w:ind w:left="426"/>
        <w:rPr>
          <w:rFonts w:eastAsia="Times New Roman"/>
          <w:szCs w:val="17"/>
        </w:rPr>
      </w:pPr>
      <w:r w:rsidRPr="00E26C8E">
        <w:rPr>
          <w:rFonts w:eastAsia="Times New Roman"/>
          <w:szCs w:val="17"/>
        </w:rPr>
        <w:t>Where the ML or MPL includes specific conditions or requirements that are not environmental outcomes, in accordance with regulation 63(1)(e) a transitional PEPR must include a section that demonstrates where the respective conditions or requirements have been addressed in the transitional PEPR (if relevant) or demonstrates how otherwise they have or will be complied with.</w:t>
      </w:r>
    </w:p>
    <w:p w:rsidR="00E26C8E" w:rsidRPr="00E26C8E" w:rsidRDefault="00E26C8E" w:rsidP="00E26C8E">
      <w:pPr>
        <w:ind w:left="426" w:hanging="284"/>
        <w:rPr>
          <w:rFonts w:eastAsia="Times New Roman"/>
          <w:b/>
          <w:szCs w:val="17"/>
        </w:rPr>
      </w:pPr>
      <w:r w:rsidRPr="00E26C8E">
        <w:rPr>
          <w:rFonts w:eastAsia="Times New Roman"/>
          <w:b/>
          <w:szCs w:val="17"/>
        </w:rPr>
        <w:t>7.</w:t>
      </w:r>
      <w:r w:rsidRPr="00E26C8E">
        <w:rPr>
          <w:rFonts w:eastAsia="Times New Roman"/>
          <w:b/>
          <w:szCs w:val="17"/>
        </w:rPr>
        <w:tab/>
        <w:t>MAPS, PLANS AND CROSS SECTIONS</w:t>
      </w:r>
    </w:p>
    <w:p w:rsidR="00E26C8E" w:rsidRPr="00E26C8E" w:rsidRDefault="00E26C8E" w:rsidP="00E26C8E">
      <w:pPr>
        <w:ind w:left="426"/>
        <w:rPr>
          <w:rFonts w:eastAsia="Times New Roman"/>
          <w:szCs w:val="17"/>
        </w:rPr>
      </w:pPr>
      <w:r w:rsidRPr="00E26C8E">
        <w:rPr>
          <w:rFonts w:eastAsia="Times New Roman"/>
          <w:szCs w:val="17"/>
        </w:rPr>
        <w:t>In preparing a transitional PEPR in accordance with section 70B(2) of the</w:t>
      </w:r>
      <w:r w:rsidRPr="00E26C8E">
        <w:rPr>
          <w:rFonts w:eastAsia="Times New Roman"/>
          <w:i/>
          <w:szCs w:val="17"/>
        </w:rPr>
        <w:t xml:space="preserve"> Mining Act 1971</w:t>
      </w:r>
      <w:r w:rsidRPr="00E26C8E">
        <w:rPr>
          <w:rFonts w:eastAsia="Times New Roman"/>
          <w:szCs w:val="17"/>
        </w:rPr>
        <w:t xml:space="preserve"> and regulation 63 of the</w:t>
      </w:r>
      <w:r w:rsidRPr="00E26C8E">
        <w:rPr>
          <w:rFonts w:eastAsia="Times New Roman"/>
          <w:i/>
          <w:szCs w:val="17"/>
        </w:rPr>
        <w:t xml:space="preserve"> Mining Regulations 2020</w:t>
      </w:r>
      <w:r w:rsidRPr="00E26C8E">
        <w:rPr>
          <w:rFonts w:eastAsia="Times New Roman"/>
          <w:szCs w:val="17"/>
        </w:rPr>
        <w:t>, the Minister determines in accordance with regulation 63(3)(e) of the</w:t>
      </w:r>
      <w:r w:rsidRPr="00E26C8E">
        <w:rPr>
          <w:rFonts w:eastAsia="Times New Roman"/>
          <w:i/>
          <w:szCs w:val="17"/>
        </w:rPr>
        <w:t xml:space="preserve"> Mining Regulations 2020</w:t>
      </w:r>
      <w:r w:rsidRPr="00E26C8E">
        <w:rPr>
          <w:rFonts w:eastAsia="Times New Roman"/>
          <w:szCs w:val="17"/>
        </w:rPr>
        <w:t xml:space="preserve"> that all maps, plans and cross sections must comply with the following requirements relating to the amount of detail or information to be provided:</w:t>
      </w:r>
    </w:p>
    <w:p w:rsidR="00E26C8E" w:rsidRPr="00E26C8E" w:rsidRDefault="00E26C8E" w:rsidP="00E26C8E">
      <w:pPr>
        <w:ind w:left="851" w:hanging="283"/>
        <w:rPr>
          <w:rFonts w:eastAsia="Times New Roman"/>
          <w:szCs w:val="17"/>
        </w:rPr>
      </w:pPr>
      <w:r w:rsidRPr="00E26C8E">
        <w:rPr>
          <w:rFonts w:eastAsia="Times New Roman"/>
          <w:szCs w:val="17"/>
        </w:rPr>
        <w:t>•</w:t>
      </w:r>
      <w:r w:rsidRPr="00E26C8E">
        <w:rPr>
          <w:rFonts w:eastAsia="Times New Roman"/>
          <w:szCs w:val="17"/>
        </w:rPr>
        <w:tab/>
        <w:t>state and show the relevant datum (Australian Height Datum (AHD) is preferred)</w:t>
      </w:r>
    </w:p>
    <w:p w:rsidR="00E26C8E" w:rsidRPr="00E26C8E" w:rsidRDefault="00E26C8E" w:rsidP="00E26C8E">
      <w:pPr>
        <w:ind w:left="851" w:hanging="283"/>
        <w:rPr>
          <w:rFonts w:eastAsia="Times New Roman"/>
          <w:szCs w:val="17"/>
        </w:rPr>
      </w:pPr>
      <w:r w:rsidRPr="00E26C8E">
        <w:rPr>
          <w:rFonts w:eastAsia="Times New Roman"/>
          <w:szCs w:val="17"/>
        </w:rPr>
        <w:t>•</w:t>
      </w:r>
      <w:r w:rsidRPr="00E26C8E">
        <w:rPr>
          <w:rFonts w:eastAsia="Times New Roman"/>
          <w:szCs w:val="17"/>
        </w:rPr>
        <w:tab/>
        <w:t>be in metric units</w:t>
      </w:r>
    </w:p>
    <w:p w:rsidR="00E26C8E" w:rsidRPr="00E26C8E" w:rsidRDefault="00E26C8E" w:rsidP="00E26C8E">
      <w:pPr>
        <w:ind w:left="851" w:hanging="283"/>
        <w:rPr>
          <w:rFonts w:eastAsia="Times New Roman"/>
          <w:szCs w:val="17"/>
        </w:rPr>
      </w:pPr>
      <w:r w:rsidRPr="00E26C8E">
        <w:rPr>
          <w:rFonts w:eastAsia="Times New Roman"/>
          <w:szCs w:val="17"/>
        </w:rPr>
        <w:t>•</w:t>
      </w:r>
      <w:r w:rsidRPr="00E26C8E">
        <w:rPr>
          <w:rFonts w:eastAsia="Times New Roman"/>
          <w:szCs w:val="17"/>
        </w:rPr>
        <w:tab/>
        <w:t>include title, north arrow, scale bar, text and legend</w:t>
      </w:r>
    </w:p>
    <w:p w:rsidR="00E26C8E" w:rsidRPr="00E26C8E" w:rsidRDefault="00E26C8E" w:rsidP="00E26C8E">
      <w:pPr>
        <w:ind w:left="851" w:hanging="283"/>
        <w:rPr>
          <w:rFonts w:eastAsia="Times New Roman"/>
          <w:szCs w:val="17"/>
        </w:rPr>
      </w:pPr>
      <w:r w:rsidRPr="00E26C8E">
        <w:rPr>
          <w:rFonts w:eastAsia="Times New Roman"/>
          <w:szCs w:val="17"/>
        </w:rPr>
        <w:t>•</w:t>
      </w:r>
      <w:r w:rsidRPr="00E26C8E">
        <w:rPr>
          <w:rFonts w:eastAsia="Times New Roman"/>
          <w:szCs w:val="17"/>
        </w:rPr>
        <w:tab/>
        <w:t>list date prepared and author</w:t>
      </w:r>
    </w:p>
    <w:p w:rsidR="00E26C8E" w:rsidRPr="00E26C8E" w:rsidRDefault="00E26C8E" w:rsidP="00E26C8E">
      <w:pPr>
        <w:ind w:left="851" w:hanging="283"/>
        <w:rPr>
          <w:rFonts w:eastAsia="Times New Roman"/>
          <w:szCs w:val="17"/>
        </w:rPr>
      </w:pPr>
      <w:r w:rsidRPr="00E26C8E">
        <w:rPr>
          <w:rFonts w:eastAsia="Times New Roman"/>
          <w:szCs w:val="17"/>
        </w:rPr>
        <w:t>•</w:t>
      </w:r>
      <w:r w:rsidRPr="00E26C8E">
        <w:rPr>
          <w:rFonts w:eastAsia="Times New Roman"/>
          <w:szCs w:val="17"/>
        </w:rPr>
        <w:tab/>
        <w:t>be of appropriate resolution and scale for represented information; and</w:t>
      </w:r>
    </w:p>
    <w:p w:rsidR="00E26C8E" w:rsidRPr="00E26C8E" w:rsidRDefault="00E26C8E" w:rsidP="00E26C8E">
      <w:pPr>
        <w:ind w:left="851" w:hanging="283"/>
        <w:rPr>
          <w:rFonts w:eastAsia="Times New Roman"/>
          <w:szCs w:val="17"/>
        </w:rPr>
      </w:pPr>
      <w:r w:rsidRPr="00E26C8E">
        <w:rPr>
          <w:rFonts w:eastAsia="Times New Roman"/>
          <w:szCs w:val="17"/>
        </w:rPr>
        <w:t>•</w:t>
      </w:r>
      <w:r w:rsidRPr="00E26C8E">
        <w:rPr>
          <w:rFonts w:eastAsia="Times New Roman"/>
          <w:szCs w:val="17"/>
        </w:rPr>
        <w:tab/>
        <w:t>be legible in both the hardcopy and electronic versions of the submission.</w:t>
      </w:r>
    </w:p>
    <w:p w:rsidR="00E26C8E" w:rsidRPr="00E26C8E" w:rsidRDefault="00E26C8E" w:rsidP="00E26C8E">
      <w:pPr>
        <w:ind w:left="426"/>
        <w:rPr>
          <w:rFonts w:eastAsia="Times New Roman"/>
          <w:szCs w:val="17"/>
        </w:rPr>
      </w:pPr>
      <w:r w:rsidRPr="00E26C8E">
        <w:rPr>
          <w:rFonts w:eastAsia="Times New Roman"/>
          <w:szCs w:val="17"/>
        </w:rPr>
        <w:t>All cross-sections must conform to the following standards:</w:t>
      </w:r>
    </w:p>
    <w:p w:rsidR="00E26C8E" w:rsidRPr="00E26C8E" w:rsidRDefault="00E26C8E" w:rsidP="00E26C8E">
      <w:pPr>
        <w:ind w:left="851" w:hanging="283"/>
        <w:rPr>
          <w:rFonts w:eastAsia="Times New Roman"/>
          <w:szCs w:val="17"/>
        </w:rPr>
      </w:pPr>
      <w:r w:rsidRPr="00E26C8E">
        <w:rPr>
          <w:rFonts w:eastAsia="Times New Roman"/>
          <w:szCs w:val="17"/>
        </w:rPr>
        <w:t>•</w:t>
      </w:r>
      <w:r w:rsidRPr="00E26C8E">
        <w:rPr>
          <w:rFonts w:eastAsia="Times New Roman"/>
          <w:szCs w:val="17"/>
        </w:rPr>
        <w:tab/>
        <w:t>state and show the relevant datum (Australian Height Datum (AHD) is preferred)</w:t>
      </w:r>
    </w:p>
    <w:p w:rsidR="00E26C8E" w:rsidRPr="00E26C8E" w:rsidRDefault="00E26C8E" w:rsidP="00E26C8E">
      <w:pPr>
        <w:ind w:left="851" w:hanging="283"/>
        <w:rPr>
          <w:rFonts w:eastAsia="Times New Roman"/>
          <w:szCs w:val="17"/>
        </w:rPr>
      </w:pPr>
      <w:r w:rsidRPr="00E26C8E">
        <w:rPr>
          <w:rFonts w:eastAsia="Times New Roman"/>
          <w:szCs w:val="17"/>
        </w:rPr>
        <w:t>•</w:t>
      </w:r>
      <w:r w:rsidRPr="00E26C8E">
        <w:rPr>
          <w:rFonts w:eastAsia="Times New Roman"/>
          <w:szCs w:val="17"/>
        </w:rPr>
        <w:tab/>
        <w:t>be in metric units</w:t>
      </w:r>
    </w:p>
    <w:p w:rsidR="00E26C8E" w:rsidRPr="00E26C8E" w:rsidRDefault="00E26C8E" w:rsidP="00E26C8E">
      <w:pPr>
        <w:ind w:left="851" w:hanging="283"/>
        <w:rPr>
          <w:rFonts w:eastAsia="Times New Roman"/>
          <w:szCs w:val="17"/>
        </w:rPr>
      </w:pPr>
      <w:r w:rsidRPr="00E26C8E">
        <w:rPr>
          <w:rFonts w:eastAsia="Times New Roman"/>
          <w:szCs w:val="17"/>
        </w:rPr>
        <w:t>•</w:t>
      </w:r>
      <w:r w:rsidRPr="00E26C8E">
        <w:rPr>
          <w:rFonts w:eastAsia="Times New Roman"/>
          <w:szCs w:val="17"/>
        </w:rPr>
        <w:tab/>
        <w:t>include title, scale bar, text and legend</w:t>
      </w:r>
    </w:p>
    <w:p w:rsidR="00E26C8E" w:rsidRPr="00E26C8E" w:rsidRDefault="00E26C8E" w:rsidP="00E26C8E">
      <w:pPr>
        <w:ind w:left="851" w:hanging="283"/>
        <w:rPr>
          <w:rFonts w:eastAsia="Times New Roman"/>
          <w:szCs w:val="17"/>
        </w:rPr>
      </w:pPr>
      <w:r w:rsidRPr="00E26C8E">
        <w:rPr>
          <w:rFonts w:eastAsia="Times New Roman"/>
          <w:szCs w:val="17"/>
        </w:rPr>
        <w:t>•</w:t>
      </w:r>
      <w:r w:rsidRPr="00E26C8E">
        <w:rPr>
          <w:rFonts w:eastAsia="Times New Roman"/>
          <w:szCs w:val="17"/>
        </w:rPr>
        <w:tab/>
        <w:t>list date prepared and author</w:t>
      </w:r>
    </w:p>
    <w:p w:rsidR="00E26C8E" w:rsidRPr="00E26C8E" w:rsidRDefault="00E26C8E" w:rsidP="00E26C8E">
      <w:pPr>
        <w:ind w:left="851" w:hanging="283"/>
        <w:rPr>
          <w:rFonts w:eastAsia="Times New Roman"/>
          <w:szCs w:val="17"/>
        </w:rPr>
      </w:pPr>
      <w:r w:rsidRPr="00E26C8E">
        <w:rPr>
          <w:rFonts w:eastAsia="Times New Roman"/>
          <w:szCs w:val="17"/>
        </w:rPr>
        <w:t>•</w:t>
      </w:r>
      <w:r w:rsidRPr="00E26C8E">
        <w:rPr>
          <w:rFonts w:eastAsia="Times New Roman"/>
          <w:szCs w:val="17"/>
        </w:rPr>
        <w:tab/>
        <w:t>be of appropriate resolution and scale for represented information</w:t>
      </w:r>
    </w:p>
    <w:p w:rsidR="00E26C8E" w:rsidRPr="00E26C8E" w:rsidRDefault="00E26C8E" w:rsidP="00E26C8E">
      <w:pPr>
        <w:ind w:left="851" w:hanging="283"/>
        <w:rPr>
          <w:rFonts w:eastAsia="Times New Roman"/>
          <w:szCs w:val="17"/>
        </w:rPr>
      </w:pPr>
      <w:r w:rsidRPr="00E26C8E">
        <w:rPr>
          <w:rFonts w:eastAsia="Times New Roman"/>
          <w:szCs w:val="17"/>
        </w:rPr>
        <w:t>•</w:t>
      </w:r>
      <w:r w:rsidRPr="00E26C8E">
        <w:rPr>
          <w:rFonts w:eastAsia="Times New Roman"/>
          <w:szCs w:val="17"/>
        </w:rPr>
        <w:tab/>
        <w:t>be legible in both the hardcopy and electronic versions of the submission; and</w:t>
      </w:r>
    </w:p>
    <w:p w:rsidR="00E26C8E" w:rsidRPr="00E26C8E" w:rsidRDefault="00E26C8E" w:rsidP="00E26C8E">
      <w:pPr>
        <w:ind w:left="851" w:hanging="283"/>
        <w:rPr>
          <w:rFonts w:eastAsia="Times New Roman"/>
          <w:szCs w:val="17"/>
        </w:rPr>
      </w:pPr>
      <w:r w:rsidRPr="00E26C8E">
        <w:rPr>
          <w:rFonts w:eastAsia="Times New Roman"/>
          <w:szCs w:val="17"/>
        </w:rPr>
        <w:t>•</w:t>
      </w:r>
      <w:r w:rsidRPr="00E26C8E">
        <w:rPr>
          <w:rFonts w:eastAsia="Times New Roman"/>
          <w:szCs w:val="17"/>
        </w:rPr>
        <w:tab/>
        <w:t>be accompanied by a map showing the orientation of the cross-sections.</w:t>
      </w:r>
    </w:p>
    <w:p w:rsidR="00E26C8E" w:rsidRPr="00E26C8E" w:rsidRDefault="00E26C8E" w:rsidP="00E26C8E">
      <w:pPr>
        <w:ind w:left="1418" w:hanging="567"/>
        <w:rPr>
          <w:rFonts w:eastAsia="Times New Roman"/>
          <w:i/>
          <w:szCs w:val="17"/>
        </w:rPr>
      </w:pPr>
      <w:r w:rsidRPr="00E26C8E">
        <w:rPr>
          <w:rFonts w:eastAsia="Times New Roman"/>
          <w:i/>
          <w:szCs w:val="17"/>
        </w:rPr>
        <w:t>7.1.1</w:t>
      </w:r>
      <w:r w:rsidRPr="00E26C8E">
        <w:rPr>
          <w:rFonts w:eastAsia="Times New Roman"/>
          <w:i/>
          <w:szCs w:val="17"/>
        </w:rPr>
        <w:tab/>
        <w:t>Map(s) and plan(s) required for description of the existing environment (as per clause 1)</w:t>
      </w:r>
    </w:p>
    <w:p w:rsidR="00E26C8E" w:rsidRPr="00E26C8E" w:rsidRDefault="00E26C8E" w:rsidP="00E26C8E">
      <w:pPr>
        <w:ind w:left="2127" w:hanging="709"/>
        <w:rPr>
          <w:rFonts w:eastAsia="Times New Roman"/>
          <w:i/>
          <w:szCs w:val="17"/>
        </w:rPr>
      </w:pPr>
      <w:r w:rsidRPr="00E26C8E">
        <w:rPr>
          <w:rFonts w:eastAsia="Times New Roman"/>
          <w:i/>
          <w:szCs w:val="17"/>
        </w:rPr>
        <w:t>7.1.1.1</w:t>
      </w:r>
      <w:r w:rsidRPr="00E26C8E">
        <w:rPr>
          <w:rFonts w:eastAsia="Times New Roman"/>
          <w:i/>
          <w:szCs w:val="17"/>
        </w:rPr>
        <w:tab/>
        <w:t>Topographic map showing:</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tenement area boundaries</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existing surface contours</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existing vegetation</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location of watercourses, including ephemeral and permanent rivers, creeks, swamps, streams, wetlands and any man-made water management structures</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surface water catchment boundaries</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direction of drainage and discharge from the tenement area</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location and extent of all previously disturbed areas associated with previous mining</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location and extent of any known existing contamination; and</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location and extent of any adjacent conservation reserves, heritage sites (in so far as may be permitted by the relevant legislation) or any other significant areas.</w:t>
      </w:r>
    </w:p>
    <w:p w:rsidR="00E26C8E" w:rsidRPr="00E26C8E" w:rsidRDefault="00E26C8E" w:rsidP="00E26C8E">
      <w:pPr>
        <w:ind w:left="2127" w:hanging="709"/>
        <w:rPr>
          <w:rFonts w:eastAsia="Times New Roman"/>
          <w:i/>
          <w:szCs w:val="17"/>
        </w:rPr>
      </w:pPr>
      <w:r w:rsidRPr="00E26C8E">
        <w:rPr>
          <w:rFonts w:eastAsia="Times New Roman"/>
          <w:i/>
          <w:szCs w:val="17"/>
        </w:rPr>
        <w:t>7.1.1.2</w:t>
      </w:r>
      <w:r w:rsidRPr="00E26C8E">
        <w:rPr>
          <w:rFonts w:eastAsia="Times New Roman"/>
          <w:i/>
          <w:szCs w:val="17"/>
        </w:rPr>
        <w:tab/>
        <w:t>Local geological map showing:</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tenement area boundaries</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geology within the tenement area, including but not limited to location, dimensions and orientation (dip and strike), and extent of the mineral resource and ore reserve</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topsoil/subsoil variation if there is a variation in soils over the tenement area; and</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natural geohazards in the tenement area.</w:t>
      </w:r>
    </w:p>
    <w:p w:rsidR="00E26C8E" w:rsidRPr="00E26C8E" w:rsidRDefault="00E26C8E" w:rsidP="00E26C8E">
      <w:pPr>
        <w:ind w:left="2127" w:hanging="709"/>
        <w:rPr>
          <w:rFonts w:eastAsia="Times New Roman"/>
          <w:i/>
          <w:szCs w:val="17"/>
        </w:rPr>
      </w:pPr>
      <w:r w:rsidRPr="00E26C8E">
        <w:rPr>
          <w:rFonts w:eastAsia="Times New Roman"/>
          <w:i/>
          <w:szCs w:val="17"/>
        </w:rPr>
        <w:t>7.1.1.3</w:t>
      </w:r>
      <w:r w:rsidRPr="00E26C8E">
        <w:rPr>
          <w:rFonts w:eastAsia="Times New Roman"/>
          <w:i/>
          <w:szCs w:val="17"/>
        </w:rPr>
        <w:tab/>
        <w:t>Aquifer potentiometric surface map(s) showing:</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tenement area boundaries</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potentiometric surface contours/groundwater elevation contours and the time (or time period) the contours relate to</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interpreted direction(s) of groundwater flow; and</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location of representative bores (where measurements were obtained of which the contours are based on) used to establish this information.</w:t>
      </w:r>
    </w:p>
    <w:p w:rsidR="00E26C8E" w:rsidRPr="00E26C8E" w:rsidRDefault="00E26C8E" w:rsidP="00E26C8E">
      <w:pPr>
        <w:ind w:left="2127" w:hanging="709"/>
        <w:rPr>
          <w:rFonts w:eastAsia="Times New Roman"/>
          <w:i/>
          <w:szCs w:val="17"/>
        </w:rPr>
      </w:pPr>
      <w:r w:rsidRPr="00E26C8E">
        <w:rPr>
          <w:rFonts w:eastAsia="Times New Roman"/>
          <w:i/>
          <w:szCs w:val="17"/>
        </w:rPr>
        <w:t>7.1.1.4</w:t>
      </w:r>
      <w:r w:rsidRPr="00E26C8E">
        <w:rPr>
          <w:rFonts w:eastAsia="Times New Roman"/>
          <w:i/>
          <w:szCs w:val="17"/>
        </w:rPr>
        <w:tab/>
        <w:t>Land access map showing:</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tenement area boundaries</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cadastral information for the Tenement (including land title(s) and ownership)</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any exempt land</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location of residences within and near the tenement area; and</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human infrastructure as per 1.13.</w:t>
      </w:r>
    </w:p>
    <w:p w:rsidR="00E26C8E" w:rsidRPr="00E26C8E" w:rsidRDefault="00E26C8E" w:rsidP="00E26C8E">
      <w:pPr>
        <w:ind w:left="2127" w:hanging="709"/>
        <w:rPr>
          <w:rFonts w:eastAsia="Times New Roman"/>
          <w:i/>
          <w:szCs w:val="17"/>
        </w:rPr>
      </w:pPr>
      <w:r w:rsidRPr="00E26C8E">
        <w:rPr>
          <w:rFonts w:eastAsia="Times New Roman"/>
          <w:i/>
          <w:szCs w:val="17"/>
        </w:rPr>
        <w:t>7.1.1.5</w:t>
      </w:r>
      <w:r w:rsidRPr="00E26C8E">
        <w:rPr>
          <w:rFonts w:eastAsia="Times New Roman"/>
          <w:i/>
          <w:szCs w:val="17"/>
        </w:rPr>
        <w:tab/>
        <w:t>Caves map showing:</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tenement area boundaries; and</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location of the cave(s).</w:t>
      </w:r>
    </w:p>
    <w:p w:rsidR="00E26C8E" w:rsidRPr="00E26C8E" w:rsidRDefault="00E26C8E" w:rsidP="00E26C8E">
      <w:pPr>
        <w:ind w:left="1418" w:hanging="567"/>
        <w:rPr>
          <w:rFonts w:eastAsia="Times New Roman"/>
          <w:i/>
          <w:szCs w:val="17"/>
        </w:rPr>
      </w:pPr>
      <w:r w:rsidRPr="00E26C8E">
        <w:rPr>
          <w:rFonts w:eastAsia="Times New Roman"/>
          <w:i/>
          <w:szCs w:val="17"/>
        </w:rPr>
        <w:t>7.1.2</w:t>
      </w:r>
      <w:r w:rsidRPr="00E26C8E">
        <w:rPr>
          <w:rFonts w:eastAsia="Times New Roman"/>
          <w:i/>
          <w:szCs w:val="17"/>
        </w:rPr>
        <w:tab/>
        <w:t>Map(s) and plan(s) required for description of operations (as per clause 2)</w:t>
      </w:r>
    </w:p>
    <w:p w:rsidR="00E26C8E" w:rsidRPr="00E26C8E" w:rsidRDefault="00E26C8E" w:rsidP="00E26C8E">
      <w:pPr>
        <w:ind w:left="2127" w:hanging="709"/>
        <w:rPr>
          <w:rFonts w:eastAsia="Times New Roman"/>
          <w:i/>
          <w:szCs w:val="17"/>
        </w:rPr>
      </w:pPr>
      <w:r w:rsidRPr="00E26C8E">
        <w:rPr>
          <w:rFonts w:eastAsia="Times New Roman"/>
          <w:i/>
          <w:szCs w:val="17"/>
        </w:rPr>
        <w:t>7.1.2.1</w:t>
      </w:r>
      <w:r w:rsidRPr="00E26C8E">
        <w:rPr>
          <w:rFonts w:eastAsia="Times New Roman"/>
          <w:i/>
          <w:szCs w:val="17"/>
        </w:rPr>
        <w:tab/>
        <w:t>Site layout map showing all components of the operation including (but not limited to):</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tenement area boundaries</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location of surface water and sediment management infrastructure</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location of process water dams</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location of fuel and chemical storage areas</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location of haul/access roads</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location of fixed plant</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location of mobile plant for stage 1 of mining</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location of visual screening measures</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location of fencing</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location and extent of topsoil/subsoil and product stockpiles</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location and extent of all areas proposed to be disturbed from mining including waste rock, silt/slime dams, mine infrastructure, processing plant, process water ponds, waste disposal facilities</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location and extent of open pit(s) and/or underground workings; and</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location of key environmental features that are within or in close proximity to the tenement and that are relevant to the design of the site layout plan, including but not limited to housing and infrastructure, existing heritage sites, existing ephemeral and permanent rivers, watercourses, creeks or dams and/or existing native vegetation.</w:t>
      </w:r>
    </w:p>
    <w:p w:rsidR="00E26C8E" w:rsidRPr="00E26C8E" w:rsidRDefault="00E26C8E" w:rsidP="00E26C8E">
      <w:pPr>
        <w:ind w:left="2127" w:hanging="709"/>
        <w:rPr>
          <w:rFonts w:eastAsia="Times New Roman"/>
          <w:i/>
          <w:szCs w:val="17"/>
        </w:rPr>
      </w:pPr>
      <w:r w:rsidRPr="00E26C8E">
        <w:rPr>
          <w:rFonts w:eastAsia="Times New Roman"/>
          <w:i/>
          <w:szCs w:val="17"/>
        </w:rPr>
        <w:t>7.1.2.2</w:t>
      </w:r>
      <w:r w:rsidRPr="00E26C8E">
        <w:rPr>
          <w:rFonts w:eastAsia="Times New Roman"/>
          <w:i/>
          <w:szCs w:val="17"/>
        </w:rPr>
        <w:tab/>
        <w:t>Sequence of mining and progressive rehabilitation map showing:</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tenement area boundaries</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staging of each progressive mining stage</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native vegetation clearance</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location and applicable buffer zones for protection of native vegetation that will not be cleared; and</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conceptual staging of each progressive rehabilitation stage.</w:t>
      </w:r>
    </w:p>
    <w:p w:rsidR="00E26C8E" w:rsidRPr="00E26C8E" w:rsidRDefault="00E26C8E" w:rsidP="00E26C8E">
      <w:pPr>
        <w:ind w:left="2127" w:hanging="709"/>
        <w:rPr>
          <w:rFonts w:eastAsia="Times New Roman"/>
          <w:i/>
          <w:szCs w:val="17"/>
        </w:rPr>
      </w:pPr>
      <w:r w:rsidRPr="00E26C8E">
        <w:rPr>
          <w:rFonts w:eastAsia="Times New Roman"/>
          <w:i/>
          <w:szCs w:val="17"/>
        </w:rPr>
        <w:t>7.1.2.3</w:t>
      </w:r>
      <w:r w:rsidRPr="00E26C8E">
        <w:rPr>
          <w:rFonts w:eastAsia="Times New Roman"/>
          <w:i/>
          <w:szCs w:val="17"/>
        </w:rPr>
        <w:tab/>
        <w:t>Crushing, grinding and processing plant plan showing:</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tenement area boundaries</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layout of crushing, grinding and processing plant(s) and ancillary plant and infrastructure; and</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if required, including lining and drainage systems.</w:t>
      </w:r>
    </w:p>
    <w:p w:rsidR="00E26C8E" w:rsidRPr="00E26C8E" w:rsidRDefault="00E26C8E" w:rsidP="00E26C8E">
      <w:pPr>
        <w:ind w:left="2127" w:hanging="709"/>
        <w:rPr>
          <w:rFonts w:eastAsia="Times New Roman"/>
          <w:i/>
          <w:szCs w:val="17"/>
        </w:rPr>
      </w:pPr>
      <w:r w:rsidRPr="00E26C8E">
        <w:rPr>
          <w:rFonts w:eastAsia="Times New Roman"/>
          <w:i/>
          <w:szCs w:val="17"/>
        </w:rPr>
        <w:t>7.1.2.4</w:t>
      </w:r>
      <w:r w:rsidRPr="00E26C8E">
        <w:rPr>
          <w:rFonts w:eastAsia="Times New Roman"/>
          <w:i/>
          <w:szCs w:val="17"/>
        </w:rPr>
        <w:tab/>
        <w:t>Heap leach pad plan showing:</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tenement area boundaries</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construction and design drawings of heap leach pad (including size and batters); and</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solution containment measures</w:t>
      </w:r>
    </w:p>
    <w:p w:rsidR="00E26C8E" w:rsidRPr="00E26C8E" w:rsidRDefault="00E26C8E" w:rsidP="00E26C8E">
      <w:pPr>
        <w:ind w:left="2127" w:hanging="709"/>
        <w:rPr>
          <w:rFonts w:eastAsia="Times New Roman"/>
          <w:i/>
          <w:szCs w:val="17"/>
        </w:rPr>
      </w:pPr>
      <w:r w:rsidRPr="00E26C8E">
        <w:rPr>
          <w:rFonts w:eastAsia="Times New Roman"/>
          <w:i/>
          <w:szCs w:val="17"/>
        </w:rPr>
        <w:t>7.1.2.5</w:t>
      </w:r>
      <w:r w:rsidRPr="00E26C8E">
        <w:rPr>
          <w:rFonts w:eastAsia="Times New Roman"/>
          <w:i/>
          <w:szCs w:val="17"/>
        </w:rPr>
        <w:tab/>
        <w:t>Tailings storage facility (TSF) plan showing:</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tenement area boundaries</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conceptual drawings and plans for design, construction, operation and completion of all facilities</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size, shape, height and method of construction; and</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location of any waste material deemed to be hazardous including potentially acid forming material.</w:t>
      </w:r>
    </w:p>
    <w:p w:rsidR="00E26C8E" w:rsidRPr="00E26C8E" w:rsidRDefault="00E26C8E" w:rsidP="00E26C8E">
      <w:pPr>
        <w:ind w:left="2127" w:hanging="709"/>
        <w:rPr>
          <w:rFonts w:eastAsia="Times New Roman"/>
          <w:i/>
          <w:szCs w:val="17"/>
        </w:rPr>
      </w:pPr>
      <w:r w:rsidRPr="00E26C8E">
        <w:rPr>
          <w:rFonts w:eastAsia="Times New Roman"/>
          <w:i/>
          <w:szCs w:val="17"/>
        </w:rPr>
        <w:t>7.1.2.6</w:t>
      </w:r>
      <w:r w:rsidRPr="00E26C8E">
        <w:rPr>
          <w:rFonts w:eastAsia="Times New Roman"/>
          <w:i/>
          <w:szCs w:val="17"/>
        </w:rPr>
        <w:tab/>
        <w:t>Access route map showing:</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tenement area boundaries</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access route for heavy vehicles</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exit route for heavy vehicles; and</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any road upgrades or new roads to be constructed.</w:t>
      </w:r>
    </w:p>
    <w:p w:rsidR="00E26C8E" w:rsidRPr="00E26C8E" w:rsidRDefault="00E26C8E" w:rsidP="00E26C8E">
      <w:pPr>
        <w:ind w:left="2127" w:hanging="709"/>
        <w:rPr>
          <w:rFonts w:eastAsia="Times New Roman"/>
          <w:i/>
          <w:szCs w:val="17"/>
        </w:rPr>
      </w:pPr>
      <w:r w:rsidRPr="00E26C8E">
        <w:rPr>
          <w:rFonts w:eastAsia="Times New Roman"/>
          <w:i/>
          <w:szCs w:val="17"/>
        </w:rPr>
        <w:t>7.1.2.7</w:t>
      </w:r>
      <w:r w:rsidRPr="00E26C8E">
        <w:rPr>
          <w:rFonts w:eastAsia="Times New Roman"/>
          <w:i/>
          <w:szCs w:val="17"/>
        </w:rPr>
        <w:tab/>
        <w:t>Completion map showing:</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tenement area boundaries</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conceptual final landforms (including rehabilitated and non-disturbed areas)</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topographical contours of the entire site (including rehabilitated and non-disturbed areas)</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backfilled and remaining underground workings</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location of waste disposal areas (including waste rock dumps, tailings storage facilities and PAF encapsulation); and</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interpreted geology including all rock types.</w:t>
      </w:r>
    </w:p>
    <w:p w:rsidR="00E26C8E" w:rsidRPr="00E26C8E" w:rsidRDefault="00E26C8E" w:rsidP="00E26C8E">
      <w:pPr>
        <w:spacing w:after="0" w:line="240" w:lineRule="auto"/>
        <w:jc w:val="left"/>
        <w:rPr>
          <w:rFonts w:eastAsia="Times New Roman"/>
          <w:i/>
          <w:szCs w:val="17"/>
        </w:rPr>
      </w:pPr>
      <w:r w:rsidRPr="00E26C8E">
        <w:rPr>
          <w:rFonts w:eastAsia="Times New Roman"/>
          <w:i/>
          <w:szCs w:val="17"/>
        </w:rPr>
        <w:br w:type="page"/>
      </w:r>
    </w:p>
    <w:p w:rsidR="00E26C8E" w:rsidRPr="00E26C8E" w:rsidRDefault="00E26C8E" w:rsidP="00E26C8E">
      <w:pPr>
        <w:ind w:left="1418" w:hanging="567"/>
        <w:rPr>
          <w:rFonts w:eastAsia="Times New Roman"/>
          <w:i/>
          <w:szCs w:val="17"/>
        </w:rPr>
      </w:pPr>
      <w:r w:rsidRPr="00E26C8E">
        <w:rPr>
          <w:rFonts w:eastAsia="Times New Roman"/>
          <w:i/>
          <w:szCs w:val="17"/>
        </w:rPr>
        <w:t>7.2.1</w:t>
      </w:r>
      <w:r w:rsidRPr="00E26C8E">
        <w:rPr>
          <w:rFonts w:eastAsia="Times New Roman"/>
          <w:i/>
          <w:szCs w:val="17"/>
        </w:rPr>
        <w:tab/>
        <w:t>Cross-sections required for description of the existing environment (as per clause 1)</w:t>
      </w:r>
    </w:p>
    <w:p w:rsidR="00E26C8E" w:rsidRPr="00E26C8E" w:rsidRDefault="00E26C8E" w:rsidP="00E26C8E">
      <w:pPr>
        <w:ind w:left="2127" w:hanging="709"/>
        <w:rPr>
          <w:rFonts w:eastAsia="Times New Roman"/>
          <w:i/>
          <w:szCs w:val="17"/>
        </w:rPr>
      </w:pPr>
      <w:r w:rsidRPr="00E26C8E">
        <w:rPr>
          <w:rFonts w:eastAsia="Times New Roman"/>
          <w:i/>
          <w:szCs w:val="17"/>
        </w:rPr>
        <w:t>7.2.1.1</w:t>
      </w:r>
      <w:r w:rsidRPr="00E26C8E">
        <w:rPr>
          <w:rFonts w:eastAsia="Times New Roman"/>
          <w:i/>
          <w:szCs w:val="17"/>
        </w:rPr>
        <w:tab/>
        <w:t>Long section and geological cross-section(s) showing:</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a representation of the geological profile within the tenement area; and</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depth of the resource and any overlying overburden.</w:t>
      </w:r>
    </w:p>
    <w:p w:rsidR="00E26C8E" w:rsidRPr="00E26C8E" w:rsidRDefault="00E26C8E" w:rsidP="00E26C8E">
      <w:pPr>
        <w:ind w:left="2127" w:hanging="709"/>
        <w:rPr>
          <w:rFonts w:eastAsia="Times New Roman"/>
          <w:i/>
          <w:szCs w:val="17"/>
        </w:rPr>
      </w:pPr>
      <w:r w:rsidRPr="00E26C8E">
        <w:rPr>
          <w:rFonts w:eastAsia="Times New Roman"/>
          <w:i/>
          <w:szCs w:val="17"/>
        </w:rPr>
        <w:t>7.2.1.2</w:t>
      </w:r>
      <w:r w:rsidRPr="00E26C8E">
        <w:rPr>
          <w:rFonts w:eastAsia="Times New Roman"/>
          <w:i/>
          <w:szCs w:val="17"/>
        </w:rPr>
        <w:tab/>
        <w:t>Hydrogeological cross-section(s):</w:t>
      </w:r>
    </w:p>
    <w:p w:rsidR="00E26C8E" w:rsidRPr="00E26C8E" w:rsidRDefault="00E26C8E" w:rsidP="00E26C8E">
      <w:pPr>
        <w:ind w:left="2127"/>
        <w:rPr>
          <w:rFonts w:eastAsia="Times New Roman"/>
          <w:szCs w:val="17"/>
        </w:rPr>
      </w:pPr>
      <w:r w:rsidRPr="00E26C8E">
        <w:rPr>
          <w:rFonts w:eastAsia="Times New Roman"/>
          <w:szCs w:val="17"/>
        </w:rPr>
        <w:t>Include a series of hydrogeological cross-sections that represent the following at a regional scale and/or tenement application scale, as specified:</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mineral claim boundaries</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major geological units (regional scale)</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geological units showing aquifer and confining units (tenement scale)</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aquifer systems (regional and tenement scale) including any palaeochannels</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interpreted hydrostratigraphy showing the known and inferred groundwater heads/groundwater elevations, interpreted groundwater flow direction, recharge and discharge mechanisms (if applicable)</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location of GDEs</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interpreted faults (regional and tenement scale)</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mineralised zone (tenement scale)</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location of representative drill log sites from which geological information was obtained (regional and tenement scale); and</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location of representative monitoring bores from which baseline groundwater information was obtained.</w:t>
      </w:r>
    </w:p>
    <w:p w:rsidR="00E26C8E" w:rsidRPr="00E26C8E" w:rsidRDefault="00E26C8E" w:rsidP="00E26C8E">
      <w:pPr>
        <w:ind w:left="1418" w:hanging="567"/>
        <w:rPr>
          <w:rFonts w:eastAsia="Times New Roman"/>
          <w:i/>
          <w:szCs w:val="17"/>
        </w:rPr>
      </w:pPr>
      <w:r w:rsidRPr="00E26C8E">
        <w:rPr>
          <w:rFonts w:eastAsia="Times New Roman"/>
          <w:i/>
          <w:szCs w:val="17"/>
        </w:rPr>
        <w:t>7.2.2</w:t>
      </w:r>
      <w:r w:rsidRPr="00E26C8E">
        <w:rPr>
          <w:rFonts w:eastAsia="Times New Roman"/>
          <w:i/>
          <w:szCs w:val="17"/>
        </w:rPr>
        <w:tab/>
        <w:t>Cross-sections required for description of operations (as per clause 2)</w:t>
      </w:r>
    </w:p>
    <w:p w:rsidR="00E26C8E" w:rsidRPr="00E26C8E" w:rsidRDefault="00E26C8E" w:rsidP="00E26C8E">
      <w:pPr>
        <w:ind w:left="2127" w:hanging="709"/>
        <w:rPr>
          <w:rFonts w:eastAsia="Times New Roman"/>
          <w:i/>
          <w:szCs w:val="17"/>
        </w:rPr>
      </w:pPr>
      <w:r w:rsidRPr="00E26C8E">
        <w:rPr>
          <w:rFonts w:eastAsia="Times New Roman"/>
          <w:i/>
          <w:szCs w:val="17"/>
        </w:rPr>
        <w:t>7.2.2.1</w:t>
      </w:r>
      <w:r w:rsidRPr="00E26C8E">
        <w:rPr>
          <w:rFonts w:eastAsia="Times New Roman"/>
          <w:i/>
          <w:szCs w:val="17"/>
        </w:rPr>
        <w:tab/>
        <w:t>Mining operation cross-section(s) showing:</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pre-mining natural surface</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pit depth</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pit dimensions (length and width)</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pit batters and benches</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location of underground shafts and stopes; and</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stages of operation.</w:t>
      </w:r>
    </w:p>
    <w:p w:rsidR="00E26C8E" w:rsidRPr="00E26C8E" w:rsidRDefault="00E26C8E" w:rsidP="00E26C8E">
      <w:pPr>
        <w:ind w:left="2127" w:hanging="709"/>
        <w:rPr>
          <w:rFonts w:eastAsia="Times New Roman"/>
          <w:i/>
          <w:szCs w:val="17"/>
        </w:rPr>
      </w:pPr>
      <w:r w:rsidRPr="00E26C8E">
        <w:rPr>
          <w:rFonts w:eastAsia="Times New Roman"/>
          <w:i/>
          <w:szCs w:val="17"/>
        </w:rPr>
        <w:t>7.2.2.2</w:t>
      </w:r>
      <w:r w:rsidRPr="00E26C8E">
        <w:rPr>
          <w:rFonts w:eastAsia="Times New Roman"/>
          <w:i/>
          <w:szCs w:val="17"/>
        </w:rPr>
        <w:tab/>
        <w:t>Completion cross-section(s) showing:</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pre-mining natural surface</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rehabilitated final batters and benches</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location of underground backfill in shafts and stopes</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predicted final groundwater elevations; and</w:t>
      </w:r>
    </w:p>
    <w:p w:rsidR="00E26C8E" w:rsidRPr="00E26C8E" w:rsidRDefault="00E26C8E" w:rsidP="00E26C8E">
      <w:pPr>
        <w:ind w:left="2410" w:hanging="283"/>
        <w:rPr>
          <w:rFonts w:eastAsia="Times New Roman"/>
          <w:szCs w:val="17"/>
        </w:rPr>
      </w:pPr>
      <w:r w:rsidRPr="00E26C8E">
        <w:rPr>
          <w:rFonts w:eastAsia="Times New Roman"/>
          <w:szCs w:val="17"/>
        </w:rPr>
        <w:t>•</w:t>
      </w:r>
      <w:r w:rsidRPr="00E26C8E">
        <w:rPr>
          <w:rFonts w:eastAsia="Times New Roman"/>
          <w:szCs w:val="17"/>
        </w:rPr>
        <w:tab/>
        <w:t>final rehabilitated surface.</w:t>
      </w:r>
    </w:p>
    <w:p w:rsidR="00E26C8E" w:rsidRPr="00E26C8E" w:rsidRDefault="00E26C8E" w:rsidP="00E26C8E">
      <w:pPr>
        <w:spacing w:after="0"/>
        <w:rPr>
          <w:rFonts w:eastAsia="Times New Roman"/>
          <w:szCs w:val="17"/>
        </w:rPr>
      </w:pPr>
      <w:r w:rsidRPr="00E26C8E">
        <w:rPr>
          <w:rFonts w:eastAsia="Times New Roman"/>
          <w:szCs w:val="17"/>
        </w:rPr>
        <w:t>Dated: 11 December 2020</w:t>
      </w:r>
    </w:p>
    <w:p w:rsidR="00E26C8E" w:rsidRPr="00E26C8E" w:rsidRDefault="00E26C8E" w:rsidP="00E26C8E">
      <w:pPr>
        <w:spacing w:after="0"/>
        <w:jc w:val="right"/>
        <w:rPr>
          <w:rFonts w:eastAsia="Times New Roman"/>
          <w:smallCaps/>
          <w:szCs w:val="20"/>
        </w:rPr>
      </w:pPr>
      <w:r w:rsidRPr="00E26C8E">
        <w:rPr>
          <w:rFonts w:eastAsia="Times New Roman"/>
          <w:smallCaps/>
          <w:szCs w:val="20"/>
        </w:rPr>
        <w:t>Hon. Daniel van Holst Pellekaan</w:t>
      </w:r>
    </w:p>
    <w:p w:rsidR="00E26C8E" w:rsidRPr="00E26C8E" w:rsidRDefault="00E26C8E" w:rsidP="00E26C8E">
      <w:pPr>
        <w:spacing w:after="0"/>
        <w:jc w:val="right"/>
        <w:rPr>
          <w:rFonts w:eastAsia="Times New Roman"/>
          <w:szCs w:val="17"/>
        </w:rPr>
      </w:pPr>
      <w:r w:rsidRPr="00E26C8E">
        <w:rPr>
          <w:rFonts w:eastAsia="Times New Roman"/>
          <w:szCs w:val="17"/>
        </w:rPr>
        <w:t>Minister for Energy and Mining</w:t>
      </w:r>
    </w:p>
    <w:p w:rsidR="00E26C8E" w:rsidRPr="00E26C8E" w:rsidRDefault="00E26C8E" w:rsidP="00E26C8E">
      <w:pPr>
        <w:pBdr>
          <w:top w:val="single" w:sz="4" w:space="1" w:color="auto"/>
        </w:pBdr>
        <w:spacing w:before="100" w:after="0" w:line="14" w:lineRule="exact"/>
        <w:jc w:val="center"/>
        <w:rPr>
          <w:rFonts w:eastAsia="Times New Roman"/>
          <w:szCs w:val="17"/>
        </w:rPr>
      </w:pPr>
    </w:p>
    <w:p w:rsidR="00E26C8E" w:rsidRPr="00E26C8E" w:rsidRDefault="00E26C8E" w:rsidP="00E26C8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E26C8E" w:rsidRPr="00E26C8E" w:rsidRDefault="00E26C8E" w:rsidP="00E26C8E">
      <w:pPr>
        <w:spacing w:after="60"/>
        <w:jc w:val="center"/>
        <w:rPr>
          <w:caps/>
          <w:szCs w:val="17"/>
        </w:rPr>
      </w:pPr>
      <w:r w:rsidRPr="00E26C8E">
        <w:rPr>
          <w:caps/>
          <w:szCs w:val="17"/>
        </w:rPr>
        <w:t>Mining Act 1971</w:t>
      </w:r>
    </w:p>
    <w:p w:rsidR="00E26C8E" w:rsidRPr="00E26C8E" w:rsidRDefault="00E26C8E" w:rsidP="00E26C8E">
      <w:pPr>
        <w:spacing w:after="60"/>
        <w:jc w:val="center"/>
        <w:rPr>
          <w:smallCaps/>
          <w:szCs w:val="17"/>
        </w:rPr>
      </w:pPr>
      <w:r w:rsidRPr="00E26C8E">
        <w:rPr>
          <w:smallCaps/>
          <w:szCs w:val="17"/>
        </w:rPr>
        <w:t>Part 10A</w:t>
      </w:r>
    </w:p>
    <w:p w:rsidR="00E26C8E" w:rsidRPr="00E26C8E" w:rsidRDefault="00E26C8E" w:rsidP="00E26C8E">
      <w:pPr>
        <w:spacing w:after="60"/>
        <w:jc w:val="center"/>
        <w:rPr>
          <w:i/>
          <w:szCs w:val="17"/>
        </w:rPr>
      </w:pPr>
      <w:r w:rsidRPr="00E26C8E">
        <w:rPr>
          <w:i/>
          <w:szCs w:val="17"/>
        </w:rPr>
        <w:t>Terms of Reference for Uranium ISR Projects</w:t>
      </w:r>
    </w:p>
    <w:p w:rsidR="00E26C8E" w:rsidRPr="00E26C8E" w:rsidRDefault="00E26C8E" w:rsidP="00E26C8E">
      <w:pPr>
        <w:spacing w:after="60"/>
        <w:rPr>
          <w:rFonts w:eastAsia="Times New Roman"/>
          <w:szCs w:val="17"/>
        </w:rPr>
      </w:pPr>
      <w:r w:rsidRPr="00E26C8E">
        <w:rPr>
          <w:rFonts w:eastAsia="Times New Roman"/>
          <w:szCs w:val="17"/>
        </w:rPr>
        <w:t>A Program for Environment Protection and Rehabilitation (PEPR) under Part 10A of the</w:t>
      </w:r>
      <w:r w:rsidRPr="00E26C8E">
        <w:rPr>
          <w:rFonts w:eastAsia="Times New Roman"/>
          <w:i/>
          <w:szCs w:val="17"/>
        </w:rPr>
        <w:t xml:space="preserve"> Mining Act 1971</w:t>
      </w:r>
      <w:r w:rsidRPr="00E26C8E">
        <w:rPr>
          <w:rFonts w:eastAsia="Times New Roman"/>
          <w:szCs w:val="17"/>
        </w:rPr>
        <w:t xml:space="preserve"> for the recovery of uranium using the In Situ Recovery (ISR) method must:</w:t>
      </w:r>
    </w:p>
    <w:p w:rsidR="00E26C8E" w:rsidRPr="00E26C8E" w:rsidRDefault="00E26C8E" w:rsidP="00E26C8E">
      <w:pPr>
        <w:spacing w:after="60"/>
        <w:ind w:left="426" w:hanging="284"/>
        <w:rPr>
          <w:rFonts w:eastAsia="Times New Roman"/>
          <w:szCs w:val="17"/>
        </w:rPr>
      </w:pPr>
      <w:r w:rsidRPr="00E26C8E">
        <w:rPr>
          <w:rFonts w:eastAsia="Times New Roman"/>
          <w:szCs w:val="17"/>
        </w:rPr>
        <w:t>•</w:t>
      </w:r>
      <w:r w:rsidRPr="00E26C8E">
        <w:rPr>
          <w:rFonts w:eastAsia="Times New Roman"/>
          <w:szCs w:val="17"/>
        </w:rPr>
        <w:tab/>
        <w:t>comply with sections 70B and 70C of the</w:t>
      </w:r>
      <w:r w:rsidRPr="00E26C8E">
        <w:rPr>
          <w:rFonts w:eastAsia="Times New Roman"/>
          <w:i/>
          <w:szCs w:val="17"/>
        </w:rPr>
        <w:t xml:space="preserve"> Mining Act 1971</w:t>
      </w:r>
      <w:r w:rsidRPr="00E26C8E">
        <w:rPr>
          <w:rFonts w:eastAsia="Times New Roman"/>
          <w:szCs w:val="17"/>
        </w:rPr>
        <w:t>, regulations 63, 64 and 66 of the</w:t>
      </w:r>
      <w:r w:rsidRPr="00E26C8E">
        <w:rPr>
          <w:rFonts w:eastAsia="Times New Roman"/>
          <w:i/>
          <w:szCs w:val="17"/>
        </w:rPr>
        <w:t xml:space="preserve"> Mining Regulations 2020</w:t>
      </w:r>
      <w:r w:rsidRPr="00E26C8E">
        <w:rPr>
          <w:rFonts w:eastAsia="Times New Roman"/>
          <w:szCs w:val="17"/>
        </w:rPr>
        <w:t xml:space="preserve"> and any determinations set out in this Terms of Reference; and</w:t>
      </w:r>
    </w:p>
    <w:p w:rsidR="00E26C8E" w:rsidRPr="00E26C8E" w:rsidRDefault="00E26C8E" w:rsidP="00E26C8E">
      <w:pPr>
        <w:spacing w:after="60"/>
        <w:ind w:left="426" w:hanging="284"/>
        <w:rPr>
          <w:rFonts w:eastAsia="Times New Roman"/>
          <w:szCs w:val="17"/>
        </w:rPr>
      </w:pPr>
      <w:r w:rsidRPr="00E26C8E">
        <w:rPr>
          <w:rFonts w:eastAsia="Times New Roman"/>
          <w:szCs w:val="17"/>
        </w:rPr>
        <w:t>•</w:t>
      </w:r>
      <w:r w:rsidRPr="00E26C8E">
        <w:rPr>
          <w:rFonts w:eastAsia="Times New Roman"/>
          <w:szCs w:val="17"/>
        </w:rPr>
        <w:tab/>
        <w:t>be accompanied by:</w:t>
      </w:r>
    </w:p>
    <w:p w:rsidR="00E26C8E" w:rsidRPr="00E26C8E" w:rsidRDefault="00E26C8E" w:rsidP="00E26C8E">
      <w:pPr>
        <w:spacing w:after="60"/>
        <w:ind w:left="426" w:hanging="284"/>
        <w:rPr>
          <w:rFonts w:eastAsia="Times New Roman"/>
          <w:szCs w:val="17"/>
        </w:rPr>
      </w:pPr>
      <w:r w:rsidRPr="00E26C8E">
        <w:rPr>
          <w:rFonts w:eastAsia="Times New Roman"/>
          <w:szCs w:val="17"/>
        </w:rPr>
        <w:t>•</w:t>
      </w:r>
      <w:r w:rsidRPr="00E26C8E">
        <w:rPr>
          <w:rFonts w:eastAsia="Times New Roman"/>
          <w:szCs w:val="17"/>
        </w:rPr>
        <w:tab/>
        <w:t>a declaration of accuracy that complies with regulation 84 of the</w:t>
      </w:r>
      <w:r w:rsidRPr="00E26C8E">
        <w:rPr>
          <w:rFonts w:eastAsia="Times New Roman"/>
          <w:i/>
          <w:szCs w:val="17"/>
        </w:rPr>
        <w:t xml:space="preserve"> Mining Regulations 2020</w:t>
      </w:r>
      <w:r w:rsidRPr="00E26C8E">
        <w:rPr>
          <w:rFonts w:eastAsia="Times New Roman"/>
          <w:szCs w:val="17"/>
        </w:rPr>
        <w:t>; and</w:t>
      </w:r>
    </w:p>
    <w:p w:rsidR="00E26C8E" w:rsidRPr="00E26C8E" w:rsidRDefault="00E26C8E" w:rsidP="00E26C8E">
      <w:pPr>
        <w:spacing w:after="60"/>
        <w:ind w:left="426" w:hanging="284"/>
        <w:rPr>
          <w:rFonts w:eastAsia="Times New Roman"/>
          <w:szCs w:val="17"/>
        </w:rPr>
      </w:pPr>
      <w:r w:rsidRPr="00E26C8E">
        <w:rPr>
          <w:rFonts w:eastAsia="Times New Roman"/>
          <w:szCs w:val="17"/>
        </w:rPr>
        <w:t>•</w:t>
      </w:r>
      <w:r w:rsidRPr="00E26C8E">
        <w:rPr>
          <w:rFonts w:eastAsia="Times New Roman"/>
          <w:szCs w:val="17"/>
        </w:rPr>
        <w:tab/>
        <w:t>the relevant application fee.</w:t>
      </w:r>
    </w:p>
    <w:p w:rsidR="00E26C8E" w:rsidRPr="00E26C8E" w:rsidRDefault="00E26C8E" w:rsidP="00E26C8E">
      <w:pPr>
        <w:spacing w:after="60"/>
        <w:rPr>
          <w:rFonts w:eastAsia="Times New Roman"/>
          <w:b/>
          <w:szCs w:val="17"/>
        </w:rPr>
      </w:pPr>
      <w:r w:rsidRPr="00E26C8E">
        <w:rPr>
          <w:rFonts w:eastAsia="Times New Roman"/>
          <w:b/>
          <w:szCs w:val="17"/>
        </w:rPr>
        <w:t>FORM OF THE PEPR</w:t>
      </w:r>
    </w:p>
    <w:p w:rsidR="00E26C8E" w:rsidRPr="00E26C8E" w:rsidRDefault="00E26C8E" w:rsidP="00E26C8E">
      <w:pPr>
        <w:spacing w:after="60"/>
        <w:ind w:left="142"/>
        <w:rPr>
          <w:rFonts w:eastAsia="Times New Roman"/>
          <w:szCs w:val="17"/>
        </w:rPr>
      </w:pPr>
      <w:r w:rsidRPr="00E26C8E">
        <w:rPr>
          <w:rFonts w:eastAsia="Times New Roman"/>
          <w:szCs w:val="17"/>
        </w:rPr>
        <w:t>A PEPR for a ML and/or MPL for uranium ISR projects must in accordance with section 70B(4a) of the</w:t>
      </w:r>
      <w:r w:rsidRPr="00E26C8E">
        <w:rPr>
          <w:rFonts w:eastAsia="Times New Roman"/>
          <w:i/>
          <w:szCs w:val="17"/>
        </w:rPr>
        <w:t xml:space="preserve"> Mining Act 1971</w:t>
      </w:r>
      <w:r w:rsidRPr="00E26C8E">
        <w:rPr>
          <w:rFonts w:eastAsia="Times New Roman"/>
          <w:szCs w:val="17"/>
        </w:rPr>
        <w:t xml:space="preserve"> be submitted to the Minister for approval in the following form, unless otherwise specified by the Director of Mines or an authorised officer:</w:t>
      </w:r>
    </w:p>
    <w:p w:rsidR="00E26C8E" w:rsidRPr="00E26C8E" w:rsidRDefault="00E26C8E" w:rsidP="00E26C8E">
      <w:pPr>
        <w:spacing w:after="60"/>
        <w:ind w:left="426" w:hanging="284"/>
        <w:rPr>
          <w:rFonts w:eastAsia="Times New Roman"/>
          <w:szCs w:val="17"/>
        </w:rPr>
      </w:pPr>
      <w:r w:rsidRPr="00E26C8E">
        <w:rPr>
          <w:rFonts w:eastAsia="Times New Roman"/>
          <w:szCs w:val="17"/>
        </w:rPr>
        <w:t>•</w:t>
      </w:r>
      <w:r w:rsidRPr="00E26C8E">
        <w:rPr>
          <w:rFonts w:eastAsia="Times New Roman"/>
          <w:szCs w:val="17"/>
        </w:rPr>
        <w:tab/>
        <w:t>an electronic version of the PEPR must be submitted online through the relevant government website in accordance with regulation 88 of the</w:t>
      </w:r>
      <w:r w:rsidRPr="00E26C8E">
        <w:rPr>
          <w:rFonts w:eastAsia="Times New Roman"/>
          <w:i/>
          <w:szCs w:val="17"/>
        </w:rPr>
        <w:t xml:space="preserve"> Mining Regulations 2020</w:t>
      </w:r>
      <w:r w:rsidRPr="00E26C8E">
        <w:rPr>
          <w:rFonts w:eastAsia="Times New Roman"/>
          <w:szCs w:val="17"/>
        </w:rPr>
        <w:t>, or if approved by the Director Mines or an authorised officer, submitted via email, post or courier and should be marked ‘Attention: Mining Assessments’;</w:t>
      </w:r>
    </w:p>
    <w:p w:rsidR="00E26C8E" w:rsidRPr="00E26C8E" w:rsidRDefault="00E26C8E" w:rsidP="00E26C8E">
      <w:pPr>
        <w:spacing w:after="60"/>
        <w:ind w:left="426" w:hanging="284"/>
        <w:rPr>
          <w:rFonts w:eastAsia="Times New Roman"/>
          <w:szCs w:val="17"/>
        </w:rPr>
      </w:pPr>
      <w:r w:rsidRPr="00E26C8E">
        <w:rPr>
          <w:rFonts w:eastAsia="Times New Roman"/>
          <w:szCs w:val="17"/>
        </w:rPr>
        <w:t>•</w:t>
      </w:r>
      <w:r w:rsidRPr="00E26C8E">
        <w:rPr>
          <w:rFonts w:eastAsia="Times New Roman"/>
          <w:szCs w:val="17"/>
        </w:rPr>
        <w:tab/>
        <w:t>each page, plan or other separate sheet must include the tenement number(s), date of the PEPR preparation and sequential page numbering;</w:t>
      </w:r>
    </w:p>
    <w:p w:rsidR="00E26C8E" w:rsidRPr="00E26C8E" w:rsidRDefault="00E26C8E" w:rsidP="00E26C8E">
      <w:pPr>
        <w:spacing w:after="60"/>
        <w:ind w:left="426" w:hanging="284"/>
        <w:rPr>
          <w:rFonts w:eastAsia="Times New Roman"/>
          <w:szCs w:val="17"/>
        </w:rPr>
      </w:pPr>
      <w:r w:rsidRPr="00E26C8E">
        <w:rPr>
          <w:rFonts w:eastAsia="Times New Roman"/>
          <w:szCs w:val="17"/>
        </w:rPr>
        <w:t>•</w:t>
      </w:r>
      <w:r w:rsidRPr="00E26C8E">
        <w:rPr>
          <w:rFonts w:eastAsia="Times New Roman"/>
          <w:szCs w:val="17"/>
        </w:rPr>
        <w:tab/>
        <w:t>the electronic version must be submitted in one single Acrobat PDF file or if requested by the Director of Mines or an authorised officer, Microsoft WORD compatible files must be submitted; and</w:t>
      </w:r>
    </w:p>
    <w:p w:rsidR="00E26C8E" w:rsidRPr="00E26C8E" w:rsidRDefault="00E26C8E" w:rsidP="00E26C8E">
      <w:pPr>
        <w:spacing w:after="60"/>
        <w:ind w:left="426" w:hanging="284"/>
        <w:rPr>
          <w:rFonts w:eastAsia="Times New Roman"/>
          <w:szCs w:val="17"/>
        </w:rPr>
      </w:pPr>
      <w:r w:rsidRPr="00E26C8E">
        <w:rPr>
          <w:rFonts w:eastAsia="Times New Roman"/>
          <w:szCs w:val="17"/>
        </w:rPr>
        <w:t>•</w:t>
      </w:r>
      <w:r w:rsidRPr="00E26C8E">
        <w:rPr>
          <w:rFonts w:eastAsia="Times New Roman"/>
          <w:szCs w:val="17"/>
        </w:rPr>
        <w:tab/>
        <w:t>all environmental water data relevant to the PEPR is to be provided in electronic tabulated or spreadsheet format.</w:t>
      </w:r>
    </w:p>
    <w:p w:rsidR="00E26C8E" w:rsidRPr="00E26C8E" w:rsidRDefault="00E26C8E" w:rsidP="00E26C8E">
      <w:pPr>
        <w:ind w:left="142"/>
        <w:rPr>
          <w:rFonts w:eastAsia="Times New Roman"/>
          <w:szCs w:val="17"/>
        </w:rPr>
      </w:pPr>
      <w:r w:rsidRPr="00E26C8E">
        <w:rPr>
          <w:rFonts w:eastAsia="Times New Roman"/>
          <w:szCs w:val="17"/>
        </w:rPr>
        <w:t>A reviewed PEPR being submitted to the Minister for approval under section 70C of the</w:t>
      </w:r>
      <w:r w:rsidRPr="00E26C8E">
        <w:rPr>
          <w:rFonts w:eastAsia="Times New Roman"/>
          <w:i/>
          <w:szCs w:val="17"/>
        </w:rPr>
        <w:t xml:space="preserve"> Mining Act 1971</w:t>
      </w:r>
      <w:r w:rsidRPr="00E26C8E">
        <w:rPr>
          <w:rFonts w:eastAsia="Times New Roman"/>
          <w:szCs w:val="17"/>
        </w:rPr>
        <w:t>, must in accordance with regulation 63(1)(e) of the</w:t>
      </w:r>
      <w:r w:rsidRPr="00E26C8E">
        <w:rPr>
          <w:rFonts w:eastAsia="Times New Roman"/>
          <w:i/>
          <w:szCs w:val="17"/>
        </w:rPr>
        <w:t xml:space="preserve"> Mining Regulations 2020</w:t>
      </w:r>
      <w:r w:rsidRPr="00E26C8E">
        <w:rPr>
          <w:rFonts w:eastAsia="Times New Roman"/>
          <w:szCs w:val="17"/>
        </w:rPr>
        <w:t xml:space="preserve"> include a description or summary of all content changes made to the submitted PEPR.</w:t>
      </w:r>
      <w:r w:rsidRPr="00E26C8E">
        <w:rPr>
          <w:rFonts w:eastAsia="Times New Roman"/>
          <w:b/>
          <w:szCs w:val="17"/>
        </w:rPr>
        <w:br w:type="page"/>
      </w:r>
    </w:p>
    <w:p w:rsidR="00E26C8E" w:rsidRPr="00E26C8E" w:rsidRDefault="00E26C8E" w:rsidP="00E26C8E">
      <w:pPr>
        <w:rPr>
          <w:rFonts w:eastAsia="Times New Roman"/>
          <w:b/>
          <w:szCs w:val="17"/>
        </w:rPr>
      </w:pPr>
      <w:r w:rsidRPr="00E26C8E">
        <w:rPr>
          <w:rFonts w:eastAsia="Times New Roman"/>
          <w:b/>
          <w:szCs w:val="17"/>
        </w:rPr>
        <w:t>PEPR</w:t>
      </w:r>
    </w:p>
    <w:p w:rsidR="00E26C8E" w:rsidRPr="00E26C8E" w:rsidRDefault="00E26C8E" w:rsidP="00E26C8E">
      <w:pPr>
        <w:ind w:left="142"/>
        <w:rPr>
          <w:rFonts w:eastAsia="Times New Roman"/>
          <w:szCs w:val="17"/>
        </w:rPr>
      </w:pPr>
      <w:r w:rsidRPr="00E26C8E">
        <w:rPr>
          <w:rFonts w:eastAsia="Times New Roman"/>
          <w:szCs w:val="17"/>
        </w:rPr>
        <w:t>A PEPR for an ML and/or MPL must comply with sections 70B and 70C of the</w:t>
      </w:r>
      <w:r w:rsidRPr="00E26C8E">
        <w:rPr>
          <w:rFonts w:eastAsia="Times New Roman"/>
          <w:i/>
          <w:szCs w:val="17"/>
        </w:rPr>
        <w:t xml:space="preserve"> Mining Act 1971</w:t>
      </w:r>
      <w:r w:rsidRPr="00E26C8E">
        <w:rPr>
          <w:rFonts w:eastAsia="Times New Roman"/>
          <w:szCs w:val="17"/>
        </w:rPr>
        <w:t xml:space="preserve"> and regulations 63, 64 and 66 of the</w:t>
      </w:r>
      <w:r w:rsidRPr="00E26C8E">
        <w:rPr>
          <w:rFonts w:eastAsia="Times New Roman"/>
          <w:i/>
          <w:szCs w:val="17"/>
        </w:rPr>
        <w:t xml:space="preserve"> Mining Regulations 2020</w:t>
      </w:r>
      <w:r w:rsidRPr="00E26C8E">
        <w:rPr>
          <w:rFonts w:eastAsia="Times New Roman"/>
          <w:szCs w:val="17"/>
        </w:rPr>
        <w:t>, and must comply with the following determinations of this Terms of Reference as set out below:</w:t>
      </w:r>
    </w:p>
    <w:p w:rsidR="00E26C8E" w:rsidRPr="00E26C8E" w:rsidRDefault="00E26C8E" w:rsidP="00E26C8E">
      <w:pPr>
        <w:ind w:left="426" w:hanging="284"/>
        <w:rPr>
          <w:rFonts w:eastAsia="Times New Roman"/>
          <w:b/>
          <w:szCs w:val="17"/>
        </w:rPr>
      </w:pPr>
      <w:r w:rsidRPr="00E26C8E">
        <w:rPr>
          <w:rFonts w:eastAsia="Times New Roman"/>
          <w:b/>
          <w:szCs w:val="17"/>
        </w:rPr>
        <w:t>1.</w:t>
      </w:r>
      <w:r w:rsidRPr="00E26C8E">
        <w:rPr>
          <w:rFonts w:eastAsia="Times New Roman"/>
          <w:b/>
          <w:szCs w:val="17"/>
        </w:rPr>
        <w:tab/>
        <w:t>DESCRIPTION OF THE ENVIRONMENT</w:t>
      </w:r>
    </w:p>
    <w:p w:rsidR="00E26C8E" w:rsidRPr="00E26C8E" w:rsidRDefault="00E26C8E" w:rsidP="00E26C8E">
      <w:pPr>
        <w:ind w:left="426"/>
        <w:rPr>
          <w:rFonts w:eastAsia="Times New Roman"/>
          <w:szCs w:val="17"/>
        </w:rPr>
      </w:pPr>
      <w:r w:rsidRPr="00E26C8E">
        <w:rPr>
          <w:rFonts w:eastAsia="Times New Roman"/>
          <w:szCs w:val="17"/>
        </w:rPr>
        <w:t>In setting out a statement of criteria in accordance with section 70B(2)(b) of the</w:t>
      </w:r>
      <w:r w:rsidRPr="00E26C8E">
        <w:rPr>
          <w:rFonts w:eastAsia="Times New Roman"/>
          <w:i/>
          <w:szCs w:val="17"/>
        </w:rPr>
        <w:t xml:space="preserve"> Mining Act 1971</w:t>
      </w:r>
      <w:r w:rsidRPr="00E26C8E">
        <w:rPr>
          <w:rFonts w:eastAsia="Times New Roman"/>
          <w:szCs w:val="17"/>
        </w:rPr>
        <w:t xml:space="preserve"> and setting out strategies and criteria in accordance with regulation 63(b) and (c) of the</w:t>
      </w:r>
      <w:r w:rsidRPr="00E26C8E">
        <w:rPr>
          <w:rFonts w:eastAsia="Times New Roman"/>
          <w:i/>
          <w:szCs w:val="17"/>
        </w:rPr>
        <w:t xml:space="preserve"> Mining Regulations 2020</w:t>
      </w:r>
      <w:r w:rsidRPr="00E26C8E">
        <w:rPr>
          <w:rFonts w:eastAsia="Times New Roman"/>
          <w:szCs w:val="17"/>
        </w:rPr>
        <w:t>, the Minister determines in accordance with regulation 63(1)(e) of the</w:t>
      </w:r>
      <w:r w:rsidRPr="00E26C8E">
        <w:rPr>
          <w:rFonts w:eastAsia="Times New Roman"/>
          <w:i/>
          <w:szCs w:val="17"/>
        </w:rPr>
        <w:t xml:space="preserve"> Mining Regulations 2020</w:t>
      </w:r>
      <w:r w:rsidRPr="00E26C8E">
        <w:rPr>
          <w:rFonts w:eastAsia="Times New Roman"/>
          <w:szCs w:val="17"/>
        </w:rPr>
        <w:t xml:space="preserve"> that a PEPR must include any new baseline environmental data relevant to the control strategies or criteria set out in Clause 5, since the previous description of the environment or criteria was provided (in a proposal, approved PEPR or change to operations proposal).</w:t>
      </w:r>
    </w:p>
    <w:p w:rsidR="00E26C8E" w:rsidRPr="00E26C8E" w:rsidRDefault="00E26C8E" w:rsidP="00E26C8E">
      <w:pPr>
        <w:ind w:left="426"/>
        <w:rPr>
          <w:rFonts w:eastAsia="Times New Roman"/>
          <w:szCs w:val="17"/>
        </w:rPr>
      </w:pPr>
      <w:r w:rsidRPr="00E26C8E">
        <w:rPr>
          <w:rFonts w:eastAsia="Times New Roman"/>
          <w:szCs w:val="17"/>
        </w:rPr>
        <w:t>Where changes to the environment are identified, a PEPR must provide an updated description of the environment to describe the changes.</w:t>
      </w:r>
    </w:p>
    <w:p w:rsidR="00E26C8E" w:rsidRPr="00E26C8E" w:rsidRDefault="00E26C8E" w:rsidP="00E26C8E">
      <w:pPr>
        <w:ind w:left="426" w:hanging="284"/>
        <w:rPr>
          <w:rFonts w:eastAsia="Times New Roman"/>
          <w:b/>
          <w:szCs w:val="17"/>
        </w:rPr>
      </w:pPr>
      <w:r w:rsidRPr="00E26C8E">
        <w:rPr>
          <w:rFonts w:eastAsia="Times New Roman"/>
          <w:b/>
          <w:szCs w:val="17"/>
        </w:rPr>
        <w:t>2.</w:t>
      </w:r>
      <w:r w:rsidRPr="00E26C8E">
        <w:rPr>
          <w:rFonts w:eastAsia="Times New Roman"/>
          <w:b/>
          <w:szCs w:val="17"/>
        </w:rPr>
        <w:tab/>
        <w:t>DESCRIPTION OF MINING OPERATIONS</w:t>
      </w:r>
    </w:p>
    <w:p w:rsidR="00E26C8E" w:rsidRPr="00E26C8E" w:rsidRDefault="00E26C8E" w:rsidP="00E26C8E">
      <w:pPr>
        <w:ind w:left="426"/>
        <w:rPr>
          <w:rFonts w:eastAsia="Times New Roman"/>
          <w:szCs w:val="17"/>
        </w:rPr>
      </w:pPr>
      <w:r w:rsidRPr="00E26C8E">
        <w:rPr>
          <w:rFonts w:eastAsia="Times New Roman"/>
          <w:szCs w:val="17"/>
        </w:rPr>
        <w:t>In specifying the authorised operations that are proposed in accordance with section 70B(2)(a) of the</w:t>
      </w:r>
      <w:r w:rsidRPr="00E26C8E">
        <w:rPr>
          <w:rFonts w:eastAsia="Times New Roman"/>
          <w:i/>
          <w:szCs w:val="17"/>
        </w:rPr>
        <w:t xml:space="preserve"> Mining Act 1971</w:t>
      </w:r>
      <w:r w:rsidRPr="00E26C8E">
        <w:rPr>
          <w:rFonts w:eastAsia="Times New Roman"/>
          <w:szCs w:val="17"/>
        </w:rPr>
        <w:t>, the Minister determines in accordance with regulation 63(3)(e) of the</w:t>
      </w:r>
      <w:r w:rsidRPr="00E26C8E">
        <w:rPr>
          <w:rFonts w:eastAsia="Times New Roman"/>
          <w:i/>
          <w:szCs w:val="17"/>
        </w:rPr>
        <w:t xml:space="preserve"> Mining Regulations 2020</w:t>
      </w:r>
      <w:r w:rsidRPr="00E26C8E">
        <w:rPr>
          <w:rFonts w:eastAsia="Times New Roman"/>
          <w:szCs w:val="17"/>
        </w:rPr>
        <w:t xml:space="preserve"> that a PEPR must include a description of the proposed operations as set out in this Terms of Reference. Each of the elements listed in Clause 2.1-2.13 must be described.</w:t>
      </w:r>
    </w:p>
    <w:p w:rsidR="00E26C8E" w:rsidRPr="00E26C8E" w:rsidRDefault="00E26C8E" w:rsidP="00E26C8E">
      <w:pPr>
        <w:ind w:left="851" w:hanging="425"/>
        <w:rPr>
          <w:rFonts w:eastAsia="Times New Roman"/>
          <w:b/>
          <w:szCs w:val="17"/>
        </w:rPr>
      </w:pPr>
      <w:r w:rsidRPr="00E26C8E">
        <w:rPr>
          <w:rFonts w:eastAsia="Times New Roman"/>
          <w:b/>
          <w:szCs w:val="17"/>
        </w:rPr>
        <w:t>2.1</w:t>
      </w:r>
      <w:r w:rsidRPr="00E26C8E">
        <w:rPr>
          <w:rFonts w:eastAsia="Times New Roman"/>
          <w:b/>
          <w:szCs w:val="17"/>
        </w:rPr>
        <w:tab/>
        <w:t>General description and maps/plans of operations</w:t>
      </w:r>
    </w:p>
    <w:p w:rsidR="00E26C8E" w:rsidRPr="00E26C8E" w:rsidRDefault="00E26C8E" w:rsidP="00E26C8E">
      <w:pPr>
        <w:ind w:left="426"/>
        <w:rPr>
          <w:rFonts w:eastAsia="Times New Roman"/>
          <w:szCs w:val="17"/>
        </w:rPr>
      </w:pPr>
      <w:r w:rsidRPr="00E26C8E">
        <w:rPr>
          <w:rFonts w:eastAsia="Times New Roman"/>
          <w:szCs w:val="17"/>
        </w:rPr>
        <w:t>Provide a summary description of all elements of the operation, including mining, processing, uranium product storage and waste management (include maps/plans and cross sections as per 7.1.1.1 and 7.2.1.1).</w:t>
      </w:r>
    </w:p>
    <w:p w:rsidR="00E26C8E" w:rsidRPr="00E26C8E" w:rsidRDefault="00E26C8E" w:rsidP="00E26C8E">
      <w:pPr>
        <w:ind w:left="851" w:hanging="425"/>
        <w:rPr>
          <w:rFonts w:eastAsia="Times New Roman"/>
          <w:b/>
          <w:szCs w:val="17"/>
        </w:rPr>
      </w:pPr>
      <w:r w:rsidRPr="00E26C8E">
        <w:rPr>
          <w:rFonts w:eastAsia="Times New Roman"/>
          <w:b/>
          <w:szCs w:val="17"/>
        </w:rPr>
        <w:t>2.2</w:t>
      </w:r>
      <w:r w:rsidRPr="00E26C8E">
        <w:rPr>
          <w:rFonts w:eastAsia="Times New Roman"/>
          <w:b/>
          <w:szCs w:val="17"/>
        </w:rPr>
        <w:tab/>
        <w:t>Reserves, Products and Market</w:t>
      </w:r>
    </w:p>
    <w:p w:rsidR="00E26C8E" w:rsidRPr="00E26C8E" w:rsidRDefault="00E26C8E" w:rsidP="00E26C8E">
      <w:pPr>
        <w:ind w:left="1418" w:hanging="567"/>
        <w:rPr>
          <w:rFonts w:eastAsia="Times New Roman"/>
          <w:i/>
          <w:szCs w:val="17"/>
        </w:rPr>
      </w:pPr>
      <w:r w:rsidRPr="00E26C8E">
        <w:rPr>
          <w:rFonts w:eastAsia="Times New Roman"/>
          <w:i/>
          <w:szCs w:val="17"/>
        </w:rPr>
        <w:t>2.2.1</w:t>
      </w:r>
      <w:r w:rsidRPr="00E26C8E">
        <w:rPr>
          <w:rFonts w:eastAsia="Times New Roman"/>
          <w:i/>
          <w:szCs w:val="17"/>
        </w:rPr>
        <w:tab/>
        <w:t>Ore reserves and mineral resources (or both)</w:t>
      </w:r>
    </w:p>
    <w:p w:rsidR="00E26C8E" w:rsidRPr="00E26C8E" w:rsidRDefault="00E26C8E" w:rsidP="00E26C8E">
      <w:pPr>
        <w:ind w:left="1418"/>
        <w:rPr>
          <w:rFonts w:eastAsia="Times New Roman"/>
          <w:szCs w:val="17"/>
        </w:rPr>
      </w:pPr>
      <w:r w:rsidRPr="00E26C8E">
        <w:rPr>
          <w:rFonts w:eastAsia="Times New Roman"/>
          <w:szCs w:val="17"/>
        </w:rPr>
        <w:t>Provide: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 statement of the current Australasian Joint Ore Reserves Committee (JORC) compliant ore reserve or mineral resource estimates (or both) in the tenement area and a brief description of the basis of this estimate;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 statement of what reserve and/or resource forms the basis for the application;</w:t>
      </w:r>
    </w:p>
    <w:p w:rsidR="00E26C8E" w:rsidRPr="00E26C8E" w:rsidRDefault="00E26C8E" w:rsidP="00E26C8E">
      <w:pPr>
        <w:ind w:left="1418"/>
        <w:rPr>
          <w:rFonts w:eastAsia="Times New Roman"/>
          <w:szCs w:val="17"/>
        </w:rPr>
      </w:pPr>
      <w:r w:rsidRPr="00E26C8E">
        <w:rPr>
          <w:rFonts w:eastAsia="Times New Roman"/>
          <w:szCs w:val="17"/>
        </w:rPr>
        <w:t>or (if a JORC compliant reserve or resource (or both) has not been reported);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 xml:space="preserve">an estimate of the resource to be mined and the basis of this estimate; </w:t>
      </w:r>
    </w:p>
    <w:p w:rsidR="00E26C8E" w:rsidRPr="00E26C8E" w:rsidRDefault="00E26C8E" w:rsidP="00E26C8E">
      <w:pPr>
        <w:ind w:left="1418"/>
        <w:rPr>
          <w:rFonts w:eastAsia="Times New Roman"/>
          <w:szCs w:val="17"/>
        </w:rPr>
      </w:pPr>
      <w:r w:rsidRPr="00E26C8E">
        <w:rPr>
          <w:rFonts w:eastAsia="Times New Roman"/>
          <w:szCs w:val="17"/>
        </w:rPr>
        <w:t>Provide steps that have been taken to ensure operations will not sterilise/prevent future extraction of mineral resources.</w:t>
      </w:r>
    </w:p>
    <w:p w:rsidR="00E26C8E" w:rsidRPr="00E26C8E" w:rsidRDefault="00E26C8E" w:rsidP="00E26C8E">
      <w:pPr>
        <w:ind w:left="1418" w:hanging="567"/>
        <w:rPr>
          <w:rFonts w:eastAsia="Times New Roman"/>
          <w:i/>
          <w:szCs w:val="17"/>
        </w:rPr>
      </w:pPr>
      <w:r w:rsidRPr="00E26C8E">
        <w:rPr>
          <w:rFonts w:eastAsia="Times New Roman"/>
          <w:i/>
          <w:szCs w:val="17"/>
        </w:rPr>
        <w:t>2.2.2</w:t>
      </w:r>
      <w:r w:rsidRPr="00E26C8E">
        <w:rPr>
          <w:rFonts w:eastAsia="Times New Roman"/>
          <w:i/>
          <w:szCs w:val="17"/>
        </w:rPr>
        <w:tab/>
        <w:t>Production rate and products</w:t>
      </w:r>
    </w:p>
    <w:p w:rsidR="00E26C8E" w:rsidRPr="00E26C8E" w:rsidRDefault="00E26C8E" w:rsidP="00E26C8E">
      <w:pPr>
        <w:ind w:left="1418"/>
        <w:rPr>
          <w:rFonts w:eastAsia="Times New Roman"/>
          <w:szCs w:val="17"/>
        </w:rPr>
      </w:pPr>
      <w:r w:rsidRPr="00E26C8E">
        <w:rPr>
          <w:rFonts w:eastAsia="Times New Roman"/>
          <w:szCs w:val="17"/>
        </w:rPr>
        <w:t>Provide: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type(s) of product to be exported from the application area;</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 xml:space="preserve">a statement of the expected product market or end use; </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 quantitative estimate of production of mine gate product(s) for the life of mine, and a schedule of the annual production of mine gate product(s);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 statement if any extractive minerals (as defined by Section 6 of the</w:t>
      </w:r>
      <w:r w:rsidRPr="00E26C8E">
        <w:rPr>
          <w:rFonts w:eastAsia="Times New Roman"/>
          <w:i/>
          <w:szCs w:val="17"/>
        </w:rPr>
        <w:t xml:space="preserve"> Mining Act 1971</w:t>
      </w:r>
      <w:r w:rsidRPr="00E26C8E">
        <w:rPr>
          <w:rFonts w:eastAsia="Times New Roman"/>
          <w:szCs w:val="17"/>
        </w:rPr>
        <w:t>) will leave the lease.</w:t>
      </w:r>
    </w:p>
    <w:p w:rsidR="00E26C8E" w:rsidRPr="00E26C8E" w:rsidRDefault="00E26C8E" w:rsidP="00E26C8E">
      <w:pPr>
        <w:ind w:left="851" w:hanging="425"/>
        <w:rPr>
          <w:rFonts w:eastAsia="Times New Roman"/>
          <w:b/>
          <w:szCs w:val="17"/>
        </w:rPr>
      </w:pPr>
      <w:r w:rsidRPr="00E26C8E">
        <w:rPr>
          <w:rFonts w:eastAsia="Times New Roman"/>
          <w:b/>
          <w:szCs w:val="17"/>
        </w:rPr>
        <w:t>2.3</w:t>
      </w:r>
      <w:r w:rsidRPr="00E26C8E">
        <w:rPr>
          <w:rFonts w:eastAsia="Times New Roman"/>
          <w:b/>
          <w:szCs w:val="17"/>
        </w:rPr>
        <w:tab/>
        <w:t>Exploration Activities</w:t>
      </w:r>
    </w:p>
    <w:p w:rsidR="00E26C8E" w:rsidRPr="00E26C8E" w:rsidRDefault="00E26C8E" w:rsidP="00E26C8E">
      <w:pPr>
        <w:ind w:left="851"/>
        <w:rPr>
          <w:rFonts w:eastAsia="Times New Roman"/>
          <w:szCs w:val="17"/>
        </w:rPr>
      </w:pPr>
      <w:r w:rsidRPr="00E26C8E">
        <w:rPr>
          <w:rFonts w:eastAsia="Times New Roman"/>
          <w:szCs w:val="17"/>
        </w:rPr>
        <w:t>Provide information that details all exploration activities to be undertaken within the application area as a part of the operation, including:</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purpose of the activities (i.e. resource drill-out or resource extension);</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types of drilling;</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geophysical techniques likely to be used;</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earthworks required to conduct exploration activities;</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equipment required to conduct exploration activities; and</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rehabilitation methods for exploration works (including that not yet rehabilitated from previous tenure).</w:t>
      </w:r>
    </w:p>
    <w:p w:rsidR="00E26C8E" w:rsidRPr="00E26C8E" w:rsidRDefault="00E26C8E" w:rsidP="00E26C8E">
      <w:pPr>
        <w:ind w:left="851" w:hanging="425"/>
        <w:rPr>
          <w:rFonts w:eastAsia="Times New Roman"/>
          <w:b/>
          <w:szCs w:val="17"/>
        </w:rPr>
      </w:pPr>
      <w:r w:rsidRPr="00E26C8E">
        <w:rPr>
          <w:rFonts w:eastAsia="Times New Roman"/>
          <w:b/>
          <w:szCs w:val="17"/>
        </w:rPr>
        <w:t>2.4</w:t>
      </w:r>
      <w:r w:rsidRPr="00E26C8E">
        <w:rPr>
          <w:rFonts w:eastAsia="Times New Roman"/>
          <w:b/>
          <w:szCs w:val="17"/>
        </w:rPr>
        <w:tab/>
        <w:t>Mining Activities</w:t>
      </w:r>
    </w:p>
    <w:p w:rsidR="00E26C8E" w:rsidRPr="00E26C8E" w:rsidRDefault="00E26C8E" w:rsidP="00E26C8E">
      <w:pPr>
        <w:ind w:left="1418" w:hanging="567"/>
        <w:rPr>
          <w:rFonts w:eastAsia="Times New Roman"/>
          <w:i/>
          <w:szCs w:val="17"/>
        </w:rPr>
      </w:pPr>
      <w:r w:rsidRPr="00E26C8E">
        <w:rPr>
          <w:rFonts w:eastAsia="Times New Roman"/>
          <w:i/>
          <w:szCs w:val="17"/>
        </w:rPr>
        <w:t>2.4.1</w:t>
      </w:r>
      <w:r w:rsidRPr="00E26C8E">
        <w:rPr>
          <w:rFonts w:eastAsia="Times New Roman"/>
          <w:i/>
          <w:szCs w:val="17"/>
        </w:rPr>
        <w:tab/>
        <w:t>Description of ISR mining process</w:t>
      </w:r>
    </w:p>
    <w:p w:rsidR="00E26C8E" w:rsidRPr="00E26C8E" w:rsidRDefault="00E26C8E" w:rsidP="00E26C8E">
      <w:pPr>
        <w:ind w:left="1418"/>
        <w:rPr>
          <w:rFonts w:eastAsia="Times New Roman"/>
          <w:szCs w:val="17"/>
        </w:rPr>
      </w:pPr>
      <w:r w:rsidRPr="00E26C8E">
        <w:rPr>
          <w:rFonts w:eastAsia="Times New Roman"/>
          <w:szCs w:val="17"/>
        </w:rPr>
        <w:t>Provide information on the ISR operation, including (but not limited to):</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acid or alkali leach process;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 xml:space="preserve">extraction process technology to be used (e.g. ion exchange, solvent extraction, and associated processes); </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satellite plants to be utilised, including the method for delivering uranium bearing resins or other products for further processing at the main processing plant;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any required initial groundwater flush or groundwater treatment.</w:t>
      </w:r>
    </w:p>
    <w:p w:rsidR="00E26C8E" w:rsidRPr="00E26C8E" w:rsidRDefault="00E26C8E" w:rsidP="00E26C8E">
      <w:pPr>
        <w:ind w:left="1418" w:hanging="567"/>
        <w:rPr>
          <w:rFonts w:eastAsia="Times New Roman"/>
          <w:i/>
          <w:szCs w:val="17"/>
        </w:rPr>
      </w:pPr>
      <w:r w:rsidRPr="00E26C8E">
        <w:rPr>
          <w:rFonts w:eastAsia="Times New Roman"/>
          <w:i/>
          <w:szCs w:val="17"/>
        </w:rPr>
        <w:t>2.4.2</w:t>
      </w:r>
      <w:r w:rsidRPr="00E26C8E">
        <w:rPr>
          <w:rFonts w:eastAsia="Times New Roman"/>
          <w:i/>
          <w:szCs w:val="17"/>
        </w:rPr>
        <w:tab/>
        <w:t>Sequence of mining and progressive rehabilitation</w:t>
      </w:r>
    </w:p>
    <w:p w:rsidR="00E26C8E" w:rsidRPr="00E26C8E" w:rsidRDefault="00E26C8E" w:rsidP="00E26C8E">
      <w:pPr>
        <w:ind w:left="1418"/>
        <w:rPr>
          <w:rFonts w:eastAsia="Times New Roman"/>
          <w:szCs w:val="17"/>
        </w:rPr>
      </w:pPr>
      <w:r w:rsidRPr="00E26C8E">
        <w:rPr>
          <w:rFonts w:eastAsia="Times New Roman"/>
          <w:szCs w:val="17"/>
        </w:rPr>
        <w:t>Provide the following information on the sequence of operations in both text and map form (as per 7.1.1.2):</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indication of planned and potential production well fields and disposal wells;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general description of the planned sequence and timing of well field mining stages (e.g. groundwater pre-treatment, acidification, uranium recovery);</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the circumstances that will determine the commencement of progressive and final rehabilitation;</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estimated production schedules and production rates;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estimated life of mine (including scope for extension).</w:t>
      </w:r>
    </w:p>
    <w:p w:rsidR="00E26C8E" w:rsidRPr="00E26C8E" w:rsidRDefault="00E26C8E" w:rsidP="00E26C8E">
      <w:pPr>
        <w:spacing w:after="0" w:line="240" w:lineRule="auto"/>
        <w:jc w:val="left"/>
        <w:rPr>
          <w:rFonts w:eastAsia="Times New Roman"/>
          <w:i/>
          <w:szCs w:val="17"/>
        </w:rPr>
      </w:pPr>
      <w:r w:rsidRPr="00E26C8E">
        <w:rPr>
          <w:rFonts w:eastAsia="Times New Roman"/>
          <w:i/>
          <w:szCs w:val="17"/>
        </w:rPr>
        <w:br w:type="page"/>
      </w:r>
    </w:p>
    <w:p w:rsidR="00E26C8E" w:rsidRPr="00E26C8E" w:rsidRDefault="00E26C8E" w:rsidP="00E26C8E">
      <w:pPr>
        <w:ind w:left="1418" w:hanging="567"/>
        <w:rPr>
          <w:rFonts w:eastAsia="Times New Roman"/>
          <w:i/>
          <w:szCs w:val="17"/>
        </w:rPr>
      </w:pPr>
      <w:r w:rsidRPr="00E26C8E">
        <w:rPr>
          <w:rFonts w:eastAsia="Times New Roman"/>
          <w:i/>
          <w:szCs w:val="17"/>
        </w:rPr>
        <w:t>2.4.3</w:t>
      </w:r>
      <w:r w:rsidRPr="00E26C8E">
        <w:rPr>
          <w:rFonts w:eastAsia="Times New Roman"/>
          <w:i/>
          <w:szCs w:val="17"/>
        </w:rPr>
        <w:tab/>
        <w:t>Modes and hours of operation</w:t>
      </w:r>
    </w:p>
    <w:p w:rsidR="00E26C8E" w:rsidRPr="00E26C8E" w:rsidRDefault="00E26C8E" w:rsidP="00E26C8E">
      <w:pPr>
        <w:ind w:left="1418"/>
        <w:rPr>
          <w:rFonts w:eastAsia="Times New Roman"/>
          <w:szCs w:val="17"/>
        </w:rPr>
      </w:pPr>
      <w:r w:rsidRPr="00E26C8E">
        <w:rPr>
          <w:rFonts w:eastAsia="Times New Roman"/>
          <w:szCs w:val="17"/>
        </w:rPr>
        <w:t xml:space="preserve">State if the operation will be worked on a continuous (24 hour, 7 days a week), regular periodical or campaign basis. </w:t>
      </w:r>
    </w:p>
    <w:p w:rsidR="00E26C8E" w:rsidRPr="00E26C8E" w:rsidRDefault="00E26C8E" w:rsidP="00E26C8E">
      <w:pPr>
        <w:ind w:left="1418"/>
        <w:rPr>
          <w:rFonts w:eastAsia="Times New Roman"/>
          <w:szCs w:val="17"/>
        </w:rPr>
      </w:pPr>
      <w:r w:rsidRPr="00E26C8E">
        <w:rPr>
          <w:rFonts w:eastAsia="Times New Roman"/>
          <w:szCs w:val="17"/>
        </w:rPr>
        <w:t xml:space="preserve">If the operation is to be worked on a regular periodical basis, specify: </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 xml:space="preserve">period(s) (daily, weekly and public holidays) to be worked; and </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start and finish hours the site is to be worked per period.</w:t>
      </w:r>
    </w:p>
    <w:p w:rsidR="00E26C8E" w:rsidRPr="00E26C8E" w:rsidRDefault="00E26C8E" w:rsidP="00E26C8E">
      <w:pPr>
        <w:ind w:left="851" w:hanging="425"/>
        <w:rPr>
          <w:rFonts w:eastAsia="Times New Roman"/>
          <w:b/>
          <w:szCs w:val="17"/>
        </w:rPr>
      </w:pPr>
      <w:r w:rsidRPr="00E26C8E">
        <w:rPr>
          <w:rFonts w:eastAsia="Times New Roman"/>
          <w:b/>
          <w:szCs w:val="17"/>
        </w:rPr>
        <w:t>2.5</w:t>
      </w:r>
      <w:r w:rsidRPr="00E26C8E">
        <w:rPr>
          <w:rFonts w:eastAsia="Times New Roman"/>
          <w:b/>
          <w:szCs w:val="17"/>
        </w:rPr>
        <w:tab/>
        <w:t>Wellfield Operations</w:t>
      </w:r>
    </w:p>
    <w:p w:rsidR="00E26C8E" w:rsidRPr="00E26C8E" w:rsidRDefault="00E26C8E" w:rsidP="00E26C8E">
      <w:pPr>
        <w:ind w:left="1418" w:hanging="567"/>
        <w:rPr>
          <w:rFonts w:eastAsia="Times New Roman"/>
          <w:i/>
          <w:szCs w:val="17"/>
        </w:rPr>
      </w:pPr>
      <w:r w:rsidRPr="00E26C8E">
        <w:rPr>
          <w:rFonts w:eastAsia="Times New Roman"/>
          <w:i/>
          <w:szCs w:val="17"/>
        </w:rPr>
        <w:t>2.5.1</w:t>
      </w:r>
      <w:r w:rsidRPr="00E26C8E">
        <w:rPr>
          <w:rFonts w:eastAsia="Times New Roman"/>
          <w:i/>
          <w:szCs w:val="17"/>
        </w:rPr>
        <w:tab/>
        <w:t>Well construction</w:t>
      </w:r>
    </w:p>
    <w:p w:rsidR="00E26C8E" w:rsidRPr="00E26C8E" w:rsidRDefault="00E26C8E" w:rsidP="00E26C8E">
      <w:pPr>
        <w:ind w:left="1418"/>
        <w:rPr>
          <w:rFonts w:eastAsia="Times New Roman"/>
          <w:szCs w:val="17"/>
        </w:rPr>
      </w:pPr>
      <w:r w:rsidRPr="00E26C8E">
        <w:rPr>
          <w:rFonts w:eastAsia="Times New Roman"/>
          <w:szCs w:val="17"/>
        </w:rPr>
        <w:t>Provide standard design and construction details for:</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injection wells;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production wells;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liquid disposal wells;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water supply wells;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compliance wells;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leading indicator wells.</w:t>
      </w:r>
    </w:p>
    <w:p w:rsidR="00E26C8E" w:rsidRPr="00E26C8E" w:rsidRDefault="00E26C8E" w:rsidP="00E26C8E">
      <w:pPr>
        <w:ind w:left="1418"/>
        <w:rPr>
          <w:rFonts w:eastAsia="Times New Roman"/>
          <w:szCs w:val="17"/>
        </w:rPr>
      </w:pPr>
      <w:r w:rsidRPr="00E26C8E">
        <w:rPr>
          <w:rFonts w:eastAsia="Times New Roman"/>
          <w:szCs w:val="17"/>
        </w:rPr>
        <w:t>Describe how wells have been designed to remain chemically resistant to the mining and liquid disposal fluids.</w:t>
      </w:r>
    </w:p>
    <w:p w:rsidR="00E26C8E" w:rsidRPr="00E26C8E" w:rsidRDefault="00E26C8E" w:rsidP="00E26C8E">
      <w:pPr>
        <w:ind w:left="1418" w:hanging="567"/>
        <w:rPr>
          <w:rFonts w:eastAsia="Times New Roman"/>
          <w:i/>
          <w:szCs w:val="17"/>
        </w:rPr>
      </w:pPr>
      <w:r w:rsidRPr="00E26C8E">
        <w:rPr>
          <w:rFonts w:eastAsia="Times New Roman"/>
          <w:i/>
          <w:szCs w:val="17"/>
        </w:rPr>
        <w:t>2.5.2</w:t>
      </w:r>
      <w:r w:rsidRPr="00E26C8E">
        <w:rPr>
          <w:rFonts w:eastAsia="Times New Roman"/>
          <w:i/>
          <w:szCs w:val="17"/>
        </w:rPr>
        <w:tab/>
        <w:t>Wellfield configuration</w:t>
      </w:r>
    </w:p>
    <w:p w:rsidR="00E26C8E" w:rsidRPr="00E26C8E" w:rsidRDefault="00E26C8E" w:rsidP="00E26C8E">
      <w:pPr>
        <w:ind w:left="1418"/>
        <w:rPr>
          <w:rFonts w:eastAsia="Times New Roman"/>
          <w:szCs w:val="17"/>
        </w:rPr>
      </w:pPr>
      <w:r w:rsidRPr="00E26C8E">
        <w:rPr>
          <w:rFonts w:eastAsia="Times New Roman"/>
          <w:szCs w:val="17"/>
        </w:rPr>
        <w:t>Describe and show on a map and cross sections (as per 7.1.1.1 and 7.2.1.1) the basic configuration of well patterns and well field layout, including the design principles of well fields that minimises the disturbance and impact on sensitive receptors (e.g. native vegetation, cultural heritage sites, water courses etc.) and prevents excursions of mining solutions.</w:t>
      </w:r>
    </w:p>
    <w:p w:rsidR="00E26C8E" w:rsidRPr="00E26C8E" w:rsidRDefault="00E26C8E" w:rsidP="00E26C8E">
      <w:pPr>
        <w:ind w:left="1418" w:hanging="567"/>
        <w:rPr>
          <w:rFonts w:eastAsia="Times New Roman"/>
          <w:i/>
          <w:szCs w:val="17"/>
        </w:rPr>
      </w:pPr>
      <w:r w:rsidRPr="00E26C8E">
        <w:rPr>
          <w:rFonts w:eastAsia="Times New Roman"/>
          <w:i/>
          <w:szCs w:val="17"/>
        </w:rPr>
        <w:t>2.5.3</w:t>
      </w:r>
      <w:r w:rsidRPr="00E26C8E">
        <w:rPr>
          <w:rFonts w:eastAsia="Times New Roman"/>
          <w:i/>
          <w:szCs w:val="17"/>
        </w:rPr>
        <w:tab/>
        <w:t>Well housed/filter skids</w:t>
      </w:r>
    </w:p>
    <w:p w:rsidR="00E26C8E" w:rsidRPr="00E26C8E" w:rsidRDefault="00E26C8E" w:rsidP="00E26C8E">
      <w:pPr>
        <w:ind w:left="1418"/>
        <w:rPr>
          <w:rFonts w:eastAsia="Times New Roman"/>
          <w:szCs w:val="17"/>
        </w:rPr>
      </w:pPr>
      <w:r w:rsidRPr="00E26C8E">
        <w:rPr>
          <w:rFonts w:eastAsia="Times New Roman"/>
          <w:szCs w:val="17"/>
        </w:rPr>
        <w:t>Provide a schematic diagram and a description of the design and construction techniques for well houses/filter skids, including pumps and pressure monitoring.</w:t>
      </w:r>
    </w:p>
    <w:p w:rsidR="00E26C8E" w:rsidRPr="00E26C8E" w:rsidRDefault="00E26C8E" w:rsidP="00E26C8E">
      <w:pPr>
        <w:ind w:left="1418" w:hanging="567"/>
        <w:rPr>
          <w:rFonts w:eastAsia="Times New Roman"/>
          <w:i/>
          <w:szCs w:val="17"/>
        </w:rPr>
      </w:pPr>
      <w:r w:rsidRPr="00E26C8E">
        <w:rPr>
          <w:rFonts w:eastAsia="Times New Roman"/>
          <w:i/>
          <w:szCs w:val="17"/>
        </w:rPr>
        <w:t>2.5.4</w:t>
      </w:r>
      <w:r w:rsidRPr="00E26C8E">
        <w:rPr>
          <w:rFonts w:eastAsia="Times New Roman"/>
          <w:i/>
          <w:szCs w:val="17"/>
        </w:rPr>
        <w:tab/>
        <w:t>Pipelines</w:t>
      </w:r>
    </w:p>
    <w:p w:rsidR="00E26C8E" w:rsidRPr="00E26C8E" w:rsidRDefault="00E26C8E" w:rsidP="00E26C8E">
      <w:pPr>
        <w:ind w:left="1418"/>
        <w:rPr>
          <w:rFonts w:eastAsia="Times New Roman"/>
          <w:szCs w:val="17"/>
        </w:rPr>
      </w:pPr>
      <w:r w:rsidRPr="00E26C8E">
        <w:rPr>
          <w:rFonts w:eastAsia="Times New Roman"/>
          <w:szCs w:val="17"/>
        </w:rPr>
        <w:t>Describe the standard design and construction techniques (including quality assurance processes) for:</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trunk lines;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gathering lines;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waste disposal lines.</w:t>
      </w:r>
    </w:p>
    <w:p w:rsidR="00E26C8E" w:rsidRPr="00E26C8E" w:rsidRDefault="00E26C8E" w:rsidP="00E26C8E">
      <w:pPr>
        <w:ind w:left="1418" w:hanging="567"/>
        <w:rPr>
          <w:rFonts w:eastAsia="Times New Roman"/>
          <w:i/>
          <w:szCs w:val="17"/>
        </w:rPr>
      </w:pPr>
      <w:r w:rsidRPr="00E26C8E">
        <w:rPr>
          <w:rFonts w:eastAsia="Times New Roman"/>
          <w:i/>
          <w:szCs w:val="17"/>
        </w:rPr>
        <w:t>2.5.5</w:t>
      </w:r>
      <w:r w:rsidRPr="00E26C8E">
        <w:rPr>
          <w:rFonts w:eastAsia="Times New Roman"/>
          <w:i/>
          <w:szCs w:val="17"/>
        </w:rPr>
        <w:tab/>
        <w:t>Leak prevention and detection</w:t>
      </w:r>
    </w:p>
    <w:p w:rsidR="00E26C8E" w:rsidRPr="00E26C8E" w:rsidRDefault="00E26C8E" w:rsidP="00E26C8E">
      <w:pPr>
        <w:ind w:left="1418"/>
        <w:rPr>
          <w:rFonts w:eastAsia="Times New Roman"/>
          <w:szCs w:val="17"/>
        </w:rPr>
      </w:pPr>
      <w:r w:rsidRPr="00E26C8E">
        <w:rPr>
          <w:rFonts w:eastAsia="Times New Roman"/>
          <w:szCs w:val="17"/>
        </w:rPr>
        <w:t>Describe the leak prevention and detection system(s) which will enable the operator to promptly and accurately detect and control loss of liquids for all:</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wells;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well houses/filter skids;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pipelines;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associated connecting infrastructure.</w:t>
      </w:r>
    </w:p>
    <w:p w:rsidR="00E26C8E" w:rsidRPr="00E26C8E" w:rsidRDefault="00E26C8E" w:rsidP="00E26C8E">
      <w:pPr>
        <w:ind w:left="1418" w:hanging="567"/>
        <w:rPr>
          <w:rFonts w:eastAsia="Times New Roman"/>
          <w:i/>
          <w:szCs w:val="17"/>
        </w:rPr>
      </w:pPr>
      <w:r w:rsidRPr="00E26C8E">
        <w:rPr>
          <w:rFonts w:eastAsia="Times New Roman"/>
          <w:i/>
          <w:szCs w:val="17"/>
        </w:rPr>
        <w:t>2.5.6</w:t>
      </w:r>
      <w:r w:rsidRPr="00E26C8E">
        <w:rPr>
          <w:rFonts w:eastAsia="Times New Roman"/>
          <w:i/>
          <w:szCs w:val="17"/>
        </w:rPr>
        <w:tab/>
        <w:t>Spill containment</w:t>
      </w:r>
    </w:p>
    <w:p w:rsidR="00E26C8E" w:rsidRPr="00E26C8E" w:rsidRDefault="00E26C8E" w:rsidP="00E26C8E">
      <w:pPr>
        <w:ind w:left="1418"/>
        <w:rPr>
          <w:rFonts w:eastAsia="Times New Roman"/>
          <w:szCs w:val="17"/>
        </w:rPr>
      </w:pPr>
      <w:r w:rsidRPr="00E26C8E">
        <w:rPr>
          <w:rFonts w:eastAsia="Times New Roman"/>
          <w:szCs w:val="17"/>
        </w:rPr>
        <w:t>Describe the spill containment or control system(s) as applicable, including bunding and leak prevention designs, for:</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wells;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well houses/filter skids;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well fields;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pipelines;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associated connecting infrastructure.</w:t>
      </w:r>
    </w:p>
    <w:p w:rsidR="00E26C8E" w:rsidRPr="00E26C8E" w:rsidRDefault="00E26C8E" w:rsidP="00E26C8E">
      <w:pPr>
        <w:ind w:left="1418" w:hanging="567"/>
        <w:rPr>
          <w:rFonts w:eastAsia="Times New Roman"/>
          <w:i/>
          <w:szCs w:val="17"/>
        </w:rPr>
      </w:pPr>
      <w:r w:rsidRPr="00E26C8E">
        <w:rPr>
          <w:rFonts w:eastAsia="Times New Roman"/>
          <w:i/>
          <w:szCs w:val="17"/>
        </w:rPr>
        <w:t>2.5.7</w:t>
      </w:r>
      <w:r w:rsidRPr="00E26C8E">
        <w:rPr>
          <w:rFonts w:eastAsia="Times New Roman"/>
          <w:i/>
          <w:szCs w:val="17"/>
        </w:rPr>
        <w:tab/>
        <w:t>Care and maintenance</w:t>
      </w:r>
    </w:p>
    <w:p w:rsidR="00E26C8E" w:rsidRPr="00E26C8E" w:rsidRDefault="00E26C8E" w:rsidP="00E26C8E">
      <w:pPr>
        <w:ind w:left="1418"/>
        <w:rPr>
          <w:rFonts w:eastAsia="Times New Roman"/>
          <w:szCs w:val="17"/>
        </w:rPr>
      </w:pPr>
      <w:r w:rsidRPr="00E26C8E">
        <w:rPr>
          <w:rFonts w:eastAsia="Times New Roman"/>
          <w:szCs w:val="17"/>
        </w:rPr>
        <w:t>Detail all activities and strategies required for care and maintenance of the wellfield, should the mine suspend production, but not progress immediately to closure.</w:t>
      </w:r>
    </w:p>
    <w:p w:rsidR="00E26C8E" w:rsidRPr="00E26C8E" w:rsidRDefault="00E26C8E" w:rsidP="00E26C8E">
      <w:pPr>
        <w:spacing w:after="60"/>
        <w:ind w:left="1418" w:hanging="567"/>
        <w:rPr>
          <w:rFonts w:eastAsia="Times New Roman"/>
          <w:i/>
          <w:szCs w:val="17"/>
        </w:rPr>
      </w:pPr>
      <w:r w:rsidRPr="00E26C8E">
        <w:rPr>
          <w:rFonts w:eastAsia="Times New Roman"/>
          <w:i/>
          <w:szCs w:val="17"/>
        </w:rPr>
        <w:t>2.5.8</w:t>
      </w:r>
      <w:r w:rsidRPr="00E26C8E">
        <w:rPr>
          <w:rFonts w:eastAsia="Times New Roman"/>
          <w:i/>
          <w:szCs w:val="17"/>
        </w:rPr>
        <w:tab/>
        <w:t>Wellfield operation rehabilitation strategies and timing</w:t>
      </w:r>
    </w:p>
    <w:p w:rsidR="00E26C8E" w:rsidRPr="00E26C8E" w:rsidRDefault="00E26C8E" w:rsidP="00E26C8E">
      <w:pPr>
        <w:spacing w:after="60"/>
        <w:ind w:left="1418"/>
        <w:rPr>
          <w:rFonts w:eastAsia="Times New Roman"/>
          <w:szCs w:val="17"/>
        </w:rPr>
      </w:pPr>
      <w:r w:rsidRPr="00E26C8E">
        <w:rPr>
          <w:rFonts w:eastAsia="Times New Roman"/>
          <w:szCs w:val="17"/>
        </w:rPr>
        <w:t>Detail all activities, strategies and designs relating to mine closure for rehabilitation of well fields and associated infrastructure, including:</w:t>
      </w:r>
    </w:p>
    <w:p w:rsidR="00E26C8E" w:rsidRPr="00E26C8E" w:rsidRDefault="00E26C8E" w:rsidP="00E26C8E">
      <w:pPr>
        <w:spacing w:after="60"/>
        <w:ind w:left="1701" w:hanging="283"/>
        <w:rPr>
          <w:rFonts w:eastAsia="Times New Roman"/>
          <w:szCs w:val="17"/>
        </w:rPr>
      </w:pPr>
      <w:r w:rsidRPr="00E26C8E">
        <w:rPr>
          <w:rFonts w:eastAsia="Times New Roman"/>
          <w:szCs w:val="17"/>
        </w:rPr>
        <w:t>•</w:t>
      </w:r>
      <w:r w:rsidRPr="00E26C8E">
        <w:rPr>
          <w:rFonts w:eastAsia="Times New Roman"/>
          <w:szCs w:val="17"/>
        </w:rPr>
        <w:tab/>
        <w:t>the circumstances that will determine the commencement of progressive and final rehabilitation; and</w:t>
      </w:r>
    </w:p>
    <w:p w:rsidR="00E26C8E" w:rsidRPr="00E26C8E" w:rsidRDefault="00E26C8E" w:rsidP="00E26C8E">
      <w:pPr>
        <w:spacing w:after="60"/>
        <w:ind w:left="1701" w:hanging="283"/>
        <w:rPr>
          <w:rFonts w:eastAsia="Times New Roman"/>
          <w:szCs w:val="17"/>
        </w:rPr>
      </w:pPr>
      <w:r w:rsidRPr="00E26C8E">
        <w:rPr>
          <w:rFonts w:eastAsia="Times New Roman"/>
          <w:szCs w:val="17"/>
        </w:rPr>
        <w:t>•</w:t>
      </w:r>
      <w:r w:rsidRPr="00E26C8E">
        <w:rPr>
          <w:rFonts w:eastAsia="Times New Roman"/>
          <w:szCs w:val="17"/>
        </w:rPr>
        <w:tab/>
        <w:t>any opportunities for progressive rehabilitation.</w:t>
      </w:r>
    </w:p>
    <w:p w:rsidR="00E26C8E" w:rsidRPr="00E26C8E" w:rsidRDefault="00E26C8E" w:rsidP="00E26C8E">
      <w:pPr>
        <w:spacing w:after="60"/>
        <w:ind w:left="1418"/>
        <w:rPr>
          <w:rFonts w:eastAsia="Times New Roman"/>
          <w:szCs w:val="17"/>
        </w:rPr>
      </w:pPr>
      <w:r w:rsidRPr="00E26C8E">
        <w:rPr>
          <w:rFonts w:eastAsia="Times New Roman"/>
          <w:szCs w:val="17"/>
        </w:rPr>
        <w:t>Where natural attenuation is to be relied on for the remediation of aquifers to achieve post mining groundwater quality outcomes, include:</w:t>
      </w:r>
    </w:p>
    <w:p w:rsidR="00E26C8E" w:rsidRPr="00E26C8E" w:rsidRDefault="00E26C8E" w:rsidP="00E26C8E">
      <w:pPr>
        <w:spacing w:after="60"/>
        <w:ind w:left="1701" w:hanging="283"/>
        <w:rPr>
          <w:rFonts w:eastAsia="Times New Roman"/>
          <w:szCs w:val="17"/>
        </w:rPr>
      </w:pPr>
      <w:r w:rsidRPr="00E26C8E">
        <w:rPr>
          <w:rFonts w:eastAsia="Times New Roman"/>
          <w:szCs w:val="17"/>
        </w:rPr>
        <w:t>•</w:t>
      </w:r>
      <w:r w:rsidRPr="00E26C8E">
        <w:rPr>
          <w:rFonts w:eastAsia="Times New Roman"/>
          <w:szCs w:val="17"/>
        </w:rPr>
        <w:tab/>
        <w:t>a description of the nature and expected rates and distance of the attenuation processes;</w:t>
      </w:r>
    </w:p>
    <w:p w:rsidR="00E26C8E" w:rsidRPr="00E26C8E" w:rsidRDefault="00E26C8E" w:rsidP="00E26C8E">
      <w:pPr>
        <w:spacing w:after="60"/>
        <w:ind w:left="1701" w:hanging="283"/>
        <w:rPr>
          <w:rFonts w:eastAsia="Times New Roman"/>
          <w:szCs w:val="17"/>
        </w:rPr>
      </w:pPr>
      <w:r w:rsidRPr="00E26C8E">
        <w:rPr>
          <w:rFonts w:eastAsia="Times New Roman"/>
          <w:szCs w:val="17"/>
        </w:rPr>
        <w:t>•</w:t>
      </w:r>
      <w:r w:rsidRPr="00E26C8E">
        <w:rPr>
          <w:rFonts w:eastAsia="Times New Roman"/>
          <w:szCs w:val="17"/>
        </w:rPr>
        <w:tab/>
        <w:t>predictions of the rate and extent of attenuation supported by laboratory testing and modelling;</w:t>
      </w:r>
    </w:p>
    <w:p w:rsidR="00E26C8E" w:rsidRPr="00E26C8E" w:rsidRDefault="00E26C8E" w:rsidP="00E26C8E">
      <w:pPr>
        <w:spacing w:after="60"/>
        <w:ind w:left="1701" w:hanging="283"/>
        <w:rPr>
          <w:rFonts w:eastAsia="Times New Roman"/>
          <w:szCs w:val="17"/>
        </w:rPr>
      </w:pPr>
      <w:r w:rsidRPr="00E26C8E">
        <w:rPr>
          <w:rFonts w:eastAsia="Times New Roman"/>
          <w:szCs w:val="17"/>
        </w:rPr>
        <w:t>•</w:t>
      </w:r>
      <w:r w:rsidRPr="00E26C8E">
        <w:rPr>
          <w:rFonts w:eastAsia="Times New Roman"/>
          <w:szCs w:val="17"/>
        </w:rPr>
        <w:tab/>
        <w:t xml:space="preserve">a demonstration that the attenuation model can be validated in under 10 years from the cessation of mining; </w:t>
      </w:r>
    </w:p>
    <w:p w:rsidR="00E26C8E" w:rsidRPr="00E26C8E" w:rsidRDefault="00E26C8E" w:rsidP="00E26C8E">
      <w:pPr>
        <w:spacing w:after="60"/>
        <w:ind w:left="1701" w:hanging="283"/>
        <w:rPr>
          <w:rFonts w:eastAsia="Times New Roman"/>
          <w:szCs w:val="17"/>
        </w:rPr>
      </w:pPr>
      <w:r w:rsidRPr="00E26C8E">
        <w:rPr>
          <w:rFonts w:eastAsia="Times New Roman"/>
          <w:szCs w:val="17"/>
        </w:rPr>
        <w:t>•</w:t>
      </w:r>
      <w:r w:rsidRPr="00E26C8E">
        <w:rPr>
          <w:rFonts w:eastAsia="Times New Roman"/>
          <w:szCs w:val="17"/>
        </w:rPr>
        <w:tab/>
        <w:t>a program of field monitoring for the early validation of attenuation predictions for wellfields as they are progressively closed; and</w:t>
      </w:r>
    </w:p>
    <w:p w:rsidR="00E26C8E" w:rsidRPr="00E26C8E" w:rsidRDefault="00E26C8E" w:rsidP="00E26C8E">
      <w:pPr>
        <w:spacing w:after="60"/>
        <w:ind w:left="1701" w:hanging="283"/>
        <w:rPr>
          <w:rFonts w:eastAsia="Times New Roman"/>
          <w:szCs w:val="17"/>
        </w:rPr>
      </w:pPr>
      <w:r w:rsidRPr="00E26C8E">
        <w:rPr>
          <w:rFonts w:eastAsia="Times New Roman"/>
          <w:szCs w:val="17"/>
        </w:rPr>
        <w:t>•</w:t>
      </w:r>
      <w:r w:rsidRPr="00E26C8E">
        <w:rPr>
          <w:rFonts w:eastAsia="Times New Roman"/>
          <w:szCs w:val="17"/>
        </w:rPr>
        <w:tab/>
        <w:t>a contingency plan if attenuation is not demonstrated to be occurring within expected timeframes.</w:t>
      </w:r>
    </w:p>
    <w:p w:rsidR="00E26C8E" w:rsidRPr="00E26C8E" w:rsidRDefault="00E26C8E" w:rsidP="00E26C8E">
      <w:pPr>
        <w:ind w:left="1418"/>
        <w:rPr>
          <w:rFonts w:eastAsia="Times New Roman"/>
          <w:szCs w:val="17"/>
        </w:rPr>
      </w:pPr>
      <w:r w:rsidRPr="00E26C8E">
        <w:rPr>
          <w:rFonts w:eastAsia="Times New Roman"/>
          <w:szCs w:val="17"/>
        </w:rPr>
        <w:t>Where active groundwater remediation is to be used as a rehabilitation strategy, detail must be provided on the remediation technique to demonstrate how closure outcomes will ultimately be achieved.</w:t>
      </w:r>
      <w:r w:rsidRPr="00E26C8E">
        <w:rPr>
          <w:rFonts w:eastAsia="Times New Roman"/>
          <w:b/>
          <w:szCs w:val="17"/>
        </w:rPr>
        <w:br w:type="page"/>
      </w:r>
    </w:p>
    <w:p w:rsidR="00E26C8E" w:rsidRPr="00E26C8E" w:rsidRDefault="00E26C8E" w:rsidP="00E26C8E">
      <w:pPr>
        <w:ind w:left="851" w:hanging="425"/>
        <w:rPr>
          <w:rFonts w:eastAsia="Times New Roman"/>
          <w:b/>
          <w:szCs w:val="17"/>
        </w:rPr>
      </w:pPr>
      <w:r w:rsidRPr="00E26C8E">
        <w:rPr>
          <w:rFonts w:eastAsia="Times New Roman"/>
          <w:b/>
          <w:szCs w:val="17"/>
        </w:rPr>
        <w:t>2.6</w:t>
      </w:r>
      <w:r w:rsidRPr="00E26C8E">
        <w:rPr>
          <w:rFonts w:eastAsia="Times New Roman"/>
          <w:b/>
          <w:szCs w:val="17"/>
        </w:rPr>
        <w:tab/>
        <w:t>Processing Plant</w:t>
      </w:r>
    </w:p>
    <w:p w:rsidR="00E26C8E" w:rsidRPr="00E26C8E" w:rsidRDefault="00E26C8E" w:rsidP="00E26C8E">
      <w:pPr>
        <w:ind w:left="1418" w:hanging="567"/>
        <w:rPr>
          <w:rFonts w:eastAsia="Times New Roman"/>
          <w:i/>
          <w:szCs w:val="17"/>
        </w:rPr>
      </w:pPr>
      <w:r w:rsidRPr="00E26C8E">
        <w:rPr>
          <w:rFonts w:eastAsia="Times New Roman"/>
          <w:i/>
          <w:szCs w:val="17"/>
        </w:rPr>
        <w:t>2.6.1</w:t>
      </w:r>
      <w:r w:rsidRPr="00E26C8E">
        <w:rPr>
          <w:rFonts w:eastAsia="Times New Roman"/>
          <w:i/>
          <w:szCs w:val="17"/>
        </w:rPr>
        <w:tab/>
        <w:t>Processing plant specifications</w:t>
      </w:r>
    </w:p>
    <w:p w:rsidR="00E26C8E" w:rsidRPr="00E26C8E" w:rsidRDefault="00E26C8E" w:rsidP="00E26C8E">
      <w:pPr>
        <w:ind w:left="1418"/>
        <w:rPr>
          <w:rFonts w:eastAsia="Times New Roman"/>
          <w:szCs w:val="17"/>
        </w:rPr>
      </w:pPr>
      <w:r w:rsidRPr="00E26C8E">
        <w:rPr>
          <w:rFonts w:eastAsia="Times New Roman"/>
          <w:szCs w:val="17"/>
        </w:rPr>
        <w:t>Provide a description of the processing plant (for the primary processing plant and where relevant any satellite processing plant(s)), including:</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capacity of the plant and equipment;</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process diagram showing all chemical inputs, process steps and all waste and product generation;</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area, size, physical components, type of construction (including lining and drainage systems as appropriate) and location of processing plant and associated structures (e.g. liquor ponds, evaporation ponds, wheel wash facilities, silos, fuel tanks, water tanks, chemical storage/use, reverse osmosis plants) to be used for uranium extraction and processing on site;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the quantity and nature of the chemicals to be used, their reactions with processing water, and their ultimate fate;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mining solution composition;</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waste solution composition;</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noise sources;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dust sources and composition;</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radon sources and volumes;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ignition sources;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other potential air emissions (including odour) and their composition;</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leak detection system(s) which will enable the operator to promptly and accurately detect and control loss of fluid containment;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maps (as per 7.1.1.1).</w:t>
      </w:r>
    </w:p>
    <w:p w:rsidR="00E26C8E" w:rsidRPr="00E26C8E" w:rsidRDefault="00E26C8E" w:rsidP="00E26C8E">
      <w:pPr>
        <w:ind w:left="1418" w:hanging="567"/>
        <w:rPr>
          <w:rFonts w:eastAsia="Times New Roman"/>
          <w:i/>
          <w:szCs w:val="17"/>
        </w:rPr>
      </w:pPr>
      <w:r w:rsidRPr="00E26C8E">
        <w:rPr>
          <w:rFonts w:eastAsia="Times New Roman"/>
          <w:i/>
          <w:szCs w:val="17"/>
        </w:rPr>
        <w:t>2.6.2</w:t>
      </w:r>
      <w:r w:rsidRPr="00E26C8E">
        <w:rPr>
          <w:rFonts w:eastAsia="Times New Roman"/>
          <w:i/>
          <w:szCs w:val="17"/>
        </w:rPr>
        <w:tab/>
        <w:t>Processing water balance</w:t>
      </w:r>
    </w:p>
    <w:p w:rsidR="00E26C8E" w:rsidRPr="00E26C8E" w:rsidRDefault="00E26C8E" w:rsidP="00E26C8E">
      <w:pPr>
        <w:ind w:left="1418"/>
        <w:rPr>
          <w:rFonts w:eastAsia="Times New Roman"/>
          <w:szCs w:val="17"/>
        </w:rPr>
      </w:pPr>
      <w:r w:rsidRPr="00E26C8E">
        <w:rPr>
          <w:rFonts w:eastAsia="Times New Roman"/>
          <w:szCs w:val="17"/>
        </w:rPr>
        <w:t>Provide a water balance, including:</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approximate water volumes required;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process flow sheet showing all streams including stormwater management where connected to the processing circuit;</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 summary of the inputs and outputs (with consideration of any purge requirements);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determination of net surplus or deficit.</w:t>
      </w:r>
    </w:p>
    <w:p w:rsidR="00E26C8E" w:rsidRPr="00E26C8E" w:rsidRDefault="00E26C8E" w:rsidP="00E26C8E">
      <w:pPr>
        <w:ind w:left="1418"/>
        <w:rPr>
          <w:rFonts w:eastAsia="Times New Roman"/>
          <w:szCs w:val="17"/>
        </w:rPr>
      </w:pPr>
      <w:r w:rsidRPr="00E26C8E">
        <w:rPr>
          <w:rFonts w:eastAsia="Times New Roman"/>
          <w:szCs w:val="17"/>
        </w:rPr>
        <w:t>Provide a description of all water ponds, including:</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size, capacity, layout and location of ponds;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design and construction methods;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chemical composition of the solution to be stored in each pond;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minimum freeboard to be maintained.</w:t>
      </w:r>
    </w:p>
    <w:p w:rsidR="00E26C8E" w:rsidRPr="00E26C8E" w:rsidRDefault="00E26C8E" w:rsidP="00E26C8E">
      <w:pPr>
        <w:ind w:left="1418" w:hanging="567"/>
        <w:rPr>
          <w:rFonts w:eastAsia="Times New Roman"/>
          <w:i/>
          <w:szCs w:val="17"/>
        </w:rPr>
      </w:pPr>
      <w:r w:rsidRPr="00E26C8E">
        <w:rPr>
          <w:rFonts w:eastAsia="Times New Roman"/>
          <w:i/>
          <w:szCs w:val="17"/>
        </w:rPr>
        <w:t>2.6.3</w:t>
      </w:r>
      <w:r w:rsidRPr="00E26C8E">
        <w:rPr>
          <w:rFonts w:eastAsia="Times New Roman"/>
          <w:i/>
          <w:szCs w:val="17"/>
        </w:rPr>
        <w:tab/>
        <w:t>Product storage and security</w:t>
      </w:r>
    </w:p>
    <w:p w:rsidR="00E26C8E" w:rsidRPr="00E26C8E" w:rsidRDefault="00E26C8E" w:rsidP="00E26C8E">
      <w:pPr>
        <w:ind w:left="1418"/>
        <w:rPr>
          <w:rFonts w:eastAsia="Times New Roman"/>
          <w:szCs w:val="17"/>
        </w:rPr>
      </w:pPr>
      <w:r w:rsidRPr="00E26C8E">
        <w:rPr>
          <w:rFonts w:eastAsia="Times New Roman"/>
          <w:szCs w:val="17"/>
        </w:rPr>
        <w:t>Provide confirmation that the storage and security for the final uranium product satisfies the requirements of the Australian Safeguards and Non-Proliferation Office.</w:t>
      </w:r>
    </w:p>
    <w:p w:rsidR="00E26C8E" w:rsidRPr="00E26C8E" w:rsidRDefault="00E26C8E" w:rsidP="00E26C8E">
      <w:pPr>
        <w:ind w:left="1418" w:hanging="567"/>
        <w:rPr>
          <w:rFonts w:eastAsia="Times New Roman"/>
          <w:i/>
          <w:szCs w:val="17"/>
        </w:rPr>
      </w:pPr>
      <w:r w:rsidRPr="00E26C8E">
        <w:rPr>
          <w:rFonts w:eastAsia="Times New Roman"/>
          <w:i/>
          <w:szCs w:val="17"/>
        </w:rPr>
        <w:t>2.6.4</w:t>
      </w:r>
      <w:r w:rsidRPr="00E26C8E">
        <w:rPr>
          <w:rFonts w:eastAsia="Times New Roman"/>
          <w:i/>
          <w:szCs w:val="17"/>
        </w:rPr>
        <w:tab/>
        <w:t>Care and maintenance</w:t>
      </w:r>
    </w:p>
    <w:p w:rsidR="00E26C8E" w:rsidRPr="00E26C8E" w:rsidRDefault="00E26C8E" w:rsidP="00E26C8E">
      <w:pPr>
        <w:ind w:left="1418"/>
        <w:rPr>
          <w:rFonts w:eastAsia="Times New Roman"/>
          <w:szCs w:val="17"/>
        </w:rPr>
      </w:pPr>
      <w:r w:rsidRPr="00E26C8E">
        <w:rPr>
          <w:rFonts w:eastAsia="Times New Roman"/>
          <w:szCs w:val="17"/>
        </w:rPr>
        <w:t>Detail all activities and strategies required for care and maintenance of processing facilities, should the mine suspend production, but not progress immediately to closure.</w:t>
      </w:r>
    </w:p>
    <w:p w:rsidR="00E26C8E" w:rsidRPr="00E26C8E" w:rsidRDefault="00E26C8E" w:rsidP="00E26C8E">
      <w:pPr>
        <w:ind w:left="1418" w:hanging="567"/>
        <w:rPr>
          <w:rFonts w:eastAsia="Times New Roman"/>
          <w:i/>
          <w:szCs w:val="17"/>
        </w:rPr>
      </w:pPr>
      <w:r w:rsidRPr="00E26C8E">
        <w:rPr>
          <w:rFonts w:eastAsia="Times New Roman"/>
          <w:i/>
          <w:szCs w:val="17"/>
        </w:rPr>
        <w:t>2.6.5</w:t>
      </w:r>
      <w:r w:rsidRPr="00E26C8E">
        <w:rPr>
          <w:rFonts w:eastAsia="Times New Roman"/>
          <w:i/>
          <w:szCs w:val="17"/>
        </w:rPr>
        <w:tab/>
        <w:t>Processing plant rehabilitation strategies and timing</w:t>
      </w:r>
    </w:p>
    <w:p w:rsidR="00E26C8E" w:rsidRPr="00E26C8E" w:rsidRDefault="00E26C8E" w:rsidP="00E26C8E">
      <w:pPr>
        <w:ind w:left="1418"/>
        <w:rPr>
          <w:rFonts w:eastAsia="Times New Roman"/>
          <w:szCs w:val="17"/>
        </w:rPr>
      </w:pPr>
      <w:r w:rsidRPr="00E26C8E">
        <w:rPr>
          <w:rFonts w:eastAsia="Times New Roman"/>
          <w:szCs w:val="17"/>
        </w:rPr>
        <w:t>Detail all activities, strategies and designs relating to mine closure for removal, disposal and rehabilitation of processing plant infrastructure, including timing of these activities.</w:t>
      </w:r>
    </w:p>
    <w:p w:rsidR="00E26C8E" w:rsidRPr="00E26C8E" w:rsidRDefault="00E26C8E" w:rsidP="00E26C8E">
      <w:pPr>
        <w:ind w:left="851" w:hanging="425"/>
        <w:rPr>
          <w:rFonts w:eastAsia="Times New Roman"/>
          <w:b/>
          <w:szCs w:val="17"/>
        </w:rPr>
      </w:pPr>
      <w:r w:rsidRPr="00E26C8E">
        <w:rPr>
          <w:rFonts w:eastAsia="Times New Roman"/>
          <w:b/>
          <w:szCs w:val="17"/>
        </w:rPr>
        <w:t>2.7</w:t>
      </w:r>
      <w:r w:rsidRPr="00E26C8E">
        <w:rPr>
          <w:rFonts w:eastAsia="Times New Roman"/>
          <w:b/>
          <w:szCs w:val="17"/>
        </w:rPr>
        <w:tab/>
        <w:t>Supporting Surface Infrastructure</w:t>
      </w:r>
    </w:p>
    <w:p w:rsidR="00E26C8E" w:rsidRPr="00E26C8E" w:rsidRDefault="00E26C8E" w:rsidP="00E26C8E">
      <w:pPr>
        <w:ind w:left="1418" w:hanging="567"/>
        <w:rPr>
          <w:rFonts w:eastAsia="Times New Roman"/>
          <w:i/>
          <w:szCs w:val="17"/>
        </w:rPr>
      </w:pPr>
      <w:r w:rsidRPr="00E26C8E">
        <w:rPr>
          <w:rFonts w:eastAsia="Times New Roman"/>
          <w:i/>
          <w:szCs w:val="17"/>
        </w:rPr>
        <w:t>2.7.1</w:t>
      </w:r>
      <w:r w:rsidRPr="00E26C8E">
        <w:rPr>
          <w:rFonts w:eastAsia="Times New Roman"/>
          <w:i/>
          <w:szCs w:val="17"/>
        </w:rPr>
        <w:tab/>
        <w:t>Access and roads</w:t>
      </w:r>
    </w:p>
    <w:p w:rsidR="00E26C8E" w:rsidRPr="00E26C8E" w:rsidRDefault="00E26C8E" w:rsidP="00E26C8E">
      <w:pPr>
        <w:ind w:left="1418"/>
        <w:rPr>
          <w:rFonts w:eastAsia="Times New Roman"/>
          <w:szCs w:val="17"/>
        </w:rPr>
      </w:pPr>
      <w:r w:rsidRPr="00E26C8E">
        <w:rPr>
          <w:rFonts w:eastAsia="Times New Roman"/>
          <w:szCs w:val="17"/>
        </w:rPr>
        <w:t>Describe: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access route to the operations and show on a map (as per 7.1.1.3);</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internal roads within the tenement application area to be used for operations including the delivery of uranium bearing resins and other products, fuels and chemicals;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indicate if any new roads are to be constructed, or if existing roads or intersections (public or private) are to be upgraded;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transport system(s) used to and from the operations and the estimated number of vehicle movements per day;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airport/airstrips to be constructed.</w:t>
      </w:r>
    </w:p>
    <w:p w:rsidR="00E26C8E" w:rsidRPr="00E26C8E" w:rsidRDefault="00E26C8E" w:rsidP="00E26C8E">
      <w:pPr>
        <w:ind w:left="1418" w:hanging="567"/>
        <w:rPr>
          <w:rFonts w:eastAsia="Times New Roman"/>
          <w:i/>
          <w:szCs w:val="17"/>
        </w:rPr>
      </w:pPr>
      <w:r w:rsidRPr="00E26C8E">
        <w:rPr>
          <w:rFonts w:eastAsia="Times New Roman"/>
          <w:i/>
          <w:szCs w:val="17"/>
        </w:rPr>
        <w:t>2.7.2</w:t>
      </w:r>
      <w:r w:rsidRPr="00E26C8E">
        <w:rPr>
          <w:rFonts w:eastAsia="Times New Roman"/>
          <w:i/>
          <w:szCs w:val="17"/>
        </w:rPr>
        <w:tab/>
        <w:t>Accommodation and offices</w:t>
      </w:r>
    </w:p>
    <w:p w:rsidR="00E26C8E" w:rsidRPr="00E26C8E" w:rsidRDefault="00E26C8E" w:rsidP="00E26C8E">
      <w:pPr>
        <w:ind w:left="1418"/>
        <w:rPr>
          <w:rFonts w:eastAsia="Times New Roman"/>
          <w:szCs w:val="17"/>
        </w:rPr>
      </w:pPr>
      <w:r w:rsidRPr="00E26C8E">
        <w:rPr>
          <w:rFonts w:eastAsia="Times New Roman"/>
          <w:szCs w:val="17"/>
        </w:rPr>
        <w:t>Describe: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number, area, size, type of construction and location of accommodation, office, meals or laboratory building, caravans or camp, and associated structures (e.g. car parks, water tanks, etc.) to be used on site;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if temporary or permanent.</w:t>
      </w:r>
    </w:p>
    <w:p w:rsidR="00E26C8E" w:rsidRPr="00E26C8E" w:rsidRDefault="00E26C8E" w:rsidP="00E26C8E">
      <w:pPr>
        <w:spacing w:after="0" w:line="240" w:lineRule="auto"/>
        <w:jc w:val="left"/>
        <w:rPr>
          <w:rFonts w:eastAsia="Times New Roman"/>
          <w:i/>
          <w:szCs w:val="17"/>
        </w:rPr>
      </w:pPr>
      <w:r w:rsidRPr="00E26C8E">
        <w:rPr>
          <w:rFonts w:eastAsia="Times New Roman"/>
          <w:i/>
          <w:szCs w:val="17"/>
        </w:rPr>
        <w:br w:type="page"/>
      </w:r>
    </w:p>
    <w:p w:rsidR="00E26C8E" w:rsidRPr="00E26C8E" w:rsidRDefault="00E26C8E" w:rsidP="00E26C8E">
      <w:pPr>
        <w:ind w:left="1418" w:hanging="567"/>
        <w:rPr>
          <w:rFonts w:eastAsia="Times New Roman"/>
          <w:i/>
          <w:szCs w:val="17"/>
        </w:rPr>
      </w:pPr>
      <w:r w:rsidRPr="00E26C8E">
        <w:rPr>
          <w:rFonts w:eastAsia="Times New Roman"/>
          <w:i/>
          <w:szCs w:val="17"/>
        </w:rPr>
        <w:t>2.7.3</w:t>
      </w:r>
      <w:r w:rsidRPr="00E26C8E">
        <w:rPr>
          <w:rFonts w:eastAsia="Times New Roman"/>
          <w:i/>
          <w:szCs w:val="17"/>
        </w:rPr>
        <w:tab/>
        <w:t>Public and private services and utilities used by the operation</w:t>
      </w:r>
    </w:p>
    <w:p w:rsidR="00E26C8E" w:rsidRPr="00E26C8E" w:rsidRDefault="00E26C8E" w:rsidP="00E26C8E">
      <w:pPr>
        <w:ind w:left="1418"/>
        <w:rPr>
          <w:rFonts w:eastAsia="Times New Roman"/>
          <w:szCs w:val="17"/>
        </w:rPr>
      </w:pPr>
      <w:r w:rsidRPr="00E26C8E">
        <w:rPr>
          <w:rFonts w:eastAsia="Times New Roman"/>
          <w:szCs w:val="17"/>
        </w:rPr>
        <w:t>Describe: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sources of services or utilities that are, or are to be supplied to the site, (e.g. power, water, telecommunications);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routes for connection if any new connections to public infrastructure are required;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any existing surface infrastructure that has been and/or the extent it may be affected by the operations.</w:t>
      </w:r>
    </w:p>
    <w:p w:rsidR="00E26C8E" w:rsidRPr="00E26C8E" w:rsidRDefault="00E26C8E" w:rsidP="00E26C8E">
      <w:pPr>
        <w:ind w:left="1418" w:hanging="567"/>
        <w:rPr>
          <w:rFonts w:eastAsia="Times New Roman"/>
          <w:i/>
          <w:szCs w:val="17"/>
        </w:rPr>
      </w:pPr>
      <w:r w:rsidRPr="00E26C8E">
        <w:rPr>
          <w:rFonts w:eastAsia="Times New Roman"/>
          <w:i/>
          <w:szCs w:val="17"/>
        </w:rPr>
        <w:t>2.7.4</w:t>
      </w:r>
      <w:r w:rsidRPr="00E26C8E">
        <w:rPr>
          <w:rFonts w:eastAsia="Times New Roman"/>
          <w:i/>
          <w:szCs w:val="17"/>
        </w:rPr>
        <w:tab/>
        <w:t>Visual screening</w:t>
      </w:r>
    </w:p>
    <w:p w:rsidR="00E26C8E" w:rsidRPr="00E26C8E" w:rsidRDefault="00E26C8E" w:rsidP="00E26C8E">
      <w:pPr>
        <w:ind w:left="1418"/>
        <w:rPr>
          <w:rFonts w:eastAsia="Times New Roman"/>
          <w:szCs w:val="17"/>
        </w:rPr>
      </w:pPr>
      <w:r w:rsidRPr="00E26C8E">
        <w:rPr>
          <w:rFonts w:eastAsia="Times New Roman"/>
          <w:szCs w:val="17"/>
        </w:rPr>
        <w:t>Describe the type of screening, including existing or planned vegetation (i.e. species and density of plantings) and show on a map (as per 7.1.1.1).</w:t>
      </w:r>
    </w:p>
    <w:p w:rsidR="00E26C8E" w:rsidRPr="00E26C8E" w:rsidRDefault="00E26C8E" w:rsidP="00E26C8E">
      <w:pPr>
        <w:ind w:left="1418" w:hanging="567"/>
        <w:rPr>
          <w:rFonts w:eastAsia="Times New Roman"/>
          <w:i/>
          <w:szCs w:val="17"/>
        </w:rPr>
      </w:pPr>
      <w:r w:rsidRPr="00E26C8E">
        <w:rPr>
          <w:rFonts w:eastAsia="Times New Roman"/>
          <w:i/>
          <w:szCs w:val="17"/>
        </w:rPr>
        <w:t>2.7.5</w:t>
      </w:r>
      <w:r w:rsidRPr="00E26C8E">
        <w:rPr>
          <w:rFonts w:eastAsia="Times New Roman"/>
          <w:i/>
          <w:szCs w:val="17"/>
        </w:rPr>
        <w:tab/>
        <w:t>Fuel and chemical storage</w:t>
      </w:r>
    </w:p>
    <w:p w:rsidR="00E26C8E" w:rsidRPr="00E26C8E" w:rsidRDefault="00E26C8E" w:rsidP="00E26C8E">
      <w:pPr>
        <w:ind w:left="1418"/>
        <w:rPr>
          <w:rFonts w:eastAsia="Times New Roman"/>
          <w:szCs w:val="17"/>
        </w:rPr>
      </w:pPr>
      <w:r w:rsidRPr="00E26C8E">
        <w:rPr>
          <w:rFonts w:eastAsia="Times New Roman"/>
          <w:szCs w:val="17"/>
        </w:rPr>
        <w:t>For all fuels and chemicals stored on site show the location of storage on a map (as per 7.1.1.1) and provide detail on:</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types of bulk chemicals and the volumes of each;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bunding and containment for all chemical and fuel storage vessels.</w:t>
      </w:r>
    </w:p>
    <w:p w:rsidR="00E26C8E" w:rsidRPr="00E26C8E" w:rsidRDefault="00E26C8E" w:rsidP="00E26C8E">
      <w:pPr>
        <w:ind w:left="1418" w:hanging="567"/>
        <w:rPr>
          <w:rFonts w:eastAsia="Times New Roman"/>
          <w:i/>
          <w:szCs w:val="17"/>
        </w:rPr>
      </w:pPr>
      <w:r w:rsidRPr="00E26C8E">
        <w:rPr>
          <w:rFonts w:eastAsia="Times New Roman"/>
          <w:i/>
          <w:szCs w:val="17"/>
        </w:rPr>
        <w:t>2.7.6</w:t>
      </w:r>
      <w:r w:rsidRPr="00E26C8E">
        <w:rPr>
          <w:rFonts w:eastAsia="Times New Roman"/>
          <w:i/>
          <w:szCs w:val="17"/>
        </w:rPr>
        <w:tab/>
        <w:t>Site security</w:t>
      </w:r>
    </w:p>
    <w:p w:rsidR="00E26C8E" w:rsidRPr="00E26C8E" w:rsidRDefault="00E26C8E" w:rsidP="00E26C8E">
      <w:pPr>
        <w:ind w:left="1418"/>
        <w:rPr>
          <w:rFonts w:eastAsia="Times New Roman"/>
          <w:szCs w:val="17"/>
        </w:rPr>
      </w:pPr>
      <w:r w:rsidRPr="00E26C8E">
        <w:rPr>
          <w:rFonts w:eastAsia="Times New Roman"/>
          <w:szCs w:val="17"/>
        </w:rPr>
        <w:t>Describe infrastructure and measures that will be adopted to prevent unauthorised access by the public, including, (but not limited to) fencing and signage.</w:t>
      </w:r>
    </w:p>
    <w:p w:rsidR="00E26C8E" w:rsidRPr="00E26C8E" w:rsidRDefault="00E26C8E" w:rsidP="00E26C8E">
      <w:pPr>
        <w:ind w:left="1418" w:hanging="567"/>
        <w:rPr>
          <w:rFonts w:eastAsia="Times New Roman"/>
          <w:i/>
          <w:szCs w:val="17"/>
        </w:rPr>
      </w:pPr>
      <w:r w:rsidRPr="00E26C8E">
        <w:rPr>
          <w:rFonts w:eastAsia="Times New Roman"/>
          <w:i/>
          <w:szCs w:val="17"/>
        </w:rPr>
        <w:t>2.7.7</w:t>
      </w:r>
      <w:r w:rsidRPr="00E26C8E">
        <w:rPr>
          <w:rFonts w:eastAsia="Times New Roman"/>
          <w:i/>
          <w:szCs w:val="17"/>
        </w:rPr>
        <w:tab/>
        <w:t>Stormwater, silt control and drainage</w:t>
      </w:r>
    </w:p>
    <w:p w:rsidR="00E26C8E" w:rsidRPr="00E26C8E" w:rsidRDefault="00E26C8E" w:rsidP="00E26C8E">
      <w:pPr>
        <w:ind w:left="1418"/>
        <w:rPr>
          <w:rFonts w:eastAsia="Times New Roman"/>
          <w:szCs w:val="17"/>
        </w:rPr>
      </w:pPr>
      <w:r w:rsidRPr="00E26C8E">
        <w:rPr>
          <w:rFonts w:eastAsia="Times New Roman"/>
          <w:szCs w:val="17"/>
        </w:rPr>
        <w:t>Describe and show on a map (as per 7.1.1.1):</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location and design of sediment management structures;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management and disposal of silt;</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strategies to control runoff on disturbed areas and rehabilitated areas;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storage, diversion and release of clean water;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 whole of site stormwater balance, if not included in the water balance in clause 2.6.2.</w:t>
      </w:r>
    </w:p>
    <w:p w:rsidR="00E26C8E" w:rsidRPr="00E26C8E" w:rsidRDefault="00E26C8E" w:rsidP="00E26C8E">
      <w:pPr>
        <w:ind w:left="1418" w:hanging="567"/>
        <w:rPr>
          <w:rFonts w:eastAsia="Times New Roman"/>
          <w:i/>
          <w:szCs w:val="17"/>
        </w:rPr>
      </w:pPr>
      <w:r w:rsidRPr="00E26C8E">
        <w:rPr>
          <w:rFonts w:eastAsia="Times New Roman"/>
          <w:i/>
          <w:szCs w:val="17"/>
        </w:rPr>
        <w:t>2.7.8</w:t>
      </w:r>
      <w:r w:rsidRPr="00E26C8E">
        <w:rPr>
          <w:rFonts w:eastAsia="Times New Roman"/>
          <w:i/>
          <w:szCs w:val="17"/>
        </w:rPr>
        <w:tab/>
        <w:t>Care and maintenance</w:t>
      </w:r>
    </w:p>
    <w:p w:rsidR="00E26C8E" w:rsidRPr="00E26C8E" w:rsidRDefault="00E26C8E" w:rsidP="00E26C8E">
      <w:pPr>
        <w:ind w:left="1418"/>
        <w:rPr>
          <w:rFonts w:eastAsia="Times New Roman"/>
          <w:szCs w:val="17"/>
        </w:rPr>
      </w:pPr>
      <w:r w:rsidRPr="00E26C8E">
        <w:rPr>
          <w:rFonts w:eastAsia="Times New Roman"/>
          <w:szCs w:val="17"/>
        </w:rPr>
        <w:t>Detail all activities and strategies required for care and maintenance of the solid waste facilities, should the mine suspend production, but not progress immediately to closure.</w:t>
      </w:r>
    </w:p>
    <w:p w:rsidR="00E26C8E" w:rsidRPr="00E26C8E" w:rsidRDefault="00E26C8E" w:rsidP="00E26C8E">
      <w:pPr>
        <w:ind w:left="1418" w:hanging="567"/>
        <w:rPr>
          <w:rFonts w:eastAsia="Times New Roman"/>
          <w:i/>
          <w:szCs w:val="17"/>
        </w:rPr>
      </w:pPr>
      <w:r w:rsidRPr="00E26C8E">
        <w:rPr>
          <w:rFonts w:eastAsia="Times New Roman"/>
          <w:i/>
          <w:szCs w:val="17"/>
        </w:rPr>
        <w:t>2.7.9</w:t>
      </w:r>
      <w:r w:rsidRPr="00E26C8E">
        <w:rPr>
          <w:rFonts w:eastAsia="Times New Roman"/>
          <w:i/>
          <w:szCs w:val="17"/>
        </w:rPr>
        <w:tab/>
        <w:t>Supporting surface infrastructure rehabilitation strategies and timing</w:t>
      </w:r>
    </w:p>
    <w:p w:rsidR="00E26C8E" w:rsidRPr="00E26C8E" w:rsidRDefault="00E26C8E" w:rsidP="00E26C8E">
      <w:pPr>
        <w:ind w:left="1418"/>
        <w:rPr>
          <w:rFonts w:eastAsia="Times New Roman"/>
          <w:szCs w:val="17"/>
        </w:rPr>
      </w:pPr>
      <w:r w:rsidRPr="00E26C8E">
        <w:rPr>
          <w:rFonts w:eastAsia="Times New Roman"/>
          <w:szCs w:val="17"/>
        </w:rPr>
        <w:t>Detail all activities, strategies and designs relating to mine closure for removal, disposal and rehabilitation of supporting surface infrastructure, including timing of these activities.</w:t>
      </w:r>
    </w:p>
    <w:p w:rsidR="00E26C8E" w:rsidRPr="00E26C8E" w:rsidRDefault="00E26C8E" w:rsidP="00E26C8E">
      <w:pPr>
        <w:ind w:left="851" w:hanging="425"/>
        <w:rPr>
          <w:rFonts w:eastAsia="Times New Roman"/>
          <w:b/>
          <w:szCs w:val="17"/>
        </w:rPr>
      </w:pPr>
      <w:r w:rsidRPr="00E26C8E">
        <w:rPr>
          <w:rFonts w:eastAsia="Times New Roman"/>
          <w:b/>
          <w:szCs w:val="17"/>
        </w:rPr>
        <w:t>2.8</w:t>
      </w:r>
      <w:r w:rsidRPr="00E26C8E">
        <w:rPr>
          <w:rFonts w:eastAsia="Times New Roman"/>
          <w:b/>
          <w:szCs w:val="17"/>
        </w:rPr>
        <w:tab/>
        <w:t>Solid waste facilities – non-radioactive and radioactive waste</w:t>
      </w:r>
    </w:p>
    <w:p w:rsidR="00E26C8E" w:rsidRPr="00E26C8E" w:rsidRDefault="00E26C8E" w:rsidP="00E26C8E">
      <w:pPr>
        <w:ind w:left="1418" w:hanging="567"/>
        <w:rPr>
          <w:rFonts w:eastAsia="Times New Roman"/>
          <w:i/>
          <w:szCs w:val="17"/>
        </w:rPr>
      </w:pPr>
      <w:r w:rsidRPr="00E26C8E">
        <w:rPr>
          <w:rFonts w:eastAsia="Times New Roman"/>
          <w:i/>
          <w:szCs w:val="17"/>
        </w:rPr>
        <w:t>2.8.1</w:t>
      </w:r>
      <w:r w:rsidRPr="00E26C8E">
        <w:rPr>
          <w:rFonts w:eastAsia="Times New Roman"/>
          <w:i/>
          <w:szCs w:val="17"/>
        </w:rPr>
        <w:tab/>
        <w:t>Description of solid waste generated</w:t>
      </w:r>
    </w:p>
    <w:p w:rsidR="00E26C8E" w:rsidRPr="00E26C8E" w:rsidRDefault="00E26C8E" w:rsidP="00E26C8E">
      <w:pPr>
        <w:ind w:left="1418"/>
        <w:rPr>
          <w:rFonts w:eastAsia="Times New Roman"/>
          <w:szCs w:val="17"/>
        </w:rPr>
      </w:pPr>
      <w:r w:rsidRPr="00E26C8E">
        <w:rPr>
          <w:rFonts w:eastAsia="Times New Roman"/>
          <w:szCs w:val="17"/>
        </w:rPr>
        <w:t>Detail the types, composition and quantities of all solid waste generated throughout the mining and processing operation, including:</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residue and precipitates in ponds and tanks (pregnant and barren);</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industrial waste, such as workshop waste, tyres, drums and oil filters;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domestic wastes;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solid waste from clean up of fuel and chemical spills;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radioactive waste;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estimated volumes and chemical composition of drilling waste.</w:t>
      </w:r>
    </w:p>
    <w:p w:rsidR="00E26C8E" w:rsidRPr="00E26C8E" w:rsidRDefault="00E26C8E" w:rsidP="00E26C8E">
      <w:pPr>
        <w:ind w:left="1418"/>
        <w:rPr>
          <w:rFonts w:eastAsia="Times New Roman"/>
          <w:szCs w:val="17"/>
        </w:rPr>
      </w:pPr>
      <w:r w:rsidRPr="00E26C8E">
        <w:rPr>
          <w:rFonts w:eastAsia="Times New Roman"/>
          <w:szCs w:val="17"/>
        </w:rPr>
        <w:t>For each waste type, describe the method of disposal:</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off-site disposal;</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on-site waste disposal;</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recycling (either on site or off site);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contingency disposal arrangements in the event the preferred disposal method becomes unavailable during the life of the operation.</w:t>
      </w:r>
    </w:p>
    <w:p w:rsidR="00E26C8E" w:rsidRPr="00E26C8E" w:rsidRDefault="00E26C8E" w:rsidP="00E26C8E">
      <w:pPr>
        <w:ind w:left="1418" w:hanging="567"/>
        <w:rPr>
          <w:rFonts w:eastAsia="Times New Roman"/>
          <w:i/>
          <w:szCs w:val="17"/>
        </w:rPr>
      </w:pPr>
      <w:r w:rsidRPr="00E26C8E">
        <w:rPr>
          <w:rFonts w:eastAsia="Times New Roman"/>
          <w:i/>
          <w:szCs w:val="17"/>
        </w:rPr>
        <w:t>2.8.2</w:t>
      </w:r>
      <w:r w:rsidRPr="00E26C8E">
        <w:rPr>
          <w:rFonts w:eastAsia="Times New Roman"/>
          <w:i/>
          <w:szCs w:val="17"/>
        </w:rPr>
        <w:tab/>
        <w:t>Design of waste storage, treatment and disposal facilities</w:t>
      </w:r>
    </w:p>
    <w:p w:rsidR="00E26C8E" w:rsidRPr="00E26C8E" w:rsidRDefault="00E26C8E" w:rsidP="00E26C8E">
      <w:pPr>
        <w:ind w:left="1418"/>
        <w:rPr>
          <w:rFonts w:eastAsia="Times New Roman"/>
          <w:szCs w:val="17"/>
        </w:rPr>
      </w:pPr>
      <w:r w:rsidRPr="00E26C8E">
        <w:rPr>
          <w:rFonts w:eastAsia="Times New Roman"/>
          <w:szCs w:val="17"/>
        </w:rPr>
        <w:t>Detail disposal of both non-radioactive and radioactive wastes, including:</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location on a map (as per 7.1.1.1), size, shape and depth of permanent and temporary waste storage facilities;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dimensions and volumes of waste (taking into account any void space);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method of construction;</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types of materials likely to be disposed of in the facility;</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type and thickness of liners;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leakage collection and detection systems;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type of base;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capping methods;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method of monitoring for leachate.</w:t>
      </w:r>
    </w:p>
    <w:p w:rsidR="00E26C8E" w:rsidRPr="00E26C8E" w:rsidRDefault="00E26C8E" w:rsidP="00E26C8E">
      <w:pPr>
        <w:spacing w:after="0" w:line="240" w:lineRule="auto"/>
        <w:jc w:val="left"/>
        <w:rPr>
          <w:rFonts w:eastAsia="Times New Roman"/>
          <w:i/>
          <w:szCs w:val="17"/>
        </w:rPr>
      </w:pPr>
      <w:r w:rsidRPr="00E26C8E">
        <w:rPr>
          <w:rFonts w:eastAsia="Times New Roman"/>
          <w:i/>
          <w:szCs w:val="17"/>
        </w:rPr>
        <w:br w:type="page"/>
      </w:r>
    </w:p>
    <w:p w:rsidR="00E26C8E" w:rsidRPr="00E26C8E" w:rsidRDefault="00E26C8E" w:rsidP="00E26C8E">
      <w:pPr>
        <w:ind w:left="1418" w:hanging="567"/>
        <w:rPr>
          <w:rFonts w:eastAsia="Times New Roman"/>
          <w:i/>
          <w:szCs w:val="17"/>
        </w:rPr>
      </w:pPr>
      <w:r w:rsidRPr="00E26C8E">
        <w:rPr>
          <w:rFonts w:eastAsia="Times New Roman"/>
          <w:i/>
          <w:szCs w:val="17"/>
        </w:rPr>
        <w:t>2.8.3</w:t>
      </w:r>
      <w:r w:rsidRPr="00E26C8E">
        <w:rPr>
          <w:rFonts w:eastAsia="Times New Roman"/>
          <w:i/>
          <w:szCs w:val="17"/>
        </w:rPr>
        <w:tab/>
        <w:t>Care and maintenance</w:t>
      </w:r>
    </w:p>
    <w:p w:rsidR="00E26C8E" w:rsidRPr="00E26C8E" w:rsidRDefault="00E26C8E" w:rsidP="00E26C8E">
      <w:pPr>
        <w:ind w:left="1418"/>
        <w:rPr>
          <w:rFonts w:eastAsia="Times New Roman"/>
          <w:szCs w:val="17"/>
        </w:rPr>
      </w:pPr>
      <w:r w:rsidRPr="00E26C8E">
        <w:rPr>
          <w:rFonts w:eastAsia="Times New Roman"/>
          <w:szCs w:val="17"/>
        </w:rPr>
        <w:t>Detail all activities and strategies required for care and maintenance of the solid waste facilities, should the mine suspend production, but not progress immediately to closure.</w:t>
      </w:r>
    </w:p>
    <w:p w:rsidR="00E26C8E" w:rsidRPr="00E26C8E" w:rsidRDefault="00E26C8E" w:rsidP="00E26C8E">
      <w:pPr>
        <w:ind w:left="1418" w:hanging="567"/>
        <w:rPr>
          <w:rFonts w:eastAsia="Times New Roman"/>
          <w:i/>
          <w:szCs w:val="17"/>
        </w:rPr>
      </w:pPr>
      <w:r w:rsidRPr="00E26C8E">
        <w:rPr>
          <w:rFonts w:eastAsia="Times New Roman"/>
          <w:i/>
          <w:szCs w:val="17"/>
        </w:rPr>
        <w:t>2.8.4</w:t>
      </w:r>
      <w:r w:rsidRPr="00E26C8E">
        <w:rPr>
          <w:rFonts w:eastAsia="Times New Roman"/>
          <w:i/>
          <w:szCs w:val="17"/>
        </w:rPr>
        <w:tab/>
        <w:t>Solid waste storage, treatment and disposal infrastructure rehabilitation strategies and timing</w:t>
      </w:r>
    </w:p>
    <w:p w:rsidR="00E26C8E" w:rsidRPr="00E26C8E" w:rsidRDefault="00E26C8E" w:rsidP="00E26C8E">
      <w:pPr>
        <w:ind w:left="1418"/>
        <w:rPr>
          <w:rFonts w:eastAsia="Times New Roman"/>
          <w:szCs w:val="17"/>
        </w:rPr>
      </w:pPr>
      <w:r w:rsidRPr="00E26C8E">
        <w:rPr>
          <w:rFonts w:eastAsia="Times New Roman"/>
          <w:szCs w:val="17"/>
        </w:rPr>
        <w:t>Detail all activities, strategies and designs relating to mine closure for removal, disposal and rehabilitation of solid waste facilities, including timing of these activities.</w:t>
      </w:r>
    </w:p>
    <w:p w:rsidR="00E26C8E" w:rsidRPr="00E26C8E" w:rsidRDefault="00E26C8E" w:rsidP="00E26C8E">
      <w:pPr>
        <w:ind w:left="851" w:hanging="425"/>
        <w:rPr>
          <w:rFonts w:eastAsia="Times New Roman"/>
          <w:b/>
          <w:szCs w:val="17"/>
        </w:rPr>
      </w:pPr>
      <w:r w:rsidRPr="00E26C8E">
        <w:rPr>
          <w:rFonts w:eastAsia="Times New Roman"/>
          <w:b/>
          <w:szCs w:val="17"/>
        </w:rPr>
        <w:t>2.9</w:t>
      </w:r>
      <w:r w:rsidRPr="00E26C8E">
        <w:rPr>
          <w:rFonts w:eastAsia="Times New Roman"/>
          <w:b/>
          <w:szCs w:val="17"/>
        </w:rPr>
        <w:tab/>
        <w:t>Non-radioactive Liquid Waste</w:t>
      </w:r>
    </w:p>
    <w:p w:rsidR="00E26C8E" w:rsidRPr="00E26C8E" w:rsidRDefault="00E26C8E" w:rsidP="00E26C8E">
      <w:pPr>
        <w:ind w:left="1418" w:hanging="567"/>
        <w:rPr>
          <w:rFonts w:eastAsia="Times New Roman"/>
          <w:i/>
          <w:szCs w:val="17"/>
        </w:rPr>
      </w:pPr>
      <w:r w:rsidRPr="00E26C8E">
        <w:rPr>
          <w:rFonts w:eastAsia="Times New Roman"/>
          <w:i/>
          <w:szCs w:val="17"/>
        </w:rPr>
        <w:t>2.9.1</w:t>
      </w:r>
      <w:r w:rsidRPr="00E26C8E">
        <w:rPr>
          <w:rFonts w:eastAsia="Times New Roman"/>
          <w:i/>
          <w:szCs w:val="17"/>
        </w:rPr>
        <w:tab/>
        <w:t>Description of liquid waste generated</w:t>
      </w:r>
    </w:p>
    <w:p w:rsidR="00E26C8E" w:rsidRPr="00E26C8E" w:rsidRDefault="00E26C8E" w:rsidP="00E26C8E">
      <w:pPr>
        <w:ind w:left="1418"/>
        <w:rPr>
          <w:rFonts w:eastAsia="Times New Roman"/>
          <w:szCs w:val="17"/>
        </w:rPr>
      </w:pPr>
      <w:r w:rsidRPr="00E26C8E">
        <w:rPr>
          <w:rFonts w:eastAsia="Times New Roman"/>
          <w:szCs w:val="17"/>
        </w:rPr>
        <w:t>Detail the types, composition and quantities of liquid waste generated through mining activities, including:</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oils and chemicals;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brine from reverse osmosis plants;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wastewater and sewage treatment plants;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hazardous liquid wastes.</w:t>
      </w:r>
    </w:p>
    <w:p w:rsidR="00E26C8E" w:rsidRPr="00E26C8E" w:rsidRDefault="00E26C8E" w:rsidP="00E26C8E">
      <w:pPr>
        <w:ind w:left="1418" w:hanging="567"/>
        <w:rPr>
          <w:rFonts w:eastAsia="Times New Roman"/>
          <w:i/>
          <w:szCs w:val="17"/>
        </w:rPr>
      </w:pPr>
      <w:r w:rsidRPr="00E26C8E">
        <w:rPr>
          <w:rFonts w:eastAsia="Times New Roman"/>
          <w:i/>
          <w:szCs w:val="17"/>
        </w:rPr>
        <w:t>2.9.2</w:t>
      </w:r>
      <w:r w:rsidRPr="00E26C8E">
        <w:rPr>
          <w:rFonts w:eastAsia="Times New Roman"/>
          <w:i/>
          <w:szCs w:val="17"/>
        </w:rPr>
        <w:tab/>
        <w:t>Description of liquid waste treatment, storage and disposal facilities</w:t>
      </w:r>
    </w:p>
    <w:p w:rsidR="00E26C8E" w:rsidRPr="00E26C8E" w:rsidRDefault="00E26C8E" w:rsidP="00E26C8E">
      <w:pPr>
        <w:ind w:left="1418"/>
        <w:rPr>
          <w:rFonts w:eastAsia="Times New Roman"/>
          <w:szCs w:val="17"/>
        </w:rPr>
      </w:pPr>
      <w:r w:rsidRPr="00E26C8E">
        <w:rPr>
          <w:rFonts w:eastAsia="Times New Roman"/>
          <w:szCs w:val="17"/>
        </w:rPr>
        <w:t>Detail the liquid waste treatment, storage and disposal systems, including:</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type, size and location (on a map as per 7.1.1.1) of sewage systems; state if the system is required to be approved by the relevant authority;</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type of other wastewater treatment to be undertaken on site, including location, layout, treatment process and final disposal;</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method of disposal of liquid waste streams (injection into aquifer, evaporation etc.);</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location on a map and cross sections (as per 7.1.1.1 and 7.2.1.1) of disposal wells or evaporation ponds;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if aquifer disposal is to be undertaken, the estimated capacity and disposal rates;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if evaporation disposal is to be undertaken, estimated evaporation rates;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construction details for evaporation ponds and embankment height;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temporary storage facilities for wastes to be sent off site for recycling or disposal.</w:t>
      </w:r>
    </w:p>
    <w:p w:rsidR="00E26C8E" w:rsidRPr="00E26C8E" w:rsidRDefault="00E26C8E" w:rsidP="00E26C8E">
      <w:pPr>
        <w:ind w:left="1418" w:hanging="567"/>
        <w:rPr>
          <w:rFonts w:eastAsia="Times New Roman"/>
          <w:i/>
          <w:szCs w:val="17"/>
        </w:rPr>
      </w:pPr>
      <w:r w:rsidRPr="00E26C8E">
        <w:rPr>
          <w:rFonts w:eastAsia="Times New Roman"/>
          <w:i/>
          <w:szCs w:val="17"/>
        </w:rPr>
        <w:t>2.9.3</w:t>
      </w:r>
      <w:r w:rsidRPr="00E26C8E">
        <w:rPr>
          <w:rFonts w:eastAsia="Times New Roman"/>
          <w:i/>
          <w:szCs w:val="17"/>
        </w:rPr>
        <w:tab/>
        <w:t>Care and maintenance</w:t>
      </w:r>
    </w:p>
    <w:p w:rsidR="00E26C8E" w:rsidRPr="00E26C8E" w:rsidRDefault="00E26C8E" w:rsidP="00E26C8E">
      <w:pPr>
        <w:ind w:left="1418"/>
        <w:rPr>
          <w:rFonts w:eastAsia="Times New Roman"/>
          <w:szCs w:val="17"/>
        </w:rPr>
      </w:pPr>
      <w:r w:rsidRPr="00E26C8E">
        <w:rPr>
          <w:rFonts w:eastAsia="Times New Roman"/>
          <w:szCs w:val="17"/>
        </w:rPr>
        <w:t>Detail all activities and strategies required for care and maintenance of the non-radioactive liquid waste facilities, should the mine suspend production, but not progress immediately to closure.</w:t>
      </w:r>
    </w:p>
    <w:p w:rsidR="00E26C8E" w:rsidRPr="00E26C8E" w:rsidRDefault="00E26C8E" w:rsidP="00E26C8E">
      <w:pPr>
        <w:ind w:left="1418" w:hanging="567"/>
        <w:rPr>
          <w:rFonts w:eastAsia="Times New Roman"/>
          <w:i/>
          <w:szCs w:val="17"/>
        </w:rPr>
      </w:pPr>
      <w:r w:rsidRPr="00E26C8E">
        <w:rPr>
          <w:rFonts w:eastAsia="Times New Roman"/>
          <w:i/>
          <w:szCs w:val="17"/>
        </w:rPr>
        <w:t>2.9.4</w:t>
      </w:r>
      <w:r w:rsidRPr="00E26C8E">
        <w:rPr>
          <w:rFonts w:eastAsia="Times New Roman"/>
          <w:i/>
          <w:szCs w:val="17"/>
        </w:rPr>
        <w:tab/>
        <w:t>Non-radioactive liquid waste treatment, storage and disposal infrastructure rehabilitation strategies and timing</w:t>
      </w:r>
    </w:p>
    <w:p w:rsidR="00E26C8E" w:rsidRPr="00E26C8E" w:rsidRDefault="00E26C8E" w:rsidP="00E26C8E">
      <w:pPr>
        <w:ind w:left="1418"/>
        <w:rPr>
          <w:rFonts w:eastAsia="Times New Roman"/>
          <w:szCs w:val="17"/>
        </w:rPr>
      </w:pPr>
      <w:r w:rsidRPr="00E26C8E">
        <w:rPr>
          <w:rFonts w:eastAsia="Times New Roman"/>
          <w:szCs w:val="17"/>
        </w:rPr>
        <w:t>Detail all activities, strategies and designs relating to mine closure for removal, disposal and rehabilitation of non-radioactive liquid waste storage, treatment and disposal infrastructure, including timing of these activities.</w:t>
      </w:r>
    </w:p>
    <w:p w:rsidR="00E26C8E" w:rsidRPr="00E26C8E" w:rsidRDefault="00E26C8E" w:rsidP="00E26C8E">
      <w:pPr>
        <w:ind w:left="851" w:hanging="425"/>
        <w:rPr>
          <w:rFonts w:eastAsia="Times New Roman"/>
          <w:b/>
          <w:szCs w:val="17"/>
        </w:rPr>
      </w:pPr>
      <w:r w:rsidRPr="00E26C8E">
        <w:rPr>
          <w:rFonts w:eastAsia="Times New Roman"/>
          <w:b/>
          <w:szCs w:val="17"/>
        </w:rPr>
        <w:t>2.10</w:t>
      </w:r>
      <w:r w:rsidRPr="00E26C8E">
        <w:rPr>
          <w:rFonts w:eastAsia="Times New Roman"/>
          <w:b/>
          <w:szCs w:val="17"/>
        </w:rPr>
        <w:tab/>
        <w:t>Radioactive Liquid Waste</w:t>
      </w:r>
    </w:p>
    <w:p w:rsidR="00E26C8E" w:rsidRPr="00E26C8E" w:rsidRDefault="00E26C8E" w:rsidP="00E26C8E">
      <w:pPr>
        <w:ind w:left="1418" w:hanging="567"/>
        <w:rPr>
          <w:rFonts w:eastAsia="Times New Roman"/>
          <w:i/>
          <w:szCs w:val="17"/>
        </w:rPr>
      </w:pPr>
      <w:r w:rsidRPr="00E26C8E">
        <w:rPr>
          <w:rFonts w:eastAsia="Times New Roman"/>
          <w:i/>
          <w:szCs w:val="17"/>
        </w:rPr>
        <w:t>2.10.1</w:t>
      </w:r>
      <w:r w:rsidRPr="00E26C8E">
        <w:rPr>
          <w:rFonts w:eastAsia="Times New Roman"/>
          <w:i/>
          <w:szCs w:val="17"/>
        </w:rPr>
        <w:tab/>
        <w:t>Description of radioactive liquid waste generated</w:t>
      </w:r>
    </w:p>
    <w:p w:rsidR="00E26C8E" w:rsidRPr="00E26C8E" w:rsidRDefault="00E26C8E" w:rsidP="00E26C8E">
      <w:pPr>
        <w:ind w:left="1418"/>
        <w:rPr>
          <w:rFonts w:eastAsia="Times New Roman"/>
          <w:szCs w:val="17"/>
        </w:rPr>
      </w:pPr>
      <w:r w:rsidRPr="00E26C8E">
        <w:rPr>
          <w:rFonts w:eastAsia="Times New Roman"/>
          <w:szCs w:val="17"/>
        </w:rPr>
        <w:t>Detail the types, composition and quantities of radioactive liquid waste generated through mining activities, in particular, bleed stream and other disposal fluids relating to the mining activity, including liquid waste stored in:</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retention ponds;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evaporation ponds;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injection of waste into designated aquifers; and</w:t>
      </w:r>
    </w:p>
    <w:p w:rsidR="00E26C8E" w:rsidRPr="00E26C8E" w:rsidRDefault="00E26C8E" w:rsidP="00E26C8E">
      <w:pPr>
        <w:ind w:left="1418"/>
        <w:rPr>
          <w:rFonts w:eastAsia="Times New Roman"/>
          <w:szCs w:val="17"/>
        </w:rPr>
      </w:pPr>
      <w:r w:rsidRPr="00E26C8E">
        <w:rPr>
          <w:rFonts w:eastAsia="Times New Roman"/>
          <w:szCs w:val="17"/>
        </w:rPr>
        <w:t>Describe probable environmental releases deriving from the above liquid wastes (e.g. radon).</w:t>
      </w:r>
    </w:p>
    <w:p w:rsidR="00E26C8E" w:rsidRPr="00E26C8E" w:rsidRDefault="00E26C8E" w:rsidP="00E26C8E">
      <w:pPr>
        <w:ind w:left="1418"/>
        <w:rPr>
          <w:rFonts w:eastAsia="Times New Roman"/>
          <w:szCs w:val="17"/>
        </w:rPr>
      </w:pPr>
      <w:r w:rsidRPr="00E26C8E">
        <w:rPr>
          <w:rFonts w:eastAsia="Times New Roman"/>
          <w:szCs w:val="17"/>
        </w:rPr>
        <w:t>The description of the liquid wastes generated must include an anticipated chemical composition of the fluids, and the anticipated volumes of disposal.</w:t>
      </w:r>
    </w:p>
    <w:p w:rsidR="00E26C8E" w:rsidRPr="00E26C8E" w:rsidRDefault="00E26C8E" w:rsidP="00E26C8E">
      <w:pPr>
        <w:ind w:left="1418" w:hanging="567"/>
        <w:rPr>
          <w:rFonts w:eastAsia="Times New Roman"/>
          <w:i/>
          <w:szCs w:val="17"/>
        </w:rPr>
      </w:pPr>
      <w:r w:rsidRPr="00E26C8E">
        <w:rPr>
          <w:rFonts w:eastAsia="Times New Roman"/>
          <w:i/>
          <w:szCs w:val="17"/>
        </w:rPr>
        <w:t>2.10.2</w:t>
      </w:r>
      <w:r w:rsidRPr="00E26C8E">
        <w:rPr>
          <w:rFonts w:eastAsia="Times New Roman"/>
          <w:i/>
          <w:szCs w:val="17"/>
        </w:rPr>
        <w:tab/>
        <w:t>Detailed design of treatment, storage and disposal systems</w:t>
      </w:r>
    </w:p>
    <w:p w:rsidR="00E26C8E" w:rsidRPr="00E26C8E" w:rsidRDefault="00E26C8E" w:rsidP="00E26C8E">
      <w:pPr>
        <w:ind w:left="1418"/>
        <w:rPr>
          <w:rFonts w:eastAsia="Times New Roman"/>
          <w:szCs w:val="17"/>
        </w:rPr>
      </w:pPr>
      <w:r w:rsidRPr="00E26C8E">
        <w:rPr>
          <w:rFonts w:eastAsia="Times New Roman"/>
          <w:szCs w:val="17"/>
        </w:rPr>
        <w:t>Detail the radioactive liquid processing wastes generated, including:</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schematic or process flow diagram showing the progression of liquid waste through the operations;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equipment and facilities for each waste area;</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method of disposal (injection into aquifer, evaporation etc.), including:</w:t>
      </w:r>
    </w:p>
    <w:p w:rsidR="00E26C8E" w:rsidRPr="00E26C8E" w:rsidRDefault="00E26C8E" w:rsidP="00E26C8E">
      <w:pPr>
        <w:ind w:left="1985" w:hanging="284"/>
        <w:rPr>
          <w:rFonts w:eastAsia="Times New Roman"/>
          <w:szCs w:val="17"/>
        </w:rPr>
      </w:pPr>
      <w:r w:rsidRPr="00E26C8E">
        <w:rPr>
          <w:rFonts w:eastAsia="Times New Roman"/>
          <w:szCs w:val="17"/>
        </w:rPr>
        <w:t>◦</w:t>
      </w:r>
      <w:r w:rsidRPr="00E26C8E">
        <w:rPr>
          <w:rFonts w:eastAsia="Times New Roman"/>
          <w:szCs w:val="17"/>
        </w:rPr>
        <w:tab/>
        <w:t>estimated capacity and disposal rates if aquifer disposal is to be undertaken</w:t>
      </w:r>
    </w:p>
    <w:p w:rsidR="00E26C8E" w:rsidRPr="00E26C8E" w:rsidRDefault="00E26C8E" w:rsidP="00E26C8E">
      <w:pPr>
        <w:ind w:left="1985" w:hanging="284"/>
        <w:rPr>
          <w:rFonts w:eastAsia="Times New Roman"/>
          <w:szCs w:val="17"/>
        </w:rPr>
      </w:pPr>
      <w:r w:rsidRPr="00E26C8E">
        <w:rPr>
          <w:rFonts w:eastAsia="Times New Roman"/>
          <w:szCs w:val="17"/>
        </w:rPr>
        <w:t>◦</w:t>
      </w:r>
      <w:r w:rsidRPr="00E26C8E">
        <w:rPr>
          <w:rFonts w:eastAsia="Times New Roman"/>
          <w:szCs w:val="17"/>
        </w:rPr>
        <w:tab/>
        <w:t>estimated evaporation rates if evaporation disposal is to be undertaken</w:t>
      </w:r>
    </w:p>
    <w:p w:rsidR="00E26C8E" w:rsidRPr="00E26C8E" w:rsidRDefault="00E26C8E" w:rsidP="00E26C8E">
      <w:pPr>
        <w:ind w:left="1985" w:hanging="284"/>
        <w:rPr>
          <w:rFonts w:eastAsia="Times New Roman"/>
          <w:szCs w:val="17"/>
        </w:rPr>
      </w:pPr>
      <w:r w:rsidRPr="00E26C8E">
        <w:rPr>
          <w:rFonts w:eastAsia="Times New Roman"/>
          <w:szCs w:val="17"/>
        </w:rPr>
        <w:t>◦</w:t>
      </w:r>
      <w:r w:rsidRPr="00E26C8E">
        <w:rPr>
          <w:rFonts w:eastAsia="Times New Roman"/>
          <w:szCs w:val="17"/>
        </w:rPr>
        <w:tab/>
        <w:t>justification for chosen disposal option</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location of disposal wells or evaporation ponds (in terms of the site location shown on maps and cross sections (as per 7.1.1.1 and 7.2.1.1) and the hydrogeological setting if disposal is by re-injection);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construction details for evaporation ponds must include the layout of each area, dimensions, volumes and the method of pond construction.</w:t>
      </w:r>
    </w:p>
    <w:p w:rsidR="00E26C8E" w:rsidRPr="00E26C8E" w:rsidRDefault="00E26C8E" w:rsidP="00E26C8E">
      <w:pPr>
        <w:ind w:left="1418"/>
        <w:rPr>
          <w:rFonts w:eastAsia="Times New Roman"/>
          <w:szCs w:val="17"/>
        </w:rPr>
      </w:pPr>
      <w:r w:rsidRPr="00E26C8E">
        <w:rPr>
          <w:rFonts w:eastAsia="Times New Roman"/>
          <w:szCs w:val="17"/>
        </w:rPr>
        <w:t>Where radioactive liquid waste is to be re-injected to an aquifer, a prediction of the disposal plume extent and ultimate fate is required, as well as a prediction of the resulting groundwater quality (based on aqueous geochemistry). The predictions must be based on the quantified aquifer characteristics, volumes, rates and chemical makeup of liquid waste to be disposed.</w:t>
      </w:r>
    </w:p>
    <w:p w:rsidR="00E26C8E" w:rsidRPr="00E26C8E" w:rsidRDefault="00E26C8E" w:rsidP="00E26C8E">
      <w:pPr>
        <w:spacing w:after="0" w:line="240" w:lineRule="auto"/>
        <w:jc w:val="left"/>
        <w:rPr>
          <w:rFonts w:eastAsia="Times New Roman"/>
          <w:i/>
          <w:szCs w:val="17"/>
        </w:rPr>
      </w:pPr>
      <w:r w:rsidRPr="00E26C8E">
        <w:rPr>
          <w:rFonts w:eastAsia="Times New Roman"/>
          <w:i/>
          <w:szCs w:val="17"/>
        </w:rPr>
        <w:br w:type="page"/>
      </w:r>
    </w:p>
    <w:p w:rsidR="00E26C8E" w:rsidRPr="00E26C8E" w:rsidRDefault="00E26C8E" w:rsidP="00E26C8E">
      <w:pPr>
        <w:ind w:left="1418" w:hanging="567"/>
        <w:rPr>
          <w:rFonts w:eastAsia="Times New Roman"/>
          <w:i/>
          <w:szCs w:val="17"/>
        </w:rPr>
      </w:pPr>
      <w:r w:rsidRPr="00E26C8E">
        <w:rPr>
          <w:rFonts w:eastAsia="Times New Roman"/>
          <w:i/>
          <w:szCs w:val="17"/>
        </w:rPr>
        <w:t>2.10.3</w:t>
      </w:r>
      <w:r w:rsidRPr="00E26C8E">
        <w:rPr>
          <w:rFonts w:eastAsia="Times New Roman"/>
          <w:i/>
          <w:szCs w:val="17"/>
        </w:rPr>
        <w:tab/>
        <w:t>Care and maintenance</w:t>
      </w:r>
    </w:p>
    <w:p w:rsidR="00E26C8E" w:rsidRPr="00E26C8E" w:rsidRDefault="00E26C8E" w:rsidP="00E26C8E">
      <w:pPr>
        <w:ind w:left="1418"/>
        <w:rPr>
          <w:rFonts w:eastAsia="Times New Roman"/>
          <w:szCs w:val="17"/>
        </w:rPr>
      </w:pPr>
      <w:r w:rsidRPr="00E26C8E">
        <w:rPr>
          <w:rFonts w:eastAsia="Times New Roman"/>
          <w:szCs w:val="17"/>
        </w:rPr>
        <w:t>Detail all activities and strategies required for care and maintenance of the radioactive liquid waste storage, treatment and disposal systems, should the mine suspend production, but not progress immediately to closure.</w:t>
      </w:r>
    </w:p>
    <w:p w:rsidR="00E26C8E" w:rsidRPr="00E26C8E" w:rsidRDefault="00E26C8E" w:rsidP="00E26C8E">
      <w:pPr>
        <w:ind w:left="1418" w:hanging="567"/>
        <w:rPr>
          <w:rFonts w:eastAsia="Times New Roman"/>
          <w:i/>
          <w:szCs w:val="17"/>
        </w:rPr>
      </w:pPr>
      <w:r w:rsidRPr="00E26C8E">
        <w:rPr>
          <w:rFonts w:eastAsia="Times New Roman"/>
          <w:i/>
          <w:szCs w:val="17"/>
        </w:rPr>
        <w:t>2.10.4</w:t>
      </w:r>
      <w:r w:rsidRPr="00E26C8E">
        <w:rPr>
          <w:rFonts w:eastAsia="Times New Roman"/>
          <w:i/>
          <w:szCs w:val="17"/>
        </w:rPr>
        <w:tab/>
        <w:t>Radioactive liquid waste treatment, storage and disposal infrastructure rehabilitation strategies and timing</w:t>
      </w:r>
    </w:p>
    <w:p w:rsidR="00E26C8E" w:rsidRPr="00E26C8E" w:rsidRDefault="00E26C8E" w:rsidP="00E26C8E">
      <w:pPr>
        <w:ind w:left="1418"/>
        <w:rPr>
          <w:rFonts w:eastAsia="Times New Roman"/>
          <w:szCs w:val="17"/>
        </w:rPr>
      </w:pPr>
      <w:r w:rsidRPr="00E26C8E">
        <w:rPr>
          <w:rFonts w:eastAsia="Times New Roman"/>
          <w:szCs w:val="17"/>
        </w:rPr>
        <w:t>Detail all activities, strategies and designs relating to mine closure for removal, disposal and rehabilitation of radioactive liquid waste storage, treatment and disposal infrastructure, including timing of these activities.</w:t>
      </w:r>
    </w:p>
    <w:p w:rsidR="00E26C8E" w:rsidRPr="00E26C8E" w:rsidRDefault="00E26C8E" w:rsidP="00E26C8E">
      <w:pPr>
        <w:ind w:left="1418"/>
        <w:rPr>
          <w:rFonts w:eastAsia="Times New Roman"/>
          <w:szCs w:val="17"/>
        </w:rPr>
      </w:pPr>
      <w:r w:rsidRPr="00E26C8E">
        <w:rPr>
          <w:rFonts w:eastAsia="Times New Roman"/>
          <w:szCs w:val="17"/>
        </w:rPr>
        <w:t>Where natural attenuation is to be relied on for the remediation of aquifers to achieve post closure groundwater quality outcomes, include: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 description of the nature and expected rates of the attenuation processes;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predictions of the rate and extent of attenuation supported by laboratory tests and modelling;</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 demonstration that the attenuation model can be validated in under 10 years from the cessation of mining;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 contingency plan if attenuation is not demonstrated to be occurring within expected timeframes.</w:t>
      </w:r>
    </w:p>
    <w:p w:rsidR="00E26C8E" w:rsidRPr="00E26C8E" w:rsidRDefault="00E26C8E" w:rsidP="00E26C8E">
      <w:pPr>
        <w:ind w:left="851" w:hanging="425"/>
        <w:rPr>
          <w:rFonts w:eastAsia="Times New Roman"/>
          <w:b/>
          <w:szCs w:val="17"/>
        </w:rPr>
      </w:pPr>
      <w:r w:rsidRPr="00E26C8E">
        <w:rPr>
          <w:rFonts w:eastAsia="Times New Roman"/>
          <w:b/>
          <w:szCs w:val="17"/>
        </w:rPr>
        <w:t>2.11</w:t>
      </w:r>
      <w:r w:rsidRPr="00E26C8E">
        <w:rPr>
          <w:rFonts w:eastAsia="Times New Roman"/>
          <w:b/>
          <w:szCs w:val="17"/>
        </w:rPr>
        <w:tab/>
        <w:t>Vegetation Clearance</w:t>
      </w:r>
    </w:p>
    <w:p w:rsidR="00E26C8E" w:rsidRPr="00E26C8E" w:rsidRDefault="00E26C8E" w:rsidP="00E26C8E">
      <w:pPr>
        <w:ind w:left="851"/>
        <w:rPr>
          <w:rFonts w:eastAsia="Times New Roman"/>
          <w:szCs w:val="17"/>
        </w:rPr>
      </w:pPr>
      <w:r w:rsidRPr="00E26C8E">
        <w:rPr>
          <w:rFonts w:eastAsia="Times New Roman"/>
          <w:szCs w:val="17"/>
        </w:rPr>
        <w:t>If clearance of native vegetation is to occur, a Native Vegetation Management Plan (NVMP) prepared by an accredited consultant must be included with the PEPR.</w:t>
      </w:r>
    </w:p>
    <w:p w:rsidR="00E26C8E" w:rsidRPr="00E26C8E" w:rsidRDefault="00E26C8E" w:rsidP="00E26C8E">
      <w:pPr>
        <w:ind w:left="851"/>
        <w:rPr>
          <w:rFonts w:eastAsia="Times New Roman"/>
          <w:szCs w:val="17"/>
        </w:rPr>
      </w:pPr>
      <w:r w:rsidRPr="00E26C8E">
        <w:rPr>
          <w:rFonts w:eastAsia="Times New Roman"/>
          <w:szCs w:val="17"/>
        </w:rPr>
        <w:t>The NVMP must:</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describe the vegetation type to be cleared and include a map (as per 7.1.1.2) showing the proposed clearance area; and</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state the quantum of significant environmental benefit (SEB) to be gained in exchange for the clearance and describe how the SEB will be provided.</w:t>
      </w:r>
    </w:p>
    <w:p w:rsidR="00E26C8E" w:rsidRPr="00E26C8E" w:rsidRDefault="00E26C8E" w:rsidP="00E26C8E">
      <w:pPr>
        <w:ind w:left="851" w:hanging="425"/>
        <w:rPr>
          <w:rFonts w:eastAsia="Times New Roman"/>
          <w:b/>
          <w:szCs w:val="17"/>
        </w:rPr>
      </w:pPr>
      <w:r w:rsidRPr="00E26C8E">
        <w:rPr>
          <w:rFonts w:eastAsia="Times New Roman"/>
          <w:b/>
          <w:szCs w:val="17"/>
        </w:rPr>
        <w:t>2.12</w:t>
      </w:r>
      <w:r w:rsidRPr="00E26C8E">
        <w:rPr>
          <w:rFonts w:eastAsia="Times New Roman"/>
          <w:b/>
          <w:szCs w:val="17"/>
        </w:rPr>
        <w:tab/>
        <w:t>Completion</w:t>
      </w:r>
    </w:p>
    <w:p w:rsidR="00E26C8E" w:rsidRPr="00E26C8E" w:rsidRDefault="00E26C8E" w:rsidP="00E26C8E">
      <w:pPr>
        <w:ind w:left="1418" w:hanging="567"/>
        <w:rPr>
          <w:rFonts w:eastAsia="Times New Roman"/>
          <w:i/>
          <w:szCs w:val="17"/>
        </w:rPr>
      </w:pPr>
      <w:r w:rsidRPr="00E26C8E">
        <w:rPr>
          <w:rFonts w:eastAsia="Times New Roman"/>
          <w:i/>
          <w:szCs w:val="17"/>
        </w:rPr>
        <w:t>2.12.1</w:t>
      </w:r>
      <w:r w:rsidRPr="00E26C8E">
        <w:rPr>
          <w:rFonts w:eastAsia="Times New Roman"/>
          <w:i/>
          <w:szCs w:val="17"/>
        </w:rPr>
        <w:tab/>
        <w:t>Description of mine site at completion</w:t>
      </w:r>
    </w:p>
    <w:p w:rsidR="00E26C8E" w:rsidRPr="00E26C8E" w:rsidRDefault="00E26C8E" w:rsidP="00E26C8E">
      <w:pPr>
        <w:ind w:left="1418"/>
        <w:rPr>
          <w:rFonts w:eastAsia="Times New Roman"/>
          <w:szCs w:val="17"/>
        </w:rPr>
      </w:pPr>
      <w:r w:rsidRPr="00E26C8E">
        <w:rPr>
          <w:rFonts w:eastAsia="Times New Roman"/>
          <w:szCs w:val="17"/>
        </w:rPr>
        <w:t>Provide a description, plans and cross sections (as per 7.1.1.4 and 7.2.1.2) of the site as it will be at completion after all rehabilitation and closure activities have been completed, including:</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final post completion land use(s);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final post completion aquifer use(s);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vegetation covers (including native vegetation that will not be disturbed due to operations);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any infrastructure that will remain on site and will become the property and responsibility of the landowner;</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 xml:space="preserve">location and description of waste disposal areas, including any required ongoing management and, if relevant, land use restrictions; </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post completion radiological exposure assessment for the post completion land;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representative plans and cross-sections (as per 7.1.1.4 and 7.2.1.2) that show:</w:t>
      </w:r>
    </w:p>
    <w:p w:rsidR="00E26C8E" w:rsidRPr="00E26C8E" w:rsidRDefault="00E26C8E" w:rsidP="00E26C8E">
      <w:pPr>
        <w:ind w:left="1985" w:hanging="284"/>
        <w:rPr>
          <w:rFonts w:eastAsia="Times New Roman"/>
          <w:szCs w:val="17"/>
        </w:rPr>
      </w:pPr>
      <w:r w:rsidRPr="00E26C8E">
        <w:rPr>
          <w:rFonts w:eastAsia="Times New Roman"/>
          <w:szCs w:val="17"/>
        </w:rPr>
        <w:t>◦</w:t>
      </w:r>
      <w:r w:rsidRPr="00E26C8E">
        <w:rPr>
          <w:rFonts w:eastAsia="Times New Roman"/>
          <w:szCs w:val="17"/>
        </w:rPr>
        <w:tab/>
        <w:t>emplacement areas, waste disposal areas and disturbed areas;</w:t>
      </w:r>
    </w:p>
    <w:p w:rsidR="00E26C8E" w:rsidRPr="00E26C8E" w:rsidRDefault="00E26C8E" w:rsidP="00E26C8E">
      <w:pPr>
        <w:ind w:left="1985" w:hanging="284"/>
        <w:rPr>
          <w:rFonts w:eastAsia="Times New Roman"/>
          <w:szCs w:val="17"/>
        </w:rPr>
      </w:pPr>
      <w:r w:rsidRPr="00E26C8E">
        <w:rPr>
          <w:rFonts w:eastAsia="Times New Roman"/>
          <w:szCs w:val="17"/>
        </w:rPr>
        <w:t>◦</w:t>
      </w:r>
      <w:r w:rsidRPr="00E26C8E">
        <w:rPr>
          <w:rFonts w:eastAsia="Times New Roman"/>
          <w:szCs w:val="17"/>
        </w:rPr>
        <w:tab/>
        <w:t>final rehabilitated surface;</w:t>
      </w:r>
    </w:p>
    <w:p w:rsidR="00E26C8E" w:rsidRPr="00E26C8E" w:rsidRDefault="00E26C8E" w:rsidP="00E26C8E">
      <w:pPr>
        <w:ind w:left="1985" w:hanging="284"/>
        <w:rPr>
          <w:rFonts w:eastAsia="Times New Roman"/>
          <w:szCs w:val="17"/>
        </w:rPr>
      </w:pPr>
      <w:r w:rsidRPr="00E26C8E">
        <w:rPr>
          <w:rFonts w:eastAsia="Times New Roman"/>
          <w:szCs w:val="17"/>
        </w:rPr>
        <w:t>◦</w:t>
      </w:r>
      <w:r w:rsidRPr="00E26C8E">
        <w:rPr>
          <w:rFonts w:eastAsia="Times New Roman"/>
          <w:szCs w:val="17"/>
        </w:rPr>
        <w:tab/>
        <w:t xml:space="preserve">predicted extent of residual mining fluids; and </w:t>
      </w:r>
    </w:p>
    <w:p w:rsidR="00E26C8E" w:rsidRPr="00E26C8E" w:rsidRDefault="00E26C8E" w:rsidP="00E26C8E">
      <w:pPr>
        <w:ind w:left="1985" w:hanging="284"/>
        <w:rPr>
          <w:rFonts w:eastAsia="Times New Roman"/>
          <w:szCs w:val="17"/>
        </w:rPr>
      </w:pPr>
      <w:r w:rsidRPr="00E26C8E">
        <w:rPr>
          <w:rFonts w:eastAsia="Times New Roman"/>
          <w:szCs w:val="17"/>
        </w:rPr>
        <w:t>◦</w:t>
      </w:r>
      <w:r w:rsidRPr="00E26C8E">
        <w:rPr>
          <w:rFonts w:eastAsia="Times New Roman"/>
          <w:szCs w:val="17"/>
        </w:rPr>
        <w:tab/>
        <w:t>predicted extent or reinjected liquid waste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Provide a description of the mechanism for transferring responsibility for any potential residual liability (i.e. ongoing maintenance or monitoring) subsequent to surrender of the tenement.</w:t>
      </w:r>
    </w:p>
    <w:p w:rsidR="00E26C8E" w:rsidRPr="00E26C8E" w:rsidRDefault="00E26C8E" w:rsidP="00E26C8E">
      <w:pPr>
        <w:ind w:left="1418" w:hanging="567"/>
        <w:rPr>
          <w:rFonts w:eastAsia="Times New Roman"/>
          <w:i/>
          <w:szCs w:val="17"/>
        </w:rPr>
      </w:pPr>
      <w:r w:rsidRPr="00E26C8E">
        <w:rPr>
          <w:rFonts w:eastAsia="Times New Roman"/>
          <w:i/>
          <w:szCs w:val="17"/>
        </w:rPr>
        <w:t>2.12.2</w:t>
      </w:r>
      <w:r w:rsidRPr="00E26C8E">
        <w:rPr>
          <w:rFonts w:eastAsia="Times New Roman"/>
          <w:i/>
          <w:szCs w:val="17"/>
        </w:rPr>
        <w:tab/>
        <w:t xml:space="preserve">Rehabilitation liability estimate </w:t>
      </w:r>
    </w:p>
    <w:p w:rsidR="00E26C8E" w:rsidRPr="00E26C8E" w:rsidRDefault="00E26C8E" w:rsidP="00E26C8E">
      <w:pPr>
        <w:ind w:left="1418"/>
        <w:rPr>
          <w:rFonts w:eastAsia="Times New Roman"/>
          <w:szCs w:val="17"/>
        </w:rPr>
      </w:pPr>
      <w:r w:rsidRPr="00E26C8E">
        <w:rPr>
          <w:rFonts w:eastAsia="Times New Roman"/>
          <w:szCs w:val="17"/>
        </w:rPr>
        <w:t>Provide the maximum third party cost of rehabilitation at any time over the life of mine covered by the PEPR. The estimate must be based on reasonable third party costs of undertaking the rehabilitation strategies as outlined in Section 2 and include costs for project management, inflation, normal project variation, and contingency provision for risk associated with the strategies and uncertainty in the cost estimates.</w:t>
      </w:r>
    </w:p>
    <w:p w:rsidR="00E26C8E" w:rsidRPr="00E26C8E" w:rsidRDefault="00E26C8E" w:rsidP="00E26C8E">
      <w:pPr>
        <w:ind w:left="851" w:hanging="425"/>
        <w:rPr>
          <w:rFonts w:eastAsia="Times New Roman"/>
          <w:b/>
          <w:szCs w:val="17"/>
        </w:rPr>
      </w:pPr>
      <w:r w:rsidRPr="00E26C8E">
        <w:rPr>
          <w:rFonts w:eastAsia="Times New Roman"/>
          <w:b/>
          <w:szCs w:val="17"/>
        </w:rPr>
        <w:t>2.13</w:t>
      </w:r>
      <w:r w:rsidRPr="00E26C8E">
        <w:rPr>
          <w:rFonts w:eastAsia="Times New Roman"/>
          <w:b/>
          <w:szCs w:val="17"/>
        </w:rPr>
        <w:tab/>
        <w:t>Resource Inputs</w:t>
      </w:r>
    </w:p>
    <w:p w:rsidR="00E26C8E" w:rsidRPr="00E26C8E" w:rsidRDefault="00E26C8E" w:rsidP="00E26C8E">
      <w:pPr>
        <w:ind w:left="1418" w:hanging="567"/>
        <w:rPr>
          <w:rFonts w:eastAsia="Times New Roman"/>
          <w:i/>
          <w:szCs w:val="17"/>
        </w:rPr>
      </w:pPr>
      <w:r w:rsidRPr="00E26C8E">
        <w:rPr>
          <w:rFonts w:eastAsia="Times New Roman"/>
          <w:i/>
          <w:szCs w:val="17"/>
        </w:rPr>
        <w:t>2.13.1</w:t>
      </w:r>
      <w:r w:rsidRPr="00E26C8E">
        <w:rPr>
          <w:rFonts w:eastAsia="Times New Roman"/>
          <w:i/>
          <w:szCs w:val="17"/>
        </w:rPr>
        <w:tab/>
        <w:t>Description of workforce and local procurement</w:t>
      </w:r>
    </w:p>
    <w:p w:rsidR="00E26C8E" w:rsidRPr="00E26C8E" w:rsidRDefault="00E26C8E" w:rsidP="00E26C8E">
      <w:pPr>
        <w:ind w:left="1418"/>
        <w:rPr>
          <w:rFonts w:eastAsia="Times New Roman"/>
          <w:szCs w:val="17"/>
        </w:rPr>
      </w:pPr>
      <w:r w:rsidRPr="00E26C8E">
        <w:rPr>
          <w:rFonts w:eastAsia="Times New Roman"/>
          <w:szCs w:val="17"/>
        </w:rPr>
        <w:t>For the proposed workforce (for all mining operations including mining, processing, waste management and supporting surface infrastructure) describe: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how operations on the site will be managed;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number of full-time employee positions that would be directly created by the proposal (not to include existing positions);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the proportion of the workforce that would reside in the local community and the estimated impact on local employment;</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any programs to target and assist Indigenous or local employment at the mine;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training to be provided to employees and potential employees;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approximate timelines for creation of the positions;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potential for local business participation, and procurement of local goods and services.</w:t>
      </w:r>
    </w:p>
    <w:p w:rsidR="00E26C8E" w:rsidRPr="00E26C8E" w:rsidRDefault="00E26C8E" w:rsidP="00E26C8E">
      <w:pPr>
        <w:spacing w:after="0" w:line="240" w:lineRule="auto"/>
        <w:jc w:val="left"/>
        <w:rPr>
          <w:rFonts w:eastAsia="Times New Roman"/>
          <w:i/>
          <w:szCs w:val="17"/>
        </w:rPr>
      </w:pPr>
      <w:r w:rsidRPr="00E26C8E">
        <w:rPr>
          <w:rFonts w:eastAsia="Times New Roman"/>
          <w:i/>
          <w:szCs w:val="17"/>
        </w:rPr>
        <w:br w:type="page"/>
      </w:r>
    </w:p>
    <w:p w:rsidR="00E26C8E" w:rsidRPr="00E26C8E" w:rsidRDefault="00E26C8E" w:rsidP="00E26C8E">
      <w:pPr>
        <w:ind w:left="1418" w:hanging="567"/>
        <w:rPr>
          <w:rFonts w:eastAsia="Times New Roman"/>
          <w:i/>
          <w:szCs w:val="17"/>
        </w:rPr>
      </w:pPr>
      <w:r w:rsidRPr="00E26C8E">
        <w:rPr>
          <w:rFonts w:eastAsia="Times New Roman"/>
          <w:i/>
          <w:szCs w:val="17"/>
        </w:rPr>
        <w:t>2.13.2</w:t>
      </w:r>
      <w:r w:rsidRPr="00E26C8E">
        <w:rPr>
          <w:rFonts w:eastAsia="Times New Roman"/>
          <w:i/>
          <w:szCs w:val="17"/>
        </w:rPr>
        <w:tab/>
        <w:t>Description of energy sources</w:t>
      </w:r>
    </w:p>
    <w:p w:rsidR="00E26C8E" w:rsidRPr="00E26C8E" w:rsidRDefault="00E26C8E" w:rsidP="00E26C8E">
      <w:pPr>
        <w:ind w:left="1418"/>
        <w:rPr>
          <w:rFonts w:eastAsia="Times New Roman"/>
          <w:szCs w:val="17"/>
        </w:rPr>
      </w:pPr>
      <w:r w:rsidRPr="00E26C8E">
        <w:rPr>
          <w:rFonts w:eastAsia="Times New Roman"/>
          <w:szCs w:val="17"/>
        </w:rPr>
        <w:t>For the energy sources and usage provide: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estimates of total annual energy usage (from all sources, including personnel transport and ore transport to point of sale);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expected sources of energy;</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potential for efficiency gains;</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amount and percentage of zero emission energy to be utilised;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equivalent annual CO2 generated;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any carbon offsets.</w:t>
      </w:r>
    </w:p>
    <w:p w:rsidR="00E26C8E" w:rsidRPr="00E26C8E" w:rsidRDefault="00E26C8E" w:rsidP="00E26C8E">
      <w:pPr>
        <w:ind w:left="1418" w:hanging="567"/>
        <w:rPr>
          <w:rFonts w:eastAsia="Times New Roman"/>
          <w:i/>
          <w:szCs w:val="17"/>
        </w:rPr>
      </w:pPr>
      <w:r w:rsidRPr="00E26C8E">
        <w:rPr>
          <w:rFonts w:eastAsia="Times New Roman"/>
          <w:i/>
          <w:szCs w:val="17"/>
        </w:rPr>
        <w:t>2.13.3</w:t>
      </w:r>
      <w:r w:rsidRPr="00E26C8E">
        <w:rPr>
          <w:rFonts w:eastAsia="Times New Roman"/>
          <w:i/>
          <w:szCs w:val="17"/>
        </w:rPr>
        <w:tab/>
        <w:t>Description of water sources, including borefields</w:t>
      </w:r>
    </w:p>
    <w:p w:rsidR="00E26C8E" w:rsidRPr="00E26C8E" w:rsidRDefault="00E26C8E" w:rsidP="00E26C8E">
      <w:pPr>
        <w:ind w:left="1418"/>
        <w:rPr>
          <w:rFonts w:eastAsia="Times New Roman"/>
          <w:szCs w:val="17"/>
        </w:rPr>
      </w:pPr>
      <w:r w:rsidRPr="00E26C8E">
        <w:rPr>
          <w:rFonts w:eastAsia="Times New Roman"/>
          <w:szCs w:val="17"/>
        </w:rPr>
        <w:t>Detail the source(s) of water to be used at the mine (other than in the ISR mining process), expected usage and any discharge, including:</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 xml:space="preserve">expected annual water usage by source; </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indicate if any water usage by source will be more than 5% of the total annual water withdrawal for that source;</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percentage of water that will be recycled; and</w:t>
      </w:r>
    </w:p>
    <w:p w:rsidR="00E26C8E" w:rsidRPr="00E26C8E" w:rsidRDefault="00E26C8E" w:rsidP="00E26C8E">
      <w:pPr>
        <w:ind w:left="1701" w:hanging="283"/>
        <w:rPr>
          <w:rFonts w:eastAsia="Times New Roman"/>
          <w:szCs w:val="17"/>
        </w:rPr>
      </w:pPr>
      <w:r w:rsidRPr="00E26C8E">
        <w:rPr>
          <w:rFonts w:eastAsia="Times New Roman"/>
          <w:szCs w:val="17"/>
        </w:rPr>
        <w:t>•</w:t>
      </w:r>
      <w:r w:rsidRPr="00E26C8E">
        <w:rPr>
          <w:rFonts w:eastAsia="Times New Roman"/>
          <w:szCs w:val="17"/>
        </w:rPr>
        <w:tab/>
        <w:t>water discharge (surface and/or underground) by quality and destination.</w:t>
      </w:r>
    </w:p>
    <w:p w:rsidR="00E26C8E" w:rsidRPr="00E26C8E" w:rsidRDefault="00E26C8E" w:rsidP="00E26C8E">
      <w:pPr>
        <w:ind w:left="426" w:hanging="284"/>
        <w:rPr>
          <w:rFonts w:eastAsia="Times New Roman"/>
          <w:b/>
          <w:szCs w:val="17"/>
        </w:rPr>
      </w:pPr>
      <w:r w:rsidRPr="00E26C8E">
        <w:rPr>
          <w:rFonts w:eastAsia="Times New Roman"/>
          <w:b/>
          <w:szCs w:val="17"/>
        </w:rPr>
        <w:t>3.</w:t>
      </w:r>
      <w:r w:rsidRPr="00E26C8E">
        <w:rPr>
          <w:rFonts w:eastAsia="Times New Roman"/>
          <w:b/>
          <w:szCs w:val="17"/>
        </w:rPr>
        <w:tab/>
        <w:t>CONSULTATION</w:t>
      </w:r>
    </w:p>
    <w:p w:rsidR="00E26C8E" w:rsidRPr="00E26C8E" w:rsidRDefault="00E26C8E" w:rsidP="00E26C8E">
      <w:pPr>
        <w:ind w:left="426"/>
        <w:rPr>
          <w:rFonts w:eastAsia="Times New Roman"/>
          <w:szCs w:val="17"/>
        </w:rPr>
      </w:pPr>
      <w:r w:rsidRPr="00E26C8E">
        <w:rPr>
          <w:rFonts w:eastAsia="Times New Roman"/>
          <w:szCs w:val="17"/>
        </w:rPr>
        <w:t>In setting out the result of the consultation undertaken in connection with the proposed operations in accordance with regulation 64 of the</w:t>
      </w:r>
      <w:r w:rsidRPr="00E26C8E">
        <w:rPr>
          <w:rFonts w:eastAsia="Times New Roman"/>
          <w:i/>
          <w:szCs w:val="17"/>
        </w:rPr>
        <w:t xml:space="preserve"> Mining Regulations 2020</w:t>
      </w:r>
      <w:r w:rsidRPr="00E26C8E">
        <w:rPr>
          <w:rFonts w:eastAsia="Times New Roman"/>
          <w:szCs w:val="17"/>
        </w:rPr>
        <w:t>, the Minister determines in accordance with regulation 63(1)(e) of the</w:t>
      </w:r>
      <w:r w:rsidRPr="00E26C8E">
        <w:rPr>
          <w:rFonts w:eastAsia="Times New Roman"/>
          <w:i/>
          <w:szCs w:val="17"/>
        </w:rPr>
        <w:t xml:space="preserve"> Mining Regulations 2020</w:t>
      </w:r>
      <w:r w:rsidRPr="00E26C8E">
        <w:rPr>
          <w:rFonts w:eastAsia="Times New Roman"/>
          <w:szCs w:val="17"/>
        </w:rPr>
        <w:t xml:space="preserve"> that a PEPR must include:</w:t>
      </w:r>
    </w:p>
    <w:p w:rsidR="00E26C8E" w:rsidRPr="00E26C8E" w:rsidRDefault="00E26C8E" w:rsidP="00E26C8E">
      <w:pPr>
        <w:ind w:left="567"/>
        <w:rPr>
          <w:rFonts w:eastAsia="Times New Roman"/>
          <w:szCs w:val="17"/>
        </w:rPr>
      </w:pPr>
      <w:r w:rsidRPr="00E26C8E">
        <w:rPr>
          <w:rFonts w:eastAsia="Times New Roman"/>
          <w:szCs w:val="17"/>
        </w:rPr>
        <w:t>A description of:</w:t>
      </w:r>
    </w:p>
    <w:p w:rsidR="00E26C8E" w:rsidRPr="00E26C8E" w:rsidRDefault="00E26C8E" w:rsidP="00E26C8E">
      <w:pPr>
        <w:ind w:left="851" w:hanging="284"/>
        <w:rPr>
          <w:rFonts w:eastAsia="Times New Roman"/>
          <w:szCs w:val="17"/>
        </w:rPr>
      </w:pPr>
      <w:r w:rsidRPr="00E26C8E">
        <w:rPr>
          <w:rFonts w:eastAsia="Times New Roman"/>
          <w:szCs w:val="17"/>
        </w:rPr>
        <w:t>•</w:t>
      </w:r>
      <w:r w:rsidRPr="00E26C8E">
        <w:rPr>
          <w:rFonts w:eastAsia="Times New Roman"/>
          <w:szCs w:val="17"/>
        </w:rPr>
        <w:tab/>
        <w:t>the process undertaken for identifying stakeholders with an interest in, or stakeholders likely to be directly affected by the quarry operation;</w:t>
      </w:r>
    </w:p>
    <w:p w:rsidR="00E26C8E" w:rsidRPr="00E26C8E" w:rsidRDefault="00E26C8E" w:rsidP="00E26C8E">
      <w:pPr>
        <w:ind w:left="851" w:hanging="284"/>
        <w:rPr>
          <w:rFonts w:eastAsia="Times New Roman"/>
          <w:szCs w:val="17"/>
        </w:rPr>
      </w:pPr>
      <w:r w:rsidRPr="00E26C8E">
        <w:rPr>
          <w:rFonts w:eastAsia="Times New Roman"/>
          <w:szCs w:val="17"/>
        </w:rPr>
        <w:t>•</w:t>
      </w:r>
      <w:r w:rsidRPr="00E26C8E">
        <w:rPr>
          <w:rFonts w:eastAsia="Times New Roman"/>
          <w:szCs w:val="17"/>
        </w:rPr>
        <w:tab/>
        <w:t>the process undertaken for the delivery of information to, gathering of feedback from, and responding to those identified stakeholders; and</w:t>
      </w:r>
    </w:p>
    <w:p w:rsidR="00E26C8E" w:rsidRPr="00E26C8E" w:rsidRDefault="00E26C8E" w:rsidP="00E26C8E">
      <w:pPr>
        <w:ind w:left="851" w:hanging="284"/>
        <w:rPr>
          <w:rFonts w:eastAsia="Times New Roman"/>
          <w:szCs w:val="17"/>
        </w:rPr>
      </w:pPr>
      <w:r w:rsidRPr="00E26C8E">
        <w:rPr>
          <w:rFonts w:eastAsia="Times New Roman"/>
          <w:szCs w:val="17"/>
        </w:rPr>
        <w:t>•</w:t>
      </w:r>
      <w:r w:rsidRPr="00E26C8E">
        <w:rPr>
          <w:rFonts w:eastAsia="Times New Roman"/>
          <w:szCs w:val="17"/>
        </w:rPr>
        <w:tab/>
        <w:t>if any individual or group of similar affected persons were not able to be consulted, the steps taken to consult with them.</w:t>
      </w:r>
    </w:p>
    <w:p w:rsidR="00E26C8E" w:rsidRPr="00E26C8E" w:rsidRDefault="00E26C8E" w:rsidP="00E26C8E">
      <w:pPr>
        <w:ind w:left="567"/>
        <w:rPr>
          <w:rFonts w:eastAsia="Times New Roman"/>
          <w:szCs w:val="17"/>
        </w:rPr>
      </w:pPr>
      <w:r w:rsidRPr="00E26C8E">
        <w:rPr>
          <w:rFonts w:eastAsia="Times New Roman"/>
          <w:szCs w:val="17"/>
        </w:rPr>
        <w:t>The results of the consultation undertaken with those identified stakeholders, including:</w:t>
      </w:r>
    </w:p>
    <w:p w:rsidR="00E26C8E" w:rsidRPr="00E26C8E" w:rsidRDefault="00E26C8E" w:rsidP="00E26C8E">
      <w:pPr>
        <w:ind w:left="851" w:hanging="284"/>
        <w:rPr>
          <w:rFonts w:eastAsia="Times New Roman"/>
          <w:szCs w:val="17"/>
        </w:rPr>
      </w:pPr>
      <w:r w:rsidRPr="00E26C8E">
        <w:rPr>
          <w:rFonts w:eastAsia="Times New Roman"/>
          <w:szCs w:val="17"/>
        </w:rPr>
        <w:t>•</w:t>
      </w:r>
      <w:r w:rsidRPr="00E26C8E">
        <w:rPr>
          <w:rFonts w:eastAsia="Times New Roman"/>
          <w:szCs w:val="17"/>
        </w:rPr>
        <w:tab/>
        <w:t>the persons consulted;</w:t>
      </w:r>
    </w:p>
    <w:p w:rsidR="00E26C8E" w:rsidRPr="00E26C8E" w:rsidRDefault="00E26C8E" w:rsidP="00E26C8E">
      <w:pPr>
        <w:ind w:left="851" w:hanging="284"/>
        <w:rPr>
          <w:rFonts w:eastAsia="Times New Roman"/>
          <w:szCs w:val="17"/>
        </w:rPr>
      </w:pPr>
      <w:r w:rsidRPr="00E26C8E">
        <w:rPr>
          <w:rFonts w:eastAsia="Times New Roman"/>
          <w:szCs w:val="17"/>
        </w:rPr>
        <w:t>•</w:t>
      </w:r>
      <w:r w:rsidRPr="00E26C8E">
        <w:rPr>
          <w:rFonts w:eastAsia="Times New Roman"/>
          <w:szCs w:val="17"/>
        </w:rPr>
        <w:tab/>
        <w:t>any concerns / issues raised; and</w:t>
      </w:r>
    </w:p>
    <w:p w:rsidR="00E26C8E" w:rsidRPr="00E26C8E" w:rsidRDefault="00E26C8E" w:rsidP="00E26C8E">
      <w:pPr>
        <w:ind w:left="851" w:hanging="284"/>
        <w:rPr>
          <w:rFonts w:eastAsia="Times New Roman"/>
          <w:szCs w:val="17"/>
        </w:rPr>
      </w:pPr>
      <w:r w:rsidRPr="00E26C8E">
        <w:rPr>
          <w:rFonts w:eastAsia="Times New Roman"/>
          <w:szCs w:val="17"/>
        </w:rPr>
        <w:t>•</w:t>
      </w:r>
      <w:r w:rsidRPr="00E26C8E">
        <w:rPr>
          <w:rFonts w:eastAsia="Times New Roman"/>
          <w:szCs w:val="17"/>
        </w:rPr>
        <w:tab/>
        <w:t>the response and steps (if any) taken or proposed to address those concerns.</w:t>
      </w:r>
    </w:p>
    <w:p w:rsidR="00E26C8E" w:rsidRPr="00E26C8E" w:rsidRDefault="00E26C8E" w:rsidP="00E26C8E">
      <w:pPr>
        <w:ind w:left="426" w:hanging="284"/>
        <w:rPr>
          <w:rFonts w:eastAsia="Times New Roman"/>
          <w:b/>
          <w:szCs w:val="17"/>
        </w:rPr>
      </w:pPr>
      <w:r w:rsidRPr="00E26C8E">
        <w:rPr>
          <w:rFonts w:eastAsia="Times New Roman"/>
          <w:b/>
          <w:szCs w:val="17"/>
        </w:rPr>
        <w:t>4.</w:t>
      </w:r>
      <w:r w:rsidRPr="00E26C8E">
        <w:rPr>
          <w:rFonts w:eastAsia="Times New Roman"/>
          <w:b/>
          <w:szCs w:val="17"/>
        </w:rPr>
        <w:tab/>
        <w:t>ENVIRONMENTAL OUTCOMES, STRATEGIES, CRITERIA AND MONITORING</w:t>
      </w:r>
    </w:p>
    <w:p w:rsidR="00E26C8E" w:rsidRPr="00E26C8E" w:rsidRDefault="00E26C8E" w:rsidP="00E26C8E">
      <w:pPr>
        <w:ind w:left="851" w:hanging="425"/>
        <w:rPr>
          <w:rFonts w:eastAsia="Times New Roman"/>
          <w:b/>
          <w:szCs w:val="17"/>
        </w:rPr>
      </w:pPr>
      <w:r w:rsidRPr="00E26C8E">
        <w:rPr>
          <w:rFonts w:eastAsia="Times New Roman"/>
          <w:b/>
          <w:szCs w:val="17"/>
        </w:rPr>
        <w:t>4.1</w:t>
      </w:r>
      <w:r w:rsidRPr="00E26C8E">
        <w:rPr>
          <w:rFonts w:eastAsia="Times New Roman"/>
          <w:b/>
          <w:szCs w:val="17"/>
        </w:rPr>
        <w:tab/>
        <w:t>Environmental Outcomes</w:t>
      </w:r>
    </w:p>
    <w:p w:rsidR="00E26C8E" w:rsidRPr="00E26C8E" w:rsidRDefault="00E26C8E" w:rsidP="00E26C8E">
      <w:pPr>
        <w:ind w:left="851"/>
        <w:rPr>
          <w:rFonts w:eastAsia="Times New Roman"/>
          <w:szCs w:val="17"/>
        </w:rPr>
      </w:pPr>
      <w:r w:rsidRPr="00E26C8E">
        <w:rPr>
          <w:rFonts w:eastAsia="Times New Roman"/>
          <w:szCs w:val="17"/>
        </w:rPr>
        <w:t>A PEPR must set out environmental outcomes (including completion outcomes) in accordance with section 70B(2)(b)(i) of the</w:t>
      </w:r>
      <w:r w:rsidRPr="00E26C8E">
        <w:rPr>
          <w:rFonts w:eastAsia="Times New Roman"/>
          <w:i/>
          <w:szCs w:val="17"/>
        </w:rPr>
        <w:t xml:space="preserve"> Mining Act 1971</w:t>
      </w:r>
      <w:r w:rsidRPr="00E26C8E">
        <w:rPr>
          <w:rFonts w:eastAsia="Times New Roman"/>
          <w:szCs w:val="17"/>
        </w:rPr>
        <w:t>. For each environmental outcome, a PEPR must include the information described in clause 4.2, 4.3 and 4.4.</w:t>
      </w:r>
    </w:p>
    <w:p w:rsidR="00E26C8E" w:rsidRPr="00E26C8E" w:rsidRDefault="00E26C8E" w:rsidP="00E26C8E">
      <w:pPr>
        <w:ind w:left="851" w:hanging="425"/>
        <w:rPr>
          <w:rFonts w:eastAsia="Times New Roman"/>
          <w:b/>
          <w:szCs w:val="17"/>
        </w:rPr>
      </w:pPr>
      <w:r w:rsidRPr="00E26C8E">
        <w:rPr>
          <w:rFonts w:eastAsia="Times New Roman"/>
          <w:b/>
          <w:szCs w:val="17"/>
        </w:rPr>
        <w:t>4.2</w:t>
      </w:r>
      <w:r w:rsidRPr="00E26C8E">
        <w:rPr>
          <w:rFonts w:eastAsia="Times New Roman"/>
          <w:b/>
          <w:szCs w:val="17"/>
        </w:rPr>
        <w:tab/>
        <w:t>Control and Management Strategies</w:t>
      </w:r>
    </w:p>
    <w:p w:rsidR="00E26C8E" w:rsidRPr="00E26C8E" w:rsidRDefault="00E26C8E" w:rsidP="00E26C8E">
      <w:pPr>
        <w:ind w:left="851"/>
        <w:rPr>
          <w:rFonts w:eastAsia="Times New Roman"/>
          <w:szCs w:val="17"/>
        </w:rPr>
      </w:pPr>
      <w:r w:rsidRPr="00E26C8E">
        <w:rPr>
          <w:rFonts w:eastAsia="Times New Roman"/>
          <w:szCs w:val="17"/>
        </w:rPr>
        <w:t>In setting out the control and management strategies adopted to demonstrate that the environmental outcomes can be and will continue to be achieved in accordance with regulation 63(1)(b) of the</w:t>
      </w:r>
      <w:r w:rsidRPr="00E26C8E">
        <w:rPr>
          <w:rFonts w:eastAsia="Times New Roman"/>
          <w:i/>
          <w:szCs w:val="17"/>
        </w:rPr>
        <w:t xml:space="preserve"> Mining Regulations 2020</w:t>
      </w:r>
      <w:r w:rsidRPr="00E26C8E">
        <w:rPr>
          <w:rFonts w:eastAsia="Times New Roman"/>
          <w:szCs w:val="17"/>
        </w:rPr>
        <w:t>, the Minister determines in accordance with regulation 63(3)(e) of the</w:t>
      </w:r>
      <w:r w:rsidRPr="00E26C8E">
        <w:rPr>
          <w:rFonts w:eastAsia="Times New Roman"/>
          <w:i/>
          <w:szCs w:val="17"/>
        </w:rPr>
        <w:t xml:space="preserve"> Mining Regulations 2020</w:t>
      </w:r>
      <w:r w:rsidRPr="00E26C8E">
        <w:rPr>
          <w:rFonts w:eastAsia="Times New Roman"/>
          <w:szCs w:val="17"/>
        </w:rPr>
        <w:t xml:space="preserve"> that a PEPR must: </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Demonstrate that the control and management strategies are commensurate with the impacts, achieve compliance with other applicable statutory requirements and promote progressive rehabilitation;</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Describe any significant degree of uncertainty in accordance with regulation 63(3)(c) pertaining to the likely effectiveness of control and management strategies, including (but not limited to) lack of site specific information, limitations on modelling and quality of data. The description must include an analysis of uncertainty in:</w:t>
      </w:r>
    </w:p>
    <w:p w:rsidR="00E26C8E" w:rsidRPr="00E26C8E" w:rsidRDefault="00E26C8E" w:rsidP="00E26C8E">
      <w:pPr>
        <w:ind w:left="1418" w:hanging="284"/>
        <w:rPr>
          <w:rFonts w:eastAsia="Times New Roman"/>
          <w:szCs w:val="17"/>
        </w:rPr>
      </w:pPr>
      <w:r w:rsidRPr="00E26C8E">
        <w:rPr>
          <w:rFonts w:eastAsia="Times New Roman"/>
          <w:szCs w:val="17"/>
        </w:rPr>
        <w:t>◦</w:t>
      </w:r>
      <w:r w:rsidRPr="00E26C8E">
        <w:rPr>
          <w:rFonts w:eastAsia="Times New Roman"/>
          <w:szCs w:val="17"/>
        </w:rPr>
        <w:tab/>
        <w:t>groundwater modelling predictions, including natural attenuation modelling;</w:t>
      </w:r>
    </w:p>
    <w:p w:rsidR="00E26C8E" w:rsidRPr="00E26C8E" w:rsidRDefault="00E26C8E" w:rsidP="00E26C8E">
      <w:pPr>
        <w:ind w:left="1418" w:hanging="284"/>
        <w:rPr>
          <w:rFonts w:eastAsia="Times New Roman"/>
          <w:szCs w:val="17"/>
        </w:rPr>
      </w:pPr>
      <w:r w:rsidRPr="00E26C8E">
        <w:rPr>
          <w:rFonts w:eastAsia="Times New Roman"/>
          <w:szCs w:val="17"/>
        </w:rPr>
        <w:t>◦</w:t>
      </w:r>
      <w:r w:rsidRPr="00E26C8E">
        <w:rPr>
          <w:rFonts w:eastAsia="Times New Roman"/>
          <w:szCs w:val="17"/>
        </w:rPr>
        <w:tab/>
        <w:t>predictions on the fate and extent of residual mining fluid and reinjected liquid waste following mine completion; and</w:t>
      </w:r>
    </w:p>
    <w:p w:rsidR="00E26C8E" w:rsidRPr="00E26C8E" w:rsidRDefault="00E26C8E" w:rsidP="00E26C8E">
      <w:pPr>
        <w:ind w:left="1418" w:hanging="284"/>
        <w:rPr>
          <w:rFonts w:eastAsia="Times New Roman"/>
          <w:szCs w:val="17"/>
        </w:rPr>
      </w:pPr>
      <w:r w:rsidRPr="00E26C8E">
        <w:rPr>
          <w:rFonts w:eastAsia="Times New Roman"/>
          <w:szCs w:val="17"/>
        </w:rPr>
        <w:t>◦</w:t>
      </w:r>
      <w:r w:rsidRPr="00E26C8E">
        <w:rPr>
          <w:rFonts w:eastAsia="Times New Roman"/>
          <w:szCs w:val="17"/>
        </w:rPr>
        <w:tab/>
        <w:t xml:space="preserve">For information and guidelines on numerical groundwater modelling and uncertainty analysis, refer to </w:t>
      </w:r>
      <w:hyperlink r:id="rId132" w:history="1">
        <w:r w:rsidRPr="00E26C8E">
          <w:rPr>
            <w:rFonts w:eastAsia="Times New Roman"/>
            <w:color w:val="0000FF"/>
            <w:szCs w:val="17"/>
            <w:u w:val="single"/>
          </w:rPr>
          <w:t>https://www.iesc.environment.gov.au/information-guidelines</w:t>
        </w:r>
      </w:hyperlink>
      <w:r w:rsidRPr="00E26C8E">
        <w:rPr>
          <w:rFonts w:eastAsia="Times New Roman"/>
          <w:szCs w:val="17"/>
        </w:rPr>
        <w:t xml:space="preserve">. </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 xml:space="preserve">Describe any assumptions connected with the identified uncertainty; </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So far as is relevant, identify the sensitivity to change of any assumption that has been made in accordance with regulation 63(3)(d) and assess the likelihood of an outcome not being achieved if an assumption is later found to be incorrect;</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Provide a description and list of current and future works (for example (but not limited to) trials, test work, studies, modelling, validations) that are to be undertaken to address the identified uncertainty or assumption;</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Provide a schedule of the timing that the future works will be undertaken and completed; and</w:t>
      </w:r>
    </w:p>
    <w:p w:rsidR="00E26C8E" w:rsidRPr="00E26C8E" w:rsidRDefault="00E26C8E" w:rsidP="00E26C8E">
      <w:pPr>
        <w:ind w:left="1134" w:hanging="283"/>
        <w:rPr>
          <w:rFonts w:eastAsia="Times New Roman"/>
          <w:szCs w:val="17"/>
        </w:rPr>
      </w:pPr>
      <w:r w:rsidRPr="00E26C8E">
        <w:rPr>
          <w:rFonts w:eastAsia="Times New Roman"/>
          <w:szCs w:val="17"/>
        </w:rPr>
        <w:t>•</w:t>
      </w:r>
      <w:r w:rsidRPr="00E26C8E">
        <w:rPr>
          <w:rFonts w:eastAsia="Times New Roman"/>
          <w:szCs w:val="17"/>
        </w:rPr>
        <w:tab/>
        <w:t>Based on the schedule of future works, state the timing for review of the PEPR in accordance with Section 70C (1) of the</w:t>
      </w:r>
      <w:r w:rsidRPr="00E26C8E">
        <w:rPr>
          <w:rFonts w:eastAsia="Times New Roman"/>
          <w:i/>
          <w:szCs w:val="17"/>
        </w:rPr>
        <w:t xml:space="preserve"> Mining Act 1971</w:t>
      </w:r>
      <w:r w:rsidRPr="00E26C8E">
        <w:rPr>
          <w:rFonts w:eastAsia="Times New Roman"/>
          <w:szCs w:val="17"/>
        </w:rPr>
        <w:t>.</w:t>
      </w:r>
    </w:p>
    <w:p w:rsidR="00E26C8E" w:rsidRPr="00E26C8E" w:rsidRDefault="00E26C8E" w:rsidP="00E26C8E">
      <w:pPr>
        <w:spacing w:after="0" w:line="240" w:lineRule="auto"/>
        <w:jc w:val="left"/>
        <w:rPr>
          <w:rFonts w:eastAsia="Times New Roman"/>
          <w:b/>
          <w:szCs w:val="17"/>
        </w:rPr>
      </w:pPr>
      <w:r w:rsidRPr="00E26C8E">
        <w:rPr>
          <w:rFonts w:eastAsia="Times New Roman"/>
          <w:b/>
          <w:szCs w:val="17"/>
        </w:rPr>
        <w:br w:type="page"/>
      </w:r>
    </w:p>
    <w:p w:rsidR="00E26C8E" w:rsidRPr="00E26C8E" w:rsidRDefault="00E26C8E" w:rsidP="00052A19">
      <w:pPr>
        <w:spacing w:after="60"/>
        <w:ind w:left="851" w:hanging="425"/>
        <w:rPr>
          <w:rFonts w:eastAsia="Times New Roman"/>
          <w:b/>
          <w:szCs w:val="17"/>
        </w:rPr>
      </w:pPr>
      <w:r w:rsidRPr="00E26C8E">
        <w:rPr>
          <w:rFonts w:eastAsia="Times New Roman"/>
          <w:b/>
          <w:szCs w:val="17"/>
        </w:rPr>
        <w:t>4.3</w:t>
      </w:r>
      <w:r w:rsidRPr="00E26C8E">
        <w:rPr>
          <w:rFonts w:eastAsia="Times New Roman"/>
          <w:b/>
          <w:szCs w:val="17"/>
        </w:rPr>
        <w:tab/>
        <w:t>Measurement Criteria</w:t>
      </w:r>
    </w:p>
    <w:p w:rsidR="00E26C8E" w:rsidRPr="00E26C8E" w:rsidRDefault="00E26C8E" w:rsidP="00052A19">
      <w:pPr>
        <w:spacing w:after="60"/>
        <w:ind w:left="851"/>
        <w:rPr>
          <w:rFonts w:eastAsia="Times New Roman"/>
          <w:szCs w:val="17"/>
        </w:rPr>
      </w:pPr>
      <w:r w:rsidRPr="00E26C8E">
        <w:rPr>
          <w:rFonts w:eastAsia="Times New Roman"/>
          <w:szCs w:val="17"/>
        </w:rPr>
        <w:t>In preparing a statement of the criteria to be adopted to measure each of the environmental outcomes in accordance with sections section 70B(2)(c) of the</w:t>
      </w:r>
      <w:r w:rsidRPr="00E26C8E">
        <w:rPr>
          <w:rFonts w:eastAsia="Times New Roman"/>
          <w:i/>
          <w:szCs w:val="17"/>
        </w:rPr>
        <w:t xml:space="preserve"> Mining Act 1971</w:t>
      </w:r>
      <w:r w:rsidRPr="00E26C8E">
        <w:rPr>
          <w:rFonts w:eastAsia="Times New Roman"/>
          <w:szCs w:val="17"/>
        </w:rPr>
        <w:t xml:space="preserve"> and regulation 63(1)(c) of the</w:t>
      </w:r>
      <w:r w:rsidRPr="00E26C8E">
        <w:rPr>
          <w:rFonts w:eastAsia="Times New Roman"/>
          <w:i/>
          <w:szCs w:val="17"/>
        </w:rPr>
        <w:t xml:space="preserve"> Mining Regulations 2020</w:t>
      </w:r>
      <w:r w:rsidRPr="00E26C8E">
        <w:rPr>
          <w:rFonts w:eastAsia="Times New Roman"/>
          <w:szCs w:val="17"/>
        </w:rPr>
        <w:t>, the Minister determines in accordance with regulation 63(3)(e) of the</w:t>
      </w:r>
      <w:r w:rsidRPr="00E26C8E">
        <w:rPr>
          <w:rFonts w:eastAsia="Times New Roman"/>
          <w:i/>
          <w:szCs w:val="17"/>
        </w:rPr>
        <w:t xml:space="preserve"> Mining Regulations 2020</w:t>
      </w:r>
      <w:r w:rsidRPr="00E26C8E">
        <w:rPr>
          <w:rFonts w:eastAsia="Times New Roman"/>
          <w:szCs w:val="17"/>
        </w:rPr>
        <w:t xml:space="preserve"> the following:</w:t>
      </w:r>
    </w:p>
    <w:p w:rsidR="00E26C8E" w:rsidRPr="00E26C8E" w:rsidRDefault="00E26C8E" w:rsidP="00052A19">
      <w:pPr>
        <w:spacing w:after="60"/>
        <w:ind w:left="993"/>
        <w:rPr>
          <w:rFonts w:eastAsia="Times New Roman"/>
          <w:szCs w:val="17"/>
        </w:rPr>
      </w:pPr>
      <w:r w:rsidRPr="00E26C8E">
        <w:rPr>
          <w:rFonts w:eastAsia="Times New Roman"/>
          <w:szCs w:val="17"/>
        </w:rPr>
        <w:t>Set out measurement statement of criteria for each environmental outcome (including completion outcomes). The measurement criteria must comply with the five elements of regulation 63(1)(c), and the statement of criteria must include details about:</w:t>
      </w:r>
    </w:p>
    <w:p w:rsidR="00E26C8E" w:rsidRPr="00E26C8E" w:rsidRDefault="00E26C8E" w:rsidP="00052A19">
      <w:pPr>
        <w:spacing w:after="60"/>
        <w:ind w:left="1418" w:hanging="283"/>
        <w:rPr>
          <w:rFonts w:eastAsia="Times New Roman"/>
          <w:szCs w:val="17"/>
        </w:rPr>
      </w:pPr>
      <w:r w:rsidRPr="00E26C8E">
        <w:rPr>
          <w:rFonts w:eastAsia="Times New Roman"/>
          <w:szCs w:val="17"/>
        </w:rPr>
        <w:t>◦</w:t>
      </w:r>
      <w:r w:rsidRPr="00E26C8E">
        <w:rPr>
          <w:rFonts w:eastAsia="Times New Roman"/>
          <w:szCs w:val="17"/>
        </w:rPr>
        <w:tab/>
        <w:t>responsibility (who will measure);</w:t>
      </w:r>
    </w:p>
    <w:p w:rsidR="00E26C8E" w:rsidRPr="00E26C8E" w:rsidRDefault="00E26C8E" w:rsidP="00052A19">
      <w:pPr>
        <w:spacing w:after="60"/>
        <w:ind w:left="1418" w:hanging="283"/>
        <w:rPr>
          <w:rFonts w:eastAsia="Times New Roman"/>
          <w:szCs w:val="17"/>
        </w:rPr>
      </w:pPr>
      <w:r w:rsidRPr="00E26C8E">
        <w:rPr>
          <w:rFonts w:eastAsia="Times New Roman"/>
          <w:szCs w:val="17"/>
        </w:rPr>
        <w:t>◦</w:t>
      </w:r>
      <w:r w:rsidRPr="00E26C8E">
        <w:rPr>
          <w:rFonts w:eastAsia="Times New Roman"/>
          <w:szCs w:val="17"/>
        </w:rPr>
        <w:tab/>
        <w:t>record keeping; and</w:t>
      </w:r>
    </w:p>
    <w:p w:rsidR="00E26C8E" w:rsidRPr="00E26C8E" w:rsidRDefault="00E26C8E" w:rsidP="00052A19">
      <w:pPr>
        <w:spacing w:after="60"/>
        <w:ind w:left="1418" w:hanging="283"/>
        <w:rPr>
          <w:rFonts w:eastAsia="Times New Roman"/>
          <w:szCs w:val="17"/>
        </w:rPr>
      </w:pPr>
      <w:r w:rsidRPr="00E26C8E">
        <w:rPr>
          <w:rFonts w:eastAsia="Times New Roman"/>
          <w:szCs w:val="17"/>
        </w:rPr>
        <w:t>◦</w:t>
      </w:r>
      <w:r w:rsidRPr="00E26C8E">
        <w:rPr>
          <w:rFonts w:eastAsia="Times New Roman"/>
          <w:szCs w:val="17"/>
        </w:rPr>
        <w:tab/>
        <w:t>frequency of reporting to management and any external parties.</w:t>
      </w:r>
    </w:p>
    <w:p w:rsidR="00E26C8E" w:rsidRPr="00E26C8E" w:rsidRDefault="00E26C8E" w:rsidP="00052A19">
      <w:pPr>
        <w:spacing w:after="60"/>
        <w:ind w:left="1134" w:hanging="283"/>
        <w:rPr>
          <w:rFonts w:eastAsia="Times New Roman"/>
          <w:szCs w:val="17"/>
        </w:rPr>
      </w:pPr>
      <w:r w:rsidRPr="00E26C8E">
        <w:rPr>
          <w:rFonts w:eastAsia="Times New Roman"/>
          <w:szCs w:val="17"/>
        </w:rPr>
        <w:t>•</w:t>
      </w:r>
      <w:r w:rsidRPr="00E26C8E">
        <w:rPr>
          <w:rFonts w:eastAsia="Times New Roman"/>
          <w:szCs w:val="17"/>
        </w:rPr>
        <w:tab/>
        <w:t>The statement of criteria must be developed separately for construction, operation and completion, as appropriate.</w:t>
      </w:r>
    </w:p>
    <w:p w:rsidR="00E26C8E" w:rsidRPr="00E26C8E" w:rsidRDefault="00E26C8E" w:rsidP="00052A19">
      <w:pPr>
        <w:spacing w:after="60"/>
        <w:ind w:left="1134" w:hanging="283"/>
        <w:rPr>
          <w:rFonts w:eastAsia="Times New Roman"/>
          <w:szCs w:val="17"/>
        </w:rPr>
      </w:pPr>
      <w:r w:rsidRPr="00E26C8E">
        <w:rPr>
          <w:rFonts w:eastAsia="Times New Roman"/>
          <w:szCs w:val="17"/>
        </w:rPr>
        <w:t>•</w:t>
      </w:r>
      <w:r w:rsidRPr="00E26C8E">
        <w:rPr>
          <w:rFonts w:eastAsia="Times New Roman"/>
          <w:szCs w:val="17"/>
        </w:rPr>
        <w:tab/>
        <w:t>As required by Regulation 61(3) measurement criteria must insofar as is reasonably practicable and appropriate, be expressed in quantitative terms (rather than qualitative terms).</w:t>
      </w:r>
    </w:p>
    <w:p w:rsidR="00E26C8E" w:rsidRPr="00E26C8E" w:rsidRDefault="00E26C8E" w:rsidP="00052A19">
      <w:pPr>
        <w:spacing w:after="60"/>
        <w:ind w:left="1134" w:hanging="283"/>
        <w:rPr>
          <w:rFonts w:eastAsia="Times New Roman"/>
          <w:szCs w:val="17"/>
        </w:rPr>
      </w:pPr>
      <w:r w:rsidRPr="00E26C8E">
        <w:rPr>
          <w:rFonts w:eastAsia="Times New Roman"/>
          <w:szCs w:val="17"/>
        </w:rPr>
        <w:t>•</w:t>
      </w:r>
      <w:r w:rsidRPr="00E26C8E">
        <w:rPr>
          <w:rFonts w:eastAsia="Times New Roman"/>
          <w:szCs w:val="17"/>
        </w:rPr>
        <w:tab/>
        <w:t>Where appropriate, recognised industry standards, codes of practice or legislative provisions from other Acts can be used as criteria.</w:t>
      </w:r>
    </w:p>
    <w:p w:rsidR="00E26C8E" w:rsidRPr="00E26C8E" w:rsidRDefault="00E26C8E" w:rsidP="00052A19">
      <w:pPr>
        <w:spacing w:after="60"/>
        <w:ind w:left="1134" w:hanging="283"/>
        <w:rPr>
          <w:rFonts w:eastAsia="Times New Roman"/>
          <w:szCs w:val="17"/>
        </w:rPr>
      </w:pPr>
      <w:r w:rsidRPr="00E26C8E">
        <w:rPr>
          <w:rFonts w:eastAsia="Times New Roman"/>
          <w:szCs w:val="17"/>
        </w:rPr>
        <w:t>•</w:t>
      </w:r>
      <w:r w:rsidRPr="00E26C8E">
        <w:rPr>
          <w:rFonts w:eastAsia="Times New Roman"/>
          <w:szCs w:val="17"/>
        </w:rPr>
        <w:tab/>
        <w:t>All point-related measurement criteria, such as water bores, sampling points and photo points (including direction) must be included on a map.</w:t>
      </w:r>
    </w:p>
    <w:p w:rsidR="00E26C8E" w:rsidRPr="00E26C8E" w:rsidRDefault="00E26C8E" w:rsidP="00052A19">
      <w:pPr>
        <w:spacing w:after="60"/>
        <w:ind w:left="1134" w:hanging="283"/>
        <w:rPr>
          <w:rFonts w:eastAsia="Times New Roman"/>
          <w:szCs w:val="17"/>
        </w:rPr>
      </w:pPr>
      <w:r w:rsidRPr="00E26C8E">
        <w:rPr>
          <w:rFonts w:eastAsia="Times New Roman"/>
          <w:szCs w:val="17"/>
        </w:rPr>
        <w:t>•</w:t>
      </w:r>
      <w:r w:rsidRPr="00E26C8E">
        <w:rPr>
          <w:rFonts w:eastAsia="Times New Roman"/>
          <w:szCs w:val="17"/>
        </w:rPr>
        <w:tab/>
        <w:t>When control or baseline data is used, this must be included in the PEPR.</w:t>
      </w:r>
    </w:p>
    <w:p w:rsidR="00E26C8E" w:rsidRPr="00E26C8E" w:rsidRDefault="00E26C8E" w:rsidP="00052A19">
      <w:pPr>
        <w:spacing w:after="60"/>
        <w:ind w:left="1134" w:hanging="283"/>
        <w:rPr>
          <w:rFonts w:eastAsia="Times New Roman"/>
          <w:szCs w:val="17"/>
        </w:rPr>
      </w:pPr>
      <w:r w:rsidRPr="00E26C8E">
        <w:rPr>
          <w:rFonts w:eastAsia="Times New Roman"/>
          <w:szCs w:val="17"/>
        </w:rPr>
        <w:t>•</w:t>
      </w:r>
      <w:r w:rsidRPr="00E26C8E">
        <w:rPr>
          <w:rFonts w:eastAsia="Times New Roman"/>
          <w:szCs w:val="17"/>
        </w:rPr>
        <w:tab/>
        <w:t>Where attenuation is to be relied upon to demonstrate achievement of groundwater completion outcomes, a process must be provided for validation of predictive attenuation modelling, including a description of the model and assumptions used.</w:t>
      </w:r>
    </w:p>
    <w:p w:rsidR="00E26C8E" w:rsidRPr="00E26C8E" w:rsidRDefault="00E26C8E" w:rsidP="00052A19">
      <w:pPr>
        <w:spacing w:after="60"/>
        <w:ind w:left="1134" w:hanging="283"/>
        <w:rPr>
          <w:rFonts w:eastAsia="Times New Roman"/>
          <w:szCs w:val="17"/>
        </w:rPr>
      </w:pPr>
      <w:r w:rsidRPr="00E26C8E">
        <w:rPr>
          <w:rFonts w:eastAsia="Times New Roman"/>
          <w:szCs w:val="17"/>
        </w:rPr>
        <w:t>•</w:t>
      </w:r>
      <w:r w:rsidRPr="00E26C8E">
        <w:rPr>
          <w:rFonts w:eastAsia="Times New Roman"/>
          <w:szCs w:val="17"/>
        </w:rPr>
        <w:tab/>
        <w:t>Measurement criteria must be provided in relation to demonstrating achievement of radiological and soil completion outcomes.</w:t>
      </w:r>
    </w:p>
    <w:p w:rsidR="00E26C8E" w:rsidRPr="00E26C8E" w:rsidRDefault="00E26C8E" w:rsidP="00052A19">
      <w:pPr>
        <w:spacing w:after="60"/>
        <w:ind w:left="1134" w:hanging="283"/>
        <w:rPr>
          <w:rFonts w:eastAsia="Times New Roman"/>
          <w:szCs w:val="17"/>
        </w:rPr>
      </w:pPr>
      <w:r w:rsidRPr="00E26C8E">
        <w:rPr>
          <w:rFonts w:eastAsia="Times New Roman"/>
          <w:szCs w:val="17"/>
        </w:rPr>
        <w:t>•</w:t>
      </w:r>
      <w:r w:rsidRPr="00E26C8E">
        <w:rPr>
          <w:rFonts w:eastAsia="Times New Roman"/>
          <w:szCs w:val="17"/>
        </w:rPr>
        <w:tab/>
        <w:t>Where native vegetation clearance is planned and in the case where an on ground offset by the operator is to be used to demonstrate the Significant Environmental Benefit (SEB), the statement of criteria must demonstrate the successful implementation of the on ground offset through the native vegetation management plan.</w:t>
      </w:r>
    </w:p>
    <w:p w:rsidR="00E26C8E" w:rsidRPr="00E26C8E" w:rsidRDefault="00E26C8E" w:rsidP="00052A19">
      <w:pPr>
        <w:spacing w:after="60"/>
        <w:ind w:left="851" w:hanging="425"/>
        <w:rPr>
          <w:rFonts w:eastAsia="Times New Roman"/>
          <w:b/>
          <w:szCs w:val="17"/>
        </w:rPr>
      </w:pPr>
      <w:r w:rsidRPr="00E26C8E">
        <w:rPr>
          <w:rFonts w:eastAsia="Times New Roman"/>
          <w:b/>
          <w:szCs w:val="17"/>
        </w:rPr>
        <w:t>4.4</w:t>
      </w:r>
      <w:r w:rsidRPr="00E26C8E">
        <w:rPr>
          <w:rFonts w:eastAsia="Times New Roman"/>
          <w:b/>
          <w:szCs w:val="17"/>
        </w:rPr>
        <w:tab/>
        <w:t xml:space="preserve">Leading Indicator Criteria </w:t>
      </w:r>
    </w:p>
    <w:p w:rsidR="00E26C8E" w:rsidRPr="00E26C8E" w:rsidRDefault="00E26C8E" w:rsidP="00052A19">
      <w:pPr>
        <w:spacing w:after="60"/>
        <w:ind w:left="851"/>
        <w:rPr>
          <w:rFonts w:eastAsia="Times New Roman"/>
          <w:szCs w:val="17"/>
        </w:rPr>
      </w:pPr>
      <w:r w:rsidRPr="00E26C8E">
        <w:rPr>
          <w:rFonts w:eastAsia="Times New Roman"/>
          <w:szCs w:val="17"/>
        </w:rPr>
        <w:t>If required by the lease/licence and/or where there is a high level of reliance on control strategies to achieve an environmental outcome, set out a statement of the leading indicator criteria as required by Regulation 63(1)(d) that will be used to give an early warning that a control strategy may fail or be failing.</w:t>
      </w:r>
    </w:p>
    <w:p w:rsidR="00E26C8E" w:rsidRPr="00E26C8E" w:rsidRDefault="00E26C8E" w:rsidP="00052A19">
      <w:pPr>
        <w:spacing w:after="60"/>
        <w:ind w:left="851"/>
        <w:rPr>
          <w:rFonts w:eastAsia="Times New Roman"/>
          <w:szCs w:val="17"/>
        </w:rPr>
      </w:pPr>
      <w:r w:rsidRPr="00E26C8E">
        <w:rPr>
          <w:rFonts w:eastAsia="Times New Roman"/>
          <w:szCs w:val="17"/>
        </w:rPr>
        <w:t>In preparing a statement of the leading indicator criteria, the Minister determines in accordance with regulation 63(3)(e) of the</w:t>
      </w:r>
      <w:r w:rsidRPr="00E26C8E">
        <w:rPr>
          <w:rFonts w:eastAsia="Times New Roman"/>
          <w:i/>
          <w:szCs w:val="17"/>
        </w:rPr>
        <w:t xml:space="preserve"> Mining Regulations 2020</w:t>
      </w:r>
      <w:r w:rsidRPr="00E26C8E">
        <w:rPr>
          <w:rFonts w:eastAsia="Times New Roman"/>
          <w:szCs w:val="17"/>
        </w:rPr>
        <w:t xml:space="preserve"> the following:</w:t>
      </w:r>
    </w:p>
    <w:p w:rsidR="00E26C8E" w:rsidRPr="00E26C8E" w:rsidRDefault="00E26C8E" w:rsidP="00052A19">
      <w:pPr>
        <w:spacing w:after="60"/>
        <w:ind w:left="993"/>
        <w:rPr>
          <w:rFonts w:eastAsia="Times New Roman"/>
          <w:szCs w:val="17"/>
        </w:rPr>
      </w:pPr>
      <w:r w:rsidRPr="00E26C8E">
        <w:rPr>
          <w:rFonts w:eastAsia="Times New Roman"/>
          <w:szCs w:val="17"/>
        </w:rPr>
        <w:t>The statement of leading indicator criteria must comply with Regulation 63(1)(d), and must include details about:</w:t>
      </w:r>
    </w:p>
    <w:p w:rsidR="00E26C8E" w:rsidRPr="00E26C8E" w:rsidRDefault="00E26C8E" w:rsidP="00052A19">
      <w:pPr>
        <w:spacing w:after="60"/>
        <w:ind w:left="1276" w:hanging="283"/>
        <w:rPr>
          <w:rFonts w:eastAsia="Times New Roman"/>
          <w:szCs w:val="17"/>
        </w:rPr>
      </w:pPr>
      <w:r w:rsidRPr="00E26C8E">
        <w:rPr>
          <w:rFonts w:eastAsia="Times New Roman"/>
          <w:szCs w:val="17"/>
        </w:rPr>
        <w:t>•</w:t>
      </w:r>
      <w:r w:rsidRPr="00E26C8E">
        <w:rPr>
          <w:rFonts w:eastAsia="Times New Roman"/>
          <w:szCs w:val="17"/>
        </w:rPr>
        <w:tab/>
        <w:t>what is to be measured and the form of the measurements that are to be used;</w:t>
      </w:r>
    </w:p>
    <w:p w:rsidR="00E26C8E" w:rsidRPr="00E26C8E" w:rsidRDefault="00E26C8E" w:rsidP="00052A19">
      <w:pPr>
        <w:spacing w:after="60"/>
        <w:ind w:left="1276" w:hanging="283"/>
        <w:rPr>
          <w:rFonts w:eastAsia="Times New Roman"/>
          <w:szCs w:val="17"/>
        </w:rPr>
      </w:pPr>
      <w:r w:rsidRPr="00E26C8E">
        <w:rPr>
          <w:rFonts w:eastAsia="Times New Roman"/>
          <w:szCs w:val="17"/>
        </w:rPr>
        <w:t>•</w:t>
      </w:r>
      <w:r w:rsidRPr="00E26C8E">
        <w:rPr>
          <w:rFonts w:eastAsia="Times New Roman"/>
          <w:szCs w:val="17"/>
        </w:rPr>
        <w:tab/>
        <w:t>the locations where the relevant measurements are to be taken, or how such locations are to be determined;</w:t>
      </w:r>
    </w:p>
    <w:p w:rsidR="00E26C8E" w:rsidRPr="00E26C8E" w:rsidRDefault="00E26C8E" w:rsidP="00052A19">
      <w:pPr>
        <w:spacing w:after="60"/>
        <w:ind w:left="1276" w:hanging="283"/>
        <w:rPr>
          <w:rFonts w:eastAsia="Times New Roman"/>
          <w:szCs w:val="17"/>
        </w:rPr>
      </w:pPr>
      <w:r w:rsidRPr="00E26C8E">
        <w:rPr>
          <w:rFonts w:eastAsia="Times New Roman"/>
          <w:szCs w:val="17"/>
        </w:rPr>
        <w:t>•</w:t>
      </w:r>
      <w:r w:rsidRPr="00E26C8E">
        <w:rPr>
          <w:rFonts w:eastAsia="Times New Roman"/>
          <w:szCs w:val="17"/>
        </w:rPr>
        <w:tab/>
        <w:t>what is proposed to be taken to constitute the achievement of the relevant outcomes (with consideration given to any inherent errors of measurement);</w:t>
      </w:r>
    </w:p>
    <w:p w:rsidR="00E26C8E" w:rsidRPr="00E26C8E" w:rsidRDefault="00E26C8E" w:rsidP="00052A19">
      <w:pPr>
        <w:spacing w:after="60"/>
        <w:ind w:left="1276" w:hanging="283"/>
        <w:rPr>
          <w:rFonts w:eastAsia="Times New Roman"/>
          <w:szCs w:val="17"/>
        </w:rPr>
      </w:pPr>
      <w:r w:rsidRPr="00E26C8E">
        <w:rPr>
          <w:rFonts w:eastAsia="Times New Roman"/>
          <w:szCs w:val="17"/>
        </w:rPr>
        <w:t>•</w:t>
      </w:r>
      <w:r w:rsidRPr="00E26C8E">
        <w:rPr>
          <w:rFonts w:eastAsia="Times New Roman"/>
          <w:szCs w:val="17"/>
        </w:rPr>
        <w:tab/>
        <w:t>the frequency of any measuring or monitoring; and</w:t>
      </w:r>
    </w:p>
    <w:p w:rsidR="00E26C8E" w:rsidRPr="00E26C8E" w:rsidRDefault="00E26C8E" w:rsidP="00052A19">
      <w:pPr>
        <w:spacing w:after="60"/>
        <w:ind w:left="1276" w:hanging="283"/>
        <w:rPr>
          <w:rFonts w:eastAsia="Times New Roman"/>
          <w:szCs w:val="17"/>
        </w:rPr>
      </w:pPr>
      <w:r w:rsidRPr="00E26C8E">
        <w:rPr>
          <w:rFonts w:eastAsia="Times New Roman"/>
          <w:szCs w:val="17"/>
        </w:rPr>
        <w:t>•</w:t>
      </w:r>
      <w:r w:rsidRPr="00E26C8E">
        <w:rPr>
          <w:rFonts w:eastAsia="Times New Roman"/>
          <w:szCs w:val="17"/>
        </w:rPr>
        <w:tab/>
        <w:t>any background or control data that is to be used, or how any such data is to be acquired.</w:t>
      </w:r>
    </w:p>
    <w:p w:rsidR="00E26C8E" w:rsidRPr="00E26C8E" w:rsidRDefault="00E26C8E" w:rsidP="00052A19">
      <w:pPr>
        <w:spacing w:after="60"/>
        <w:ind w:left="1276" w:hanging="283"/>
        <w:rPr>
          <w:rFonts w:eastAsia="Times New Roman"/>
          <w:szCs w:val="17"/>
        </w:rPr>
      </w:pPr>
      <w:r w:rsidRPr="00E26C8E">
        <w:rPr>
          <w:rFonts w:eastAsia="Times New Roman"/>
          <w:szCs w:val="17"/>
        </w:rPr>
        <w:t>•</w:t>
      </w:r>
      <w:r w:rsidRPr="00E26C8E">
        <w:rPr>
          <w:rFonts w:eastAsia="Times New Roman"/>
          <w:szCs w:val="17"/>
        </w:rPr>
        <w:tab/>
        <w:t>The statement of leading indicator criteria must include details about:</w:t>
      </w:r>
    </w:p>
    <w:p w:rsidR="00E26C8E" w:rsidRPr="00E26C8E" w:rsidRDefault="00E26C8E" w:rsidP="00052A19">
      <w:pPr>
        <w:spacing w:after="60"/>
        <w:ind w:left="1560" w:hanging="284"/>
        <w:rPr>
          <w:rFonts w:eastAsia="Times New Roman"/>
          <w:szCs w:val="17"/>
        </w:rPr>
      </w:pPr>
      <w:r w:rsidRPr="00E26C8E">
        <w:rPr>
          <w:rFonts w:eastAsia="Times New Roman"/>
          <w:szCs w:val="17"/>
        </w:rPr>
        <w:t>◦</w:t>
      </w:r>
      <w:r w:rsidRPr="00E26C8E">
        <w:rPr>
          <w:rFonts w:eastAsia="Times New Roman"/>
          <w:szCs w:val="17"/>
        </w:rPr>
        <w:tab/>
        <w:t>responsibility (who will measure);</w:t>
      </w:r>
    </w:p>
    <w:p w:rsidR="00E26C8E" w:rsidRPr="00E26C8E" w:rsidRDefault="00E26C8E" w:rsidP="00052A19">
      <w:pPr>
        <w:spacing w:after="60"/>
        <w:ind w:left="1560" w:hanging="284"/>
        <w:rPr>
          <w:rFonts w:eastAsia="Times New Roman"/>
          <w:szCs w:val="17"/>
        </w:rPr>
      </w:pPr>
      <w:r w:rsidRPr="00E26C8E">
        <w:rPr>
          <w:rFonts w:eastAsia="Times New Roman"/>
          <w:szCs w:val="17"/>
        </w:rPr>
        <w:t>◦</w:t>
      </w:r>
      <w:r w:rsidRPr="00E26C8E">
        <w:rPr>
          <w:rFonts w:eastAsia="Times New Roman"/>
          <w:szCs w:val="17"/>
        </w:rPr>
        <w:tab/>
        <w:t>record keeping; and</w:t>
      </w:r>
    </w:p>
    <w:p w:rsidR="00E26C8E" w:rsidRPr="00E26C8E" w:rsidRDefault="00E26C8E" w:rsidP="00052A19">
      <w:pPr>
        <w:spacing w:after="60"/>
        <w:ind w:left="1560" w:hanging="284"/>
        <w:rPr>
          <w:rFonts w:eastAsia="Times New Roman"/>
          <w:szCs w:val="17"/>
        </w:rPr>
      </w:pPr>
      <w:r w:rsidRPr="00E26C8E">
        <w:rPr>
          <w:rFonts w:eastAsia="Times New Roman"/>
          <w:szCs w:val="17"/>
        </w:rPr>
        <w:t>◦</w:t>
      </w:r>
      <w:r w:rsidRPr="00E26C8E">
        <w:rPr>
          <w:rFonts w:eastAsia="Times New Roman"/>
          <w:szCs w:val="17"/>
        </w:rPr>
        <w:tab/>
        <w:t>frequency of reporting to management and any external parties.</w:t>
      </w:r>
    </w:p>
    <w:p w:rsidR="00E26C8E" w:rsidRPr="00E26C8E" w:rsidRDefault="00E26C8E" w:rsidP="00052A19">
      <w:pPr>
        <w:spacing w:after="60"/>
        <w:ind w:left="426" w:hanging="284"/>
        <w:rPr>
          <w:rFonts w:eastAsia="Times New Roman"/>
          <w:b/>
          <w:szCs w:val="17"/>
        </w:rPr>
      </w:pPr>
      <w:r w:rsidRPr="00E26C8E">
        <w:rPr>
          <w:rFonts w:eastAsia="Times New Roman"/>
          <w:b/>
          <w:szCs w:val="17"/>
        </w:rPr>
        <w:t>5.</w:t>
      </w:r>
      <w:r w:rsidRPr="00E26C8E">
        <w:rPr>
          <w:rFonts w:eastAsia="Times New Roman"/>
          <w:b/>
          <w:szCs w:val="17"/>
        </w:rPr>
        <w:tab/>
        <w:t>OPERATOR CAPABILITY</w:t>
      </w:r>
    </w:p>
    <w:p w:rsidR="00E26C8E" w:rsidRPr="00E26C8E" w:rsidRDefault="00E26C8E" w:rsidP="00052A19">
      <w:pPr>
        <w:spacing w:after="60"/>
        <w:ind w:left="426"/>
        <w:rPr>
          <w:rFonts w:eastAsia="Times New Roman"/>
          <w:szCs w:val="17"/>
        </w:rPr>
      </w:pPr>
      <w:r w:rsidRPr="00E26C8E">
        <w:rPr>
          <w:rFonts w:eastAsia="Times New Roman"/>
          <w:szCs w:val="17"/>
        </w:rPr>
        <w:t>In preparing information about the ability of the tenement holder (and any other person who may be acting on behalf of the tenement holder) in accordance with section 70B(2)(d) of the</w:t>
      </w:r>
      <w:r w:rsidRPr="00E26C8E">
        <w:rPr>
          <w:rFonts w:eastAsia="Times New Roman"/>
          <w:i/>
          <w:szCs w:val="17"/>
        </w:rPr>
        <w:t xml:space="preserve"> Mining Act 1971</w:t>
      </w:r>
      <w:r w:rsidRPr="00E26C8E">
        <w:rPr>
          <w:rFonts w:eastAsia="Times New Roman"/>
          <w:szCs w:val="17"/>
        </w:rPr>
        <w:t>, the Minister determined in accordance with regulation 63(3)(e) of the</w:t>
      </w:r>
      <w:r w:rsidRPr="00E26C8E">
        <w:rPr>
          <w:rFonts w:eastAsia="Times New Roman"/>
          <w:i/>
          <w:szCs w:val="17"/>
        </w:rPr>
        <w:t xml:space="preserve"> Mining Regulations 2020</w:t>
      </w:r>
      <w:r w:rsidRPr="00E26C8E">
        <w:rPr>
          <w:rFonts w:eastAsia="Times New Roman"/>
          <w:szCs w:val="17"/>
        </w:rPr>
        <w:t xml:space="preserve"> that this information must be accompanied by relevant</w:t>
      </w:r>
      <w:r w:rsidRPr="00E26C8E">
        <w:rPr>
          <w:rFonts w:eastAsia="Times New Roman"/>
          <w:i/>
          <w:szCs w:val="17"/>
        </w:rPr>
        <w:t xml:space="preserve"> </w:t>
      </w:r>
      <w:r w:rsidRPr="00E26C8E">
        <w:rPr>
          <w:rFonts w:eastAsia="Times New Roman"/>
          <w:szCs w:val="17"/>
        </w:rPr>
        <w:t>evidence demonstrating that the tenement holder (and any other person who may be acting on behalf of the tenement holder as an operator) has appropriate experience, processes and procedures in place to be able to achieve the environmental outcomes.</w:t>
      </w:r>
    </w:p>
    <w:p w:rsidR="00E26C8E" w:rsidRPr="00E26C8E" w:rsidRDefault="00E26C8E" w:rsidP="00052A19">
      <w:pPr>
        <w:spacing w:after="60"/>
        <w:ind w:left="426" w:hanging="284"/>
        <w:rPr>
          <w:rFonts w:eastAsia="Times New Roman"/>
          <w:b/>
          <w:szCs w:val="17"/>
        </w:rPr>
      </w:pPr>
      <w:r w:rsidRPr="00E26C8E">
        <w:rPr>
          <w:rFonts w:eastAsia="Times New Roman"/>
          <w:b/>
          <w:szCs w:val="17"/>
        </w:rPr>
        <w:t>6.</w:t>
      </w:r>
      <w:r w:rsidRPr="00E26C8E">
        <w:rPr>
          <w:rFonts w:eastAsia="Times New Roman"/>
          <w:b/>
          <w:szCs w:val="17"/>
        </w:rPr>
        <w:tab/>
        <w:t>LEASE/LICENCE</w:t>
      </w:r>
    </w:p>
    <w:p w:rsidR="00E26C8E" w:rsidRPr="00E26C8E" w:rsidRDefault="00E26C8E" w:rsidP="00052A19">
      <w:pPr>
        <w:spacing w:after="60"/>
        <w:ind w:left="426"/>
        <w:rPr>
          <w:rFonts w:eastAsia="Times New Roman"/>
          <w:szCs w:val="17"/>
        </w:rPr>
      </w:pPr>
      <w:r w:rsidRPr="00E26C8E">
        <w:rPr>
          <w:rFonts w:eastAsia="Times New Roman"/>
          <w:szCs w:val="17"/>
        </w:rPr>
        <w:t>Where the lease or licence includes specific conditions or requirements that are not environmental outcomes, in accordance with regulation 63(1)(e) a PEPR must include a section that demonstrates where the respective conditions or requirements</w:t>
      </w:r>
      <w:r w:rsidRPr="00E26C8E">
        <w:rPr>
          <w:rFonts w:eastAsia="Times New Roman"/>
          <w:i/>
          <w:szCs w:val="17"/>
        </w:rPr>
        <w:t xml:space="preserve"> </w:t>
      </w:r>
      <w:r w:rsidRPr="00E26C8E">
        <w:rPr>
          <w:rFonts w:eastAsia="Times New Roman"/>
          <w:szCs w:val="17"/>
        </w:rPr>
        <w:t>have been addressed in the PEPR (if relevant) or demonstrates how otherwise they have or will be complied with.</w:t>
      </w:r>
    </w:p>
    <w:p w:rsidR="00E26C8E" w:rsidRPr="00E26C8E" w:rsidRDefault="00E26C8E" w:rsidP="00052A19">
      <w:pPr>
        <w:spacing w:after="60"/>
        <w:ind w:left="426" w:hanging="284"/>
        <w:rPr>
          <w:rFonts w:eastAsia="Times New Roman"/>
          <w:b/>
          <w:szCs w:val="17"/>
        </w:rPr>
      </w:pPr>
      <w:r w:rsidRPr="00E26C8E">
        <w:rPr>
          <w:rFonts w:eastAsia="Times New Roman"/>
          <w:b/>
          <w:szCs w:val="17"/>
        </w:rPr>
        <w:t>7.</w:t>
      </w:r>
      <w:r w:rsidRPr="00E26C8E">
        <w:rPr>
          <w:rFonts w:eastAsia="Times New Roman"/>
          <w:b/>
          <w:szCs w:val="17"/>
        </w:rPr>
        <w:tab/>
        <w:t>MAPS AND CROSS-SECTIONS</w:t>
      </w:r>
    </w:p>
    <w:p w:rsidR="00E26C8E" w:rsidRPr="00E26C8E" w:rsidRDefault="00E26C8E" w:rsidP="00052A19">
      <w:pPr>
        <w:spacing w:after="60"/>
        <w:ind w:left="426"/>
        <w:rPr>
          <w:rFonts w:eastAsia="Times New Roman"/>
          <w:szCs w:val="17"/>
        </w:rPr>
      </w:pPr>
      <w:r w:rsidRPr="00E26C8E">
        <w:rPr>
          <w:rFonts w:eastAsia="Times New Roman"/>
          <w:szCs w:val="17"/>
        </w:rPr>
        <w:t>In preparing a PEPR in accordance with section 70B(2) of the</w:t>
      </w:r>
      <w:r w:rsidRPr="00E26C8E">
        <w:rPr>
          <w:rFonts w:eastAsia="Times New Roman"/>
          <w:i/>
          <w:szCs w:val="17"/>
        </w:rPr>
        <w:t xml:space="preserve"> Mining Act 1971</w:t>
      </w:r>
      <w:r w:rsidRPr="00E26C8E">
        <w:rPr>
          <w:rFonts w:eastAsia="Times New Roman"/>
          <w:szCs w:val="17"/>
        </w:rPr>
        <w:t xml:space="preserve"> and regulation 63 of the</w:t>
      </w:r>
      <w:r w:rsidRPr="00E26C8E">
        <w:rPr>
          <w:rFonts w:eastAsia="Times New Roman"/>
          <w:i/>
          <w:szCs w:val="17"/>
        </w:rPr>
        <w:t xml:space="preserve"> Mining Regulations 2020</w:t>
      </w:r>
      <w:r w:rsidRPr="00E26C8E">
        <w:rPr>
          <w:rFonts w:eastAsia="Times New Roman"/>
          <w:szCs w:val="17"/>
        </w:rPr>
        <w:t>, the Minister determines in accordance with regulation 63(3)(e) of the</w:t>
      </w:r>
      <w:r w:rsidRPr="00E26C8E">
        <w:rPr>
          <w:rFonts w:eastAsia="Times New Roman"/>
          <w:i/>
          <w:szCs w:val="17"/>
        </w:rPr>
        <w:t xml:space="preserve"> Mining Regulations 2020</w:t>
      </w:r>
      <w:r w:rsidRPr="00E26C8E">
        <w:rPr>
          <w:rFonts w:eastAsia="Times New Roman"/>
          <w:szCs w:val="17"/>
        </w:rPr>
        <w:t xml:space="preserve"> that all maps, plans and cross sections must comply with the following requirements relating to the amount of detail or information to be provided:</w:t>
      </w:r>
    </w:p>
    <w:p w:rsidR="00E26C8E" w:rsidRPr="00E26C8E" w:rsidRDefault="00E26C8E" w:rsidP="00052A19">
      <w:pPr>
        <w:spacing w:after="60"/>
        <w:ind w:left="426"/>
        <w:rPr>
          <w:rFonts w:eastAsia="Times New Roman"/>
          <w:szCs w:val="17"/>
        </w:rPr>
      </w:pPr>
      <w:r w:rsidRPr="00E26C8E">
        <w:rPr>
          <w:rFonts w:eastAsia="Times New Roman"/>
          <w:szCs w:val="17"/>
        </w:rPr>
        <w:t>•</w:t>
      </w:r>
      <w:r w:rsidRPr="00E26C8E">
        <w:rPr>
          <w:rFonts w:eastAsia="Times New Roman"/>
          <w:szCs w:val="17"/>
        </w:rPr>
        <w:tab/>
        <w:t>state and show the relevant datum (Australian Height Datum (AHD) is preferred);</w:t>
      </w:r>
    </w:p>
    <w:p w:rsidR="00E26C8E" w:rsidRPr="00E26C8E" w:rsidRDefault="00E26C8E" w:rsidP="00052A19">
      <w:pPr>
        <w:spacing w:after="60"/>
        <w:ind w:left="426"/>
        <w:rPr>
          <w:rFonts w:eastAsia="Times New Roman"/>
          <w:szCs w:val="17"/>
        </w:rPr>
      </w:pPr>
      <w:r w:rsidRPr="00E26C8E">
        <w:rPr>
          <w:rFonts w:eastAsia="Times New Roman"/>
          <w:szCs w:val="17"/>
        </w:rPr>
        <w:t>•</w:t>
      </w:r>
      <w:r w:rsidRPr="00E26C8E">
        <w:rPr>
          <w:rFonts w:eastAsia="Times New Roman"/>
          <w:szCs w:val="17"/>
        </w:rPr>
        <w:tab/>
        <w:t>metric units;</w:t>
      </w:r>
    </w:p>
    <w:p w:rsidR="00E26C8E" w:rsidRPr="00E26C8E" w:rsidRDefault="00E26C8E" w:rsidP="00052A19">
      <w:pPr>
        <w:spacing w:after="60"/>
        <w:ind w:left="426"/>
        <w:rPr>
          <w:rFonts w:eastAsia="Times New Roman"/>
          <w:szCs w:val="17"/>
        </w:rPr>
      </w:pPr>
      <w:r w:rsidRPr="00E26C8E">
        <w:rPr>
          <w:rFonts w:eastAsia="Times New Roman"/>
          <w:szCs w:val="17"/>
        </w:rPr>
        <w:t>•</w:t>
      </w:r>
      <w:r w:rsidRPr="00E26C8E">
        <w:rPr>
          <w:rFonts w:eastAsia="Times New Roman"/>
          <w:szCs w:val="17"/>
        </w:rPr>
        <w:tab/>
        <w:t>title, north arrow, scale bar, text and legend;</w:t>
      </w:r>
    </w:p>
    <w:p w:rsidR="00E26C8E" w:rsidRPr="00E26C8E" w:rsidRDefault="00E26C8E" w:rsidP="00052A19">
      <w:pPr>
        <w:spacing w:after="60"/>
        <w:ind w:left="426"/>
        <w:rPr>
          <w:rFonts w:eastAsia="Times New Roman"/>
          <w:szCs w:val="17"/>
        </w:rPr>
      </w:pPr>
      <w:r w:rsidRPr="00E26C8E">
        <w:rPr>
          <w:rFonts w:eastAsia="Times New Roman"/>
          <w:szCs w:val="17"/>
        </w:rPr>
        <w:t>•</w:t>
      </w:r>
      <w:r w:rsidRPr="00E26C8E">
        <w:rPr>
          <w:rFonts w:eastAsia="Times New Roman"/>
          <w:szCs w:val="17"/>
        </w:rPr>
        <w:tab/>
        <w:t>date prepared and author;</w:t>
      </w:r>
    </w:p>
    <w:p w:rsidR="00E26C8E" w:rsidRPr="00E26C8E" w:rsidRDefault="00E26C8E" w:rsidP="00052A19">
      <w:pPr>
        <w:spacing w:after="60"/>
        <w:ind w:left="426"/>
        <w:rPr>
          <w:rFonts w:eastAsia="Times New Roman"/>
          <w:szCs w:val="17"/>
        </w:rPr>
      </w:pPr>
      <w:r w:rsidRPr="00E26C8E">
        <w:rPr>
          <w:rFonts w:eastAsia="Times New Roman"/>
          <w:szCs w:val="17"/>
        </w:rPr>
        <w:t>•</w:t>
      </w:r>
      <w:r w:rsidRPr="00E26C8E">
        <w:rPr>
          <w:rFonts w:eastAsia="Times New Roman"/>
          <w:szCs w:val="17"/>
        </w:rPr>
        <w:tab/>
        <w:t>be of appropriate resolution and scale for represented information; and</w:t>
      </w:r>
    </w:p>
    <w:p w:rsidR="00E26C8E" w:rsidRPr="00E26C8E" w:rsidRDefault="00E26C8E" w:rsidP="00052A19">
      <w:pPr>
        <w:spacing w:after="60"/>
        <w:ind w:left="426"/>
        <w:rPr>
          <w:rFonts w:eastAsia="Times New Roman"/>
          <w:szCs w:val="17"/>
        </w:rPr>
      </w:pPr>
      <w:r w:rsidRPr="00E26C8E">
        <w:rPr>
          <w:rFonts w:eastAsia="Times New Roman"/>
          <w:szCs w:val="17"/>
        </w:rPr>
        <w:t>•</w:t>
      </w:r>
      <w:r w:rsidRPr="00E26C8E">
        <w:rPr>
          <w:rFonts w:eastAsia="Times New Roman"/>
          <w:szCs w:val="17"/>
        </w:rPr>
        <w:tab/>
        <w:t>be legible in both the hardcopy and electronic versions of the submission.</w:t>
      </w:r>
    </w:p>
    <w:p w:rsidR="00E26C8E" w:rsidRPr="00E26C8E" w:rsidRDefault="00E26C8E" w:rsidP="00052A19">
      <w:pPr>
        <w:spacing w:after="60"/>
        <w:ind w:left="426"/>
        <w:rPr>
          <w:rFonts w:eastAsia="Times New Roman"/>
          <w:szCs w:val="17"/>
        </w:rPr>
      </w:pPr>
      <w:r w:rsidRPr="00E26C8E">
        <w:rPr>
          <w:rFonts w:eastAsia="Times New Roman"/>
          <w:szCs w:val="17"/>
        </w:rPr>
        <w:t>All cross-sections must conform to the following standards:</w:t>
      </w:r>
    </w:p>
    <w:p w:rsidR="00E26C8E" w:rsidRPr="00E26C8E" w:rsidRDefault="00E26C8E" w:rsidP="00052A19">
      <w:pPr>
        <w:spacing w:after="60"/>
        <w:ind w:left="426"/>
        <w:rPr>
          <w:rFonts w:eastAsia="Times New Roman"/>
          <w:szCs w:val="17"/>
        </w:rPr>
      </w:pPr>
      <w:r w:rsidRPr="00E26C8E">
        <w:rPr>
          <w:rFonts w:eastAsia="Times New Roman"/>
          <w:szCs w:val="17"/>
        </w:rPr>
        <w:t>•</w:t>
      </w:r>
      <w:r w:rsidRPr="00E26C8E">
        <w:rPr>
          <w:rFonts w:eastAsia="Times New Roman"/>
          <w:szCs w:val="17"/>
        </w:rPr>
        <w:tab/>
        <w:t>state and show the relevant datum (Australian Height Datum (AHD) is preferred);</w:t>
      </w:r>
    </w:p>
    <w:p w:rsidR="00E26C8E" w:rsidRPr="00E26C8E" w:rsidRDefault="00E26C8E" w:rsidP="00052A19">
      <w:pPr>
        <w:spacing w:after="60"/>
        <w:ind w:left="426"/>
        <w:rPr>
          <w:rFonts w:eastAsia="Times New Roman"/>
          <w:szCs w:val="17"/>
        </w:rPr>
      </w:pPr>
      <w:r w:rsidRPr="00E26C8E">
        <w:rPr>
          <w:rFonts w:eastAsia="Times New Roman"/>
          <w:szCs w:val="17"/>
        </w:rPr>
        <w:t>•</w:t>
      </w:r>
      <w:r w:rsidRPr="00E26C8E">
        <w:rPr>
          <w:rFonts w:eastAsia="Times New Roman"/>
          <w:szCs w:val="17"/>
        </w:rPr>
        <w:tab/>
        <w:t>metric units;</w:t>
      </w:r>
    </w:p>
    <w:p w:rsidR="00E26C8E" w:rsidRPr="00E26C8E" w:rsidRDefault="00E26C8E" w:rsidP="00052A19">
      <w:pPr>
        <w:spacing w:after="60"/>
        <w:ind w:left="426"/>
        <w:rPr>
          <w:rFonts w:eastAsia="Times New Roman"/>
          <w:szCs w:val="17"/>
        </w:rPr>
      </w:pPr>
      <w:r w:rsidRPr="00E26C8E">
        <w:rPr>
          <w:rFonts w:eastAsia="Times New Roman"/>
          <w:szCs w:val="17"/>
        </w:rPr>
        <w:t>•</w:t>
      </w:r>
      <w:r w:rsidRPr="00E26C8E">
        <w:rPr>
          <w:rFonts w:eastAsia="Times New Roman"/>
          <w:szCs w:val="17"/>
        </w:rPr>
        <w:tab/>
        <w:t>title, scale bar, text and legend;</w:t>
      </w:r>
    </w:p>
    <w:p w:rsidR="00E26C8E" w:rsidRPr="00E26C8E" w:rsidRDefault="00E26C8E" w:rsidP="00052A19">
      <w:pPr>
        <w:spacing w:after="60"/>
        <w:ind w:left="426"/>
        <w:rPr>
          <w:rFonts w:eastAsia="Times New Roman"/>
          <w:szCs w:val="17"/>
        </w:rPr>
      </w:pPr>
      <w:r w:rsidRPr="00E26C8E">
        <w:rPr>
          <w:rFonts w:eastAsia="Times New Roman"/>
          <w:szCs w:val="17"/>
        </w:rPr>
        <w:t>•</w:t>
      </w:r>
      <w:r w:rsidRPr="00E26C8E">
        <w:rPr>
          <w:rFonts w:eastAsia="Times New Roman"/>
          <w:szCs w:val="17"/>
        </w:rPr>
        <w:tab/>
        <w:t>date prepared and author;</w:t>
      </w:r>
    </w:p>
    <w:p w:rsidR="00E26C8E" w:rsidRPr="00E26C8E" w:rsidRDefault="00E26C8E" w:rsidP="00052A19">
      <w:pPr>
        <w:spacing w:after="60"/>
        <w:ind w:left="426"/>
        <w:rPr>
          <w:rFonts w:eastAsia="Times New Roman"/>
          <w:szCs w:val="17"/>
        </w:rPr>
      </w:pPr>
      <w:r w:rsidRPr="00E26C8E">
        <w:rPr>
          <w:rFonts w:eastAsia="Times New Roman"/>
          <w:szCs w:val="17"/>
        </w:rPr>
        <w:t>•</w:t>
      </w:r>
      <w:r w:rsidRPr="00E26C8E">
        <w:rPr>
          <w:rFonts w:eastAsia="Times New Roman"/>
          <w:szCs w:val="17"/>
        </w:rPr>
        <w:tab/>
        <w:t>be of appropriate resolution and scale for represented information;</w:t>
      </w:r>
    </w:p>
    <w:p w:rsidR="00E26C8E" w:rsidRPr="00E26C8E" w:rsidRDefault="00E26C8E" w:rsidP="00052A19">
      <w:pPr>
        <w:spacing w:after="60"/>
        <w:ind w:left="426"/>
        <w:rPr>
          <w:rFonts w:eastAsia="Times New Roman"/>
          <w:szCs w:val="17"/>
        </w:rPr>
      </w:pPr>
      <w:r w:rsidRPr="00E26C8E">
        <w:rPr>
          <w:rFonts w:eastAsia="Times New Roman"/>
          <w:szCs w:val="17"/>
        </w:rPr>
        <w:t>•</w:t>
      </w:r>
      <w:r w:rsidRPr="00E26C8E">
        <w:rPr>
          <w:rFonts w:eastAsia="Times New Roman"/>
          <w:szCs w:val="17"/>
        </w:rPr>
        <w:tab/>
        <w:t>be legible in both the hardcopy and electronic versions of the submission; and</w:t>
      </w:r>
    </w:p>
    <w:p w:rsidR="00E26C8E" w:rsidRPr="00E26C8E" w:rsidRDefault="00E26C8E" w:rsidP="00052A19">
      <w:pPr>
        <w:spacing w:after="60"/>
        <w:ind w:left="426"/>
        <w:rPr>
          <w:rFonts w:eastAsia="Times New Roman"/>
          <w:szCs w:val="17"/>
        </w:rPr>
      </w:pPr>
      <w:r w:rsidRPr="00E26C8E">
        <w:rPr>
          <w:rFonts w:eastAsia="Times New Roman"/>
          <w:szCs w:val="17"/>
        </w:rPr>
        <w:t>•</w:t>
      </w:r>
      <w:r w:rsidRPr="00E26C8E">
        <w:rPr>
          <w:rFonts w:eastAsia="Times New Roman"/>
          <w:szCs w:val="17"/>
        </w:rPr>
        <w:tab/>
        <w:t>be accompanied by a map showing the orientation of the cross-sections.</w:t>
      </w:r>
    </w:p>
    <w:p w:rsidR="00E26C8E" w:rsidRPr="00E26C8E" w:rsidRDefault="00E26C8E" w:rsidP="00052A19">
      <w:pPr>
        <w:spacing w:after="60"/>
        <w:ind w:left="851" w:hanging="425"/>
        <w:rPr>
          <w:rFonts w:eastAsia="Times New Roman"/>
          <w:b/>
          <w:szCs w:val="17"/>
        </w:rPr>
      </w:pPr>
      <w:r w:rsidRPr="00E26C8E">
        <w:rPr>
          <w:rFonts w:eastAsia="Times New Roman"/>
          <w:b/>
          <w:szCs w:val="17"/>
        </w:rPr>
        <w:t>7.1</w:t>
      </w:r>
      <w:r w:rsidRPr="00E26C8E">
        <w:rPr>
          <w:rFonts w:eastAsia="Times New Roman"/>
          <w:b/>
          <w:szCs w:val="17"/>
        </w:rPr>
        <w:tab/>
        <w:t>List of Maps</w:t>
      </w:r>
    </w:p>
    <w:p w:rsidR="00E26C8E" w:rsidRPr="00E26C8E" w:rsidRDefault="00E26C8E" w:rsidP="00052A19">
      <w:pPr>
        <w:spacing w:after="60"/>
        <w:ind w:left="851"/>
        <w:rPr>
          <w:rFonts w:eastAsia="Times New Roman"/>
          <w:szCs w:val="17"/>
        </w:rPr>
      </w:pPr>
      <w:r w:rsidRPr="00E26C8E">
        <w:rPr>
          <w:rFonts w:eastAsia="Times New Roman"/>
          <w:szCs w:val="17"/>
        </w:rPr>
        <w:t>Following is a list of all maps required in the PEPR based on the relevant sections of this determination:</w:t>
      </w:r>
    </w:p>
    <w:p w:rsidR="00E26C8E" w:rsidRPr="00E26C8E" w:rsidRDefault="00E26C8E" w:rsidP="00052A19">
      <w:pPr>
        <w:spacing w:after="60"/>
        <w:ind w:left="1418" w:hanging="567"/>
        <w:rPr>
          <w:rFonts w:eastAsia="Times New Roman"/>
          <w:i/>
          <w:szCs w:val="17"/>
        </w:rPr>
      </w:pPr>
      <w:r w:rsidRPr="00E26C8E">
        <w:rPr>
          <w:rFonts w:eastAsia="Times New Roman"/>
          <w:i/>
          <w:szCs w:val="17"/>
        </w:rPr>
        <w:t>7.1.1</w:t>
      </w:r>
      <w:r w:rsidRPr="00E26C8E">
        <w:rPr>
          <w:rFonts w:eastAsia="Times New Roman"/>
          <w:i/>
          <w:szCs w:val="17"/>
        </w:rPr>
        <w:tab/>
        <w:t>Maps required for Description of the Mining Operations (as per clause 2)</w:t>
      </w:r>
    </w:p>
    <w:p w:rsidR="00E26C8E" w:rsidRPr="00E26C8E" w:rsidRDefault="00E26C8E" w:rsidP="00052A19">
      <w:pPr>
        <w:spacing w:after="60"/>
        <w:ind w:left="1985" w:hanging="567"/>
        <w:rPr>
          <w:rFonts w:eastAsia="Times New Roman"/>
          <w:i/>
          <w:szCs w:val="17"/>
        </w:rPr>
      </w:pPr>
      <w:r w:rsidRPr="00E26C8E">
        <w:rPr>
          <w:rFonts w:eastAsia="Times New Roman"/>
          <w:i/>
          <w:szCs w:val="17"/>
        </w:rPr>
        <w:t>7.1.1.1</w:t>
      </w:r>
      <w:r w:rsidRPr="00E26C8E">
        <w:rPr>
          <w:rFonts w:eastAsia="Times New Roman"/>
          <w:i/>
          <w:szCs w:val="17"/>
        </w:rPr>
        <w:tab/>
        <w:t>Site Layout Map showing all components of the operation including (but not limited to):</w:t>
      </w:r>
    </w:p>
    <w:p w:rsidR="00E26C8E" w:rsidRPr="00E26C8E" w:rsidRDefault="00E26C8E" w:rsidP="00052A19">
      <w:pPr>
        <w:spacing w:after="60"/>
        <w:ind w:left="2268" w:hanging="283"/>
        <w:rPr>
          <w:rFonts w:eastAsia="Times New Roman"/>
          <w:szCs w:val="17"/>
        </w:rPr>
      </w:pPr>
      <w:r w:rsidRPr="00E26C8E">
        <w:rPr>
          <w:rFonts w:eastAsia="Times New Roman"/>
          <w:szCs w:val="17"/>
        </w:rPr>
        <w:t>•</w:t>
      </w:r>
      <w:r w:rsidRPr="00E26C8E">
        <w:rPr>
          <w:rFonts w:eastAsia="Times New Roman"/>
          <w:szCs w:val="17"/>
        </w:rPr>
        <w:tab/>
        <w:t>tenement boundaries;</w:t>
      </w:r>
    </w:p>
    <w:p w:rsidR="00E26C8E" w:rsidRPr="00E26C8E" w:rsidRDefault="00E26C8E" w:rsidP="00052A19">
      <w:pPr>
        <w:spacing w:after="60"/>
        <w:ind w:left="2268" w:hanging="283"/>
        <w:rPr>
          <w:rFonts w:eastAsia="Times New Roman"/>
          <w:szCs w:val="17"/>
        </w:rPr>
      </w:pPr>
      <w:r w:rsidRPr="00E26C8E">
        <w:rPr>
          <w:rFonts w:eastAsia="Times New Roman"/>
          <w:szCs w:val="17"/>
        </w:rPr>
        <w:t>•</w:t>
      </w:r>
      <w:r w:rsidRPr="00E26C8E">
        <w:rPr>
          <w:rFonts w:eastAsia="Times New Roman"/>
          <w:szCs w:val="17"/>
        </w:rPr>
        <w:tab/>
        <w:t>location of surface water and sediment management infrastructure;</w:t>
      </w:r>
    </w:p>
    <w:p w:rsidR="00E26C8E" w:rsidRPr="00E26C8E" w:rsidRDefault="00E26C8E" w:rsidP="00052A19">
      <w:pPr>
        <w:spacing w:after="60"/>
        <w:ind w:left="2268" w:hanging="283"/>
        <w:rPr>
          <w:rFonts w:eastAsia="Times New Roman"/>
          <w:szCs w:val="17"/>
        </w:rPr>
      </w:pPr>
      <w:r w:rsidRPr="00E26C8E">
        <w:rPr>
          <w:rFonts w:eastAsia="Times New Roman"/>
          <w:szCs w:val="17"/>
        </w:rPr>
        <w:t>•</w:t>
      </w:r>
      <w:r w:rsidRPr="00E26C8E">
        <w:rPr>
          <w:rFonts w:eastAsia="Times New Roman"/>
          <w:szCs w:val="17"/>
        </w:rPr>
        <w:tab/>
        <w:t>location of process water dams;</w:t>
      </w:r>
    </w:p>
    <w:p w:rsidR="00E26C8E" w:rsidRPr="00E26C8E" w:rsidRDefault="00E26C8E" w:rsidP="00052A19">
      <w:pPr>
        <w:spacing w:after="60"/>
        <w:ind w:left="2268" w:hanging="283"/>
        <w:rPr>
          <w:rFonts w:eastAsia="Times New Roman"/>
          <w:szCs w:val="17"/>
        </w:rPr>
      </w:pPr>
      <w:r w:rsidRPr="00E26C8E">
        <w:rPr>
          <w:rFonts w:eastAsia="Times New Roman"/>
          <w:szCs w:val="17"/>
        </w:rPr>
        <w:t>•</w:t>
      </w:r>
      <w:r w:rsidRPr="00E26C8E">
        <w:rPr>
          <w:rFonts w:eastAsia="Times New Roman"/>
          <w:szCs w:val="17"/>
        </w:rPr>
        <w:tab/>
        <w:t>location of fuel and chemical storage areas;</w:t>
      </w:r>
    </w:p>
    <w:p w:rsidR="00E26C8E" w:rsidRPr="00E26C8E" w:rsidRDefault="00E26C8E" w:rsidP="00052A19">
      <w:pPr>
        <w:spacing w:after="60"/>
        <w:ind w:left="2268" w:hanging="283"/>
        <w:rPr>
          <w:rFonts w:eastAsia="Times New Roman"/>
          <w:szCs w:val="17"/>
        </w:rPr>
      </w:pPr>
      <w:r w:rsidRPr="00E26C8E">
        <w:rPr>
          <w:rFonts w:eastAsia="Times New Roman"/>
          <w:szCs w:val="17"/>
        </w:rPr>
        <w:t>•</w:t>
      </w:r>
      <w:r w:rsidRPr="00E26C8E">
        <w:rPr>
          <w:rFonts w:eastAsia="Times New Roman"/>
          <w:szCs w:val="17"/>
        </w:rPr>
        <w:tab/>
        <w:t>location of access and other roads;</w:t>
      </w:r>
    </w:p>
    <w:p w:rsidR="00E26C8E" w:rsidRPr="00E26C8E" w:rsidRDefault="00E26C8E" w:rsidP="00052A19">
      <w:pPr>
        <w:spacing w:after="60"/>
        <w:ind w:left="2268" w:hanging="283"/>
        <w:rPr>
          <w:rFonts w:eastAsia="Times New Roman"/>
          <w:szCs w:val="17"/>
        </w:rPr>
      </w:pPr>
      <w:r w:rsidRPr="00E26C8E">
        <w:rPr>
          <w:rFonts w:eastAsia="Times New Roman"/>
          <w:szCs w:val="17"/>
        </w:rPr>
        <w:t>•</w:t>
      </w:r>
      <w:r w:rsidRPr="00E26C8E">
        <w:rPr>
          <w:rFonts w:eastAsia="Times New Roman"/>
          <w:szCs w:val="17"/>
        </w:rPr>
        <w:tab/>
        <w:t>location of fixed plant;</w:t>
      </w:r>
    </w:p>
    <w:p w:rsidR="00E26C8E" w:rsidRPr="00E26C8E" w:rsidRDefault="00E26C8E" w:rsidP="00052A19">
      <w:pPr>
        <w:spacing w:after="60"/>
        <w:ind w:left="2268" w:hanging="283"/>
        <w:rPr>
          <w:rFonts w:eastAsia="Times New Roman"/>
          <w:szCs w:val="17"/>
        </w:rPr>
      </w:pPr>
      <w:r w:rsidRPr="00E26C8E">
        <w:rPr>
          <w:rFonts w:eastAsia="Times New Roman"/>
          <w:szCs w:val="17"/>
        </w:rPr>
        <w:t>•</w:t>
      </w:r>
      <w:r w:rsidRPr="00E26C8E">
        <w:rPr>
          <w:rFonts w:eastAsia="Times New Roman"/>
          <w:szCs w:val="17"/>
        </w:rPr>
        <w:tab/>
        <w:t>location and layout of all well field areas;</w:t>
      </w:r>
    </w:p>
    <w:p w:rsidR="00E26C8E" w:rsidRPr="00E26C8E" w:rsidRDefault="00E26C8E" w:rsidP="00052A19">
      <w:pPr>
        <w:spacing w:after="60"/>
        <w:ind w:left="2268" w:hanging="283"/>
        <w:rPr>
          <w:rFonts w:eastAsia="Times New Roman"/>
          <w:szCs w:val="17"/>
        </w:rPr>
      </w:pPr>
      <w:r w:rsidRPr="00E26C8E">
        <w:rPr>
          <w:rFonts w:eastAsia="Times New Roman"/>
          <w:szCs w:val="17"/>
        </w:rPr>
        <w:t>•</w:t>
      </w:r>
      <w:r w:rsidRPr="00E26C8E">
        <w:rPr>
          <w:rFonts w:eastAsia="Times New Roman"/>
          <w:szCs w:val="17"/>
        </w:rPr>
        <w:tab/>
        <w:t>location of all disposal wells;</w:t>
      </w:r>
    </w:p>
    <w:p w:rsidR="00E26C8E" w:rsidRPr="00E26C8E" w:rsidRDefault="00E26C8E" w:rsidP="00052A19">
      <w:pPr>
        <w:spacing w:after="60"/>
        <w:ind w:left="2268" w:hanging="283"/>
        <w:rPr>
          <w:rFonts w:eastAsia="Times New Roman"/>
          <w:szCs w:val="17"/>
        </w:rPr>
      </w:pPr>
      <w:r w:rsidRPr="00E26C8E">
        <w:rPr>
          <w:rFonts w:eastAsia="Times New Roman"/>
          <w:szCs w:val="17"/>
        </w:rPr>
        <w:t>•</w:t>
      </w:r>
      <w:r w:rsidRPr="00E26C8E">
        <w:rPr>
          <w:rFonts w:eastAsia="Times New Roman"/>
          <w:szCs w:val="17"/>
        </w:rPr>
        <w:tab/>
        <w:t>location of all monitoring wells;</w:t>
      </w:r>
    </w:p>
    <w:p w:rsidR="00E26C8E" w:rsidRPr="00E26C8E" w:rsidRDefault="00E26C8E" w:rsidP="00052A19">
      <w:pPr>
        <w:spacing w:after="60"/>
        <w:ind w:left="2268" w:hanging="283"/>
        <w:rPr>
          <w:rFonts w:eastAsia="Times New Roman"/>
          <w:szCs w:val="17"/>
        </w:rPr>
      </w:pPr>
      <w:r w:rsidRPr="00E26C8E">
        <w:rPr>
          <w:rFonts w:eastAsia="Times New Roman"/>
          <w:szCs w:val="17"/>
        </w:rPr>
        <w:t>•</w:t>
      </w:r>
      <w:r w:rsidRPr="00E26C8E">
        <w:rPr>
          <w:rFonts w:eastAsia="Times New Roman"/>
          <w:szCs w:val="17"/>
        </w:rPr>
        <w:tab/>
        <w:t>location of visual screening measures;</w:t>
      </w:r>
    </w:p>
    <w:p w:rsidR="00E26C8E" w:rsidRPr="00E26C8E" w:rsidRDefault="00E26C8E" w:rsidP="00052A19">
      <w:pPr>
        <w:spacing w:after="60"/>
        <w:ind w:left="2268" w:hanging="283"/>
        <w:rPr>
          <w:rFonts w:eastAsia="Times New Roman"/>
          <w:szCs w:val="17"/>
        </w:rPr>
      </w:pPr>
      <w:r w:rsidRPr="00E26C8E">
        <w:rPr>
          <w:rFonts w:eastAsia="Times New Roman"/>
          <w:szCs w:val="17"/>
        </w:rPr>
        <w:t>•</w:t>
      </w:r>
      <w:r w:rsidRPr="00E26C8E">
        <w:rPr>
          <w:rFonts w:eastAsia="Times New Roman"/>
          <w:szCs w:val="17"/>
        </w:rPr>
        <w:tab/>
        <w:t>location and extent of all areas proposed to be disturbed from mining including, mine infrastructure, processing plant, waste disposal facilities; and</w:t>
      </w:r>
    </w:p>
    <w:p w:rsidR="00E26C8E" w:rsidRPr="00E26C8E" w:rsidRDefault="00E26C8E" w:rsidP="00052A19">
      <w:pPr>
        <w:spacing w:after="60"/>
        <w:ind w:left="2268" w:hanging="283"/>
        <w:rPr>
          <w:rFonts w:eastAsia="Times New Roman"/>
          <w:szCs w:val="17"/>
        </w:rPr>
      </w:pPr>
      <w:r w:rsidRPr="00E26C8E">
        <w:rPr>
          <w:rFonts w:eastAsia="Times New Roman"/>
          <w:szCs w:val="17"/>
        </w:rPr>
        <w:t>•</w:t>
      </w:r>
      <w:r w:rsidRPr="00E26C8E">
        <w:rPr>
          <w:rFonts w:eastAsia="Times New Roman"/>
          <w:szCs w:val="17"/>
        </w:rPr>
        <w:tab/>
        <w:t>location of key environmental features that are within or in close proximity to the Tenement and that are relevant to the design of the Site Layout Plan, including but not limited to housing and infrastructure, existing heritage sites, existing ephemeral and permanent rivers, watercourses, creeks or dams and/or existing native vegetation.</w:t>
      </w:r>
    </w:p>
    <w:p w:rsidR="00E26C8E" w:rsidRPr="00E26C8E" w:rsidRDefault="00E26C8E" w:rsidP="00052A19">
      <w:pPr>
        <w:spacing w:after="60"/>
        <w:ind w:left="1985" w:hanging="567"/>
        <w:rPr>
          <w:rFonts w:eastAsia="Times New Roman"/>
          <w:i/>
          <w:szCs w:val="17"/>
        </w:rPr>
      </w:pPr>
      <w:r w:rsidRPr="00E26C8E">
        <w:rPr>
          <w:rFonts w:eastAsia="Times New Roman"/>
          <w:i/>
          <w:szCs w:val="17"/>
        </w:rPr>
        <w:t>7.1.1.2</w:t>
      </w:r>
      <w:r w:rsidRPr="00E26C8E">
        <w:rPr>
          <w:rFonts w:eastAsia="Times New Roman"/>
          <w:i/>
          <w:szCs w:val="17"/>
        </w:rPr>
        <w:tab/>
        <w:t>Sequence of Mining and Progressive Rehabilitation Map showing:</w:t>
      </w:r>
    </w:p>
    <w:p w:rsidR="00E26C8E" w:rsidRPr="00E26C8E" w:rsidRDefault="00E26C8E" w:rsidP="00052A19">
      <w:pPr>
        <w:spacing w:after="60"/>
        <w:ind w:left="2268" w:hanging="283"/>
        <w:rPr>
          <w:rFonts w:eastAsia="Times New Roman"/>
          <w:szCs w:val="17"/>
        </w:rPr>
      </w:pPr>
      <w:r w:rsidRPr="00E26C8E">
        <w:rPr>
          <w:rFonts w:eastAsia="Times New Roman"/>
          <w:szCs w:val="17"/>
        </w:rPr>
        <w:t>•</w:t>
      </w:r>
      <w:r w:rsidRPr="00E26C8E">
        <w:rPr>
          <w:rFonts w:eastAsia="Times New Roman"/>
          <w:szCs w:val="17"/>
        </w:rPr>
        <w:tab/>
        <w:t>tenement boundaries;</w:t>
      </w:r>
    </w:p>
    <w:p w:rsidR="00E26C8E" w:rsidRPr="00E26C8E" w:rsidRDefault="00E26C8E" w:rsidP="00052A19">
      <w:pPr>
        <w:spacing w:after="60"/>
        <w:ind w:left="2268" w:hanging="283"/>
        <w:rPr>
          <w:rFonts w:eastAsia="Times New Roman"/>
          <w:szCs w:val="17"/>
        </w:rPr>
      </w:pPr>
      <w:r w:rsidRPr="00E26C8E">
        <w:rPr>
          <w:rFonts w:eastAsia="Times New Roman"/>
          <w:szCs w:val="17"/>
        </w:rPr>
        <w:t>•</w:t>
      </w:r>
      <w:r w:rsidRPr="00E26C8E">
        <w:rPr>
          <w:rFonts w:eastAsia="Times New Roman"/>
          <w:szCs w:val="17"/>
        </w:rPr>
        <w:tab/>
        <w:t>conceptual staging of each progressive mining stage;</w:t>
      </w:r>
    </w:p>
    <w:p w:rsidR="00E26C8E" w:rsidRPr="00E26C8E" w:rsidRDefault="00E26C8E" w:rsidP="00052A19">
      <w:pPr>
        <w:spacing w:after="60"/>
        <w:ind w:left="2268" w:hanging="283"/>
        <w:rPr>
          <w:rFonts w:eastAsia="Times New Roman"/>
          <w:szCs w:val="17"/>
        </w:rPr>
      </w:pPr>
      <w:r w:rsidRPr="00E26C8E">
        <w:rPr>
          <w:rFonts w:eastAsia="Times New Roman"/>
          <w:szCs w:val="17"/>
        </w:rPr>
        <w:t>•</w:t>
      </w:r>
      <w:r w:rsidRPr="00E26C8E">
        <w:rPr>
          <w:rFonts w:eastAsia="Times New Roman"/>
          <w:szCs w:val="17"/>
        </w:rPr>
        <w:tab/>
        <w:t xml:space="preserve">proposed native vegetation clearance; </w:t>
      </w:r>
    </w:p>
    <w:p w:rsidR="00E26C8E" w:rsidRPr="00E26C8E" w:rsidRDefault="00E26C8E" w:rsidP="00052A19">
      <w:pPr>
        <w:spacing w:after="60"/>
        <w:ind w:left="2268" w:hanging="283"/>
        <w:rPr>
          <w:rFonts w:eastAsia="Times New Roman"/>
          <w:szCs w:val="17"/>
        </w:rPr>
      </w:pPr>
      <w:r w:rsidRPr="00E26C8E">
        <w:rPr>
          <w:rFonts w:eastAsia="Times New Roman"/>
          <w:szCs w:val="17"/>
        </w:rPr>
        <w:t>•</w:t>
      </w:r>
      <w:r w:rsidRPr="00E26C8E">
        <w:rPr>
          <w:rFonts w:eastAsia="Times New Roman"/>
          <w:szCs w:val="17"/>
        </w:rPr>
        <w:tab/>
        <w:t>location and extent of all areas to be progressively rehabilitated during mining; and</w:t>
      </w:r>
    </w:p>
    <w:p w:rsidR="00E26C8E" w:rsidRPr="00E26C8E" w:rsidRDefault="00E26C8E" w:rsidP="00052A19">
      <w:pPr>
        <w:spacing w:after="60"/>
        <w:ind w:left="2268" w:hanging="283"/>
        <w:rPr>
          <w:rFonts w:eastAsia="Times New Roman"/>
          <w:szCs w:val="17"/>
        </w:rPr>
      </w:pPr>
      <w:r w:rsidRPr="00E26C8E">
        <w:rPr>
          <w:rFonts w:eastAsia="Times New Roman"/>
          <w:szCs w:val="17"/>
        </w:rPr>
        <w:t>•</w:t>
      </w:r>
      <w:r w:rsidRPr="00E26C8E">
        <w:rPr>
          <w:rFonts w:eastAsia="Times New Roman"/>
          <w:szCs w:val="17"/>
        </w:rPr>
        <w:tab/>
        <w:t>sequence of mining and rehabilitation in appropriate time intervals, or per stages (depicting progressive rehabilitation).</w:t>
      </w:r>
    </w:p>
    <w:p w:rsidR="00E26C8E" w:rsidRPr="00E26C8E" w:rsidRDefault="00E26C8E" w:rsidP="00052A19">
      <w:pPr>
        <w:spacing w:after="60"/>
        <w:ind w:left="1985" w:hanging="567"/>
        <w:rPr>
          <w:rFonts w:eastAsia="Times New Roman"/>
          <w:i/>
          <w:szCs w:val="17"/>
        </w:rPr>
      </w:pPr>
      <w:r w:rsidRPr="00E26C8E">
        <w:rPr>
          <w:rFonts w:eastAsia="Times New Roman"/>
          <w:i/>
          <w:szCs w:val="17"/>
        </w:rPr>
        <w:t>7.1.1.3</w:t>
      </w:r>
      <w:r w:rsidRPr="00E26C8E">
        <w:rPr>
          <w:rFonts w:eastAsia="Times New Roman"/>
          <w:i/>
          <w:szCs w:val="17"/>
        </w:rPr>
        <w:tab/>
        <w:t>Access Route Map showing:</w:t>
      </w:r>
    </w:p>
    <w:p w:rsidR="00E26C8E" w:rsidRPr="00E26C8E" w:rsidRDefault="00E26C8E" w:rsidP="00052A19">
      <w:pPr>
        <w:spacing w:after="60"/>
        <w:ind w:left="2268" w:hanging="283"/>
        <w:rPr>
          <w:rFonts w:eastAsia="Times New Roman"/>
          <w:szCs w:val="17"/>
        </w:rPr>
      </w:pPr>
      <w:r w:rsidRPr="00E26C8E">
        <w:rPr>
          <w:rFonts w:eastAsia="Times New Roman"/>
          <w:szCs w:val="17"/>
        </w:rPr>
        <w:t>•</w:t>
      </w:r>
      <w:r w:rsidRPr="00E26C8E">
        <w:rPr>
          <w:rFonts w:eastAsia="Times New Roman"/>
          <w:szCs w:val="17"/>
        </w:rPr>
        <w:tab/>
        <w:t>access route for heavy vehicles;</w:t>
      </w:r>
    </w:p>
    <w:p w:rsidR="00E26C8E" w:rsidRPr="00E26C8E" w:rsidRDefault="00E26C8E" w:rsidP="00052A19">
      <w:pPr>
        <w:spacing w:after="60"/>
        <w:ind w:left="2268" w:hanging="283"/>
        <w:rPr>
          <w:rFonts w:eastAsia="Times New Roman"/>
          <w:szCs w:val="17"/>
        </w:rPr>
      </w:pPr>
      <w:r w:rsidRPr="00E26C8E">
        <w:rPr>
          <w:rFonts w:eastAsia="Times New Roman"/>
          <w:szCs w:val="17"/>
        </w:rPr>
        <w:t>•</w:t>
      </w:r>
      <w:r w:rsidRPr="00E26C8E">
        <w:rPr>
          <w:rFonts w:eastAsia="Times New Roman"/>
          <w:szCs w:val="17"/>
        </w:rPr>
        <w:tab/>
        <w:t>exit route for heavy vehicles; and</w:t>
      </w:r>
    </w:p>
    <w:p w:rsidR="00E26C8E" w:rsidRPr="00E26C8E" w:rsidRDefault="00E26C8E" w:rsidP="00052A19">
      <w:pPr>
        <w:spacing w:after="60"/>
        <w:ind w:left="2268" w:hanging="283"/>
        <w:rPr>
          <w:rFonts w:eastAsia="Times New Roman"/>
          <w:szCs w:val="17"/>
        </w:rPr>
      </w:pPr>
      <w:r w:rsidRPr="00E26C8E">
        <w:rPr>
          <w:rFonts w:eastAsia="Times New Roman"/>
          <w:szCs w:val="17"/>
        </w:rPr>
        <w:t>•</w:t>
      </w:r>
      <w:r w:rsidRPr="00E26C8E">
        <w:rPr>
          <w:rFonts w:eastAsia="Times New Roman"/>
          <w:szCs w:val="17"/>
        </w:rPr>
        <w:tab/>
        <w:t>any road upgrades or new roads to be constructed.</w:t>
      </w:r>
    </w:p>
    <w:p w:rsidR="00E26C8E" w:rsidRPr="00E26C8E" w:rsidRDefault="00E26C8E" w:rsidP="00052A19">
      <w:pPr>
        <w:spacing w:after="60"/>
        <w:ind w:left="1985" w:hanging="567"/>
        <w:rPr>
          <w:rFonts w:eastAsia="Times New Roman"/>
          <w:i/>
          <w:szCs w:val="17"/>
        </w:rPr>
      </w:pPr>
      <w:r w:rsidRPr="00E26C8E">
        <w:rPr>
          <w:rFonts w:eastAsia="Times New Roman"/>
          <w:i/>
          <w:szCs w:val="17"/>
        </w:rPr>
        <w:t>7.1.1.4</w:t>
      </w:r>
      <w:r w:rsidRPr="00E26C8E">
        <w:rPr>
          <w:rFonts w:eastAsia="Times New Roman"/>
          <w:i/>
          <w:szCs w:val="17"/>
        </w:rPr>
        <w:tab/>
        <w:t>Completion Map showing:</w:t>
      </w:r>
    </w:p>
    <w:p w:rsidR="00E26C8E" w:rsidRPr="00E26C8E" w:rsidRDefault="00E26C8E" w:rsidP="00052A19">
      <w:pPr>
        <w:spacing w:after="60"/>
        <w:ind w:left="2268" w:hanging="283"/>
        <w:rPr>
          <w:rFonts w:eastAsia="Times New Roman"/>
          <w:szCs w:val="17"/>
        </w:rPr>
      </w:pPr>
      <w:r w:rsidRPr="00E26C8E">
        <w:rPr>
          <w:rFonts w:eastAsia="Times New Roman"/>
          <w:szCs w:val="17"/>
        </w:rPr>
        <w:t>•</w:t>
      </w:r>
      <w:r w:rsidRPr="00E26C8E">
        <w:rPr>
          <w:rFonts w:eastAsia="Times New Roman"/>
          <w:szCs w:val="17"/>
        </w:rPr>
        <w:tab/>
        <w:t xml:space="preserve">final landforms (including rehabilitated and non-disturbed areas); </w:t>
      </w:r>
    </w:p>
    <w:p w:rsidR="00E26C8E" w:rsidRPr="00E26C8E" w:rsidRDefault="00E26C8E" w:rsidP="00052A19">
      <w:pPr>
        <w:spacing w:after="60"/>
        <w:ind w:left="2268" w:hanging="283"/>
        <w:rPr>
          <w:rFonts w:eastAsia="Times New Roman"/>
          <w:szCs w:val="17"/>
        </w:rPr>
      </w:pPr>
      <w:r w:rsidRPr="00E26C8E">
        <w:rPr>
          <w:rFonts w:eastAsia="Times New Roman"/>
          <w:szCs w:val="17"/>
        </w:rPr>
        <w:t>•</w:t>
      </w:r>
      <w:r w:rsidRPr="00E26C8E">
        <w:rPr>
          <w:rFonts w:eastAsia="Times New Roman"/>
          <w:szCs w:val="17"/>
        </w:rPr>
        <w:tab/>
        <w:t>vegetation covers (including native vegetation that will not be disturbed due to operations);</w:t>
      </w:r>
    </w:p>
    <w:p w:rsidR="00E26C8E" w:rsidRPr="00E26C8E" w:rsidRDefault="00E26C8E" w:rsidP="00052A19">
      <w:pPr>
        <w:spacing w:after="60"/>
        <w:ind w:left="2268" w:hanging="283"/>
        <w:rPr>
          <w:rFonts w:eastAsia="Times New Roman"/>
          <w:szCs w:val="17"/>
        </w:rPr>
      </w:pPr>
      <w:r w:rsidRPr="00E26C8E">
        <w:rPr>
          <w:rFonts w:eastAsia="Times New Roman"/>
          <w:szCs w:val="17"/>
        </w:rPr>
        <w:t>•</w:t>
      </w:r>
      <w:r w:rsidRPr="00E26C8E">
        <w:rPr>
          <w:rFonts w:eastAsia="Times New Roman"/>
          <w:szCs w:val="17"/>
        </w:rPr>
        <w:tab/>
        <w:t>any infrastructure that will remain on site and will become the property and responsibility of the landowner;</w:t>
      </w:r>
    </w:p>
    <w:p w:rsidR="00E26C8E" w:rsidRPr="00E26C8E" w:rsidRDefault="00E26C8E" w:rsidP="00052A19">
      <w:pPr>
        <w:spacing w:after="60"/>
        <w:ind w:left="2268" w:hanging="283"/>
        <w:rPr>
          <w:rFonts w:eastAsia="Times New Roman"/>
          <w:szCs w:val="17"/>
        </w:rPr>
      </w:pPr>
      <w:r w:rsidRPr="00E26C8E">
        <w:rPr>
          <w:rFonts w:eastAsia="Times New Roman"/>
          <w:szCs w:val="17"/>
        </w:rPr>
        <w:t>•</w:t>
      </w:r>
      <w:r w:rsidRPr="00E26C8E">
        <w:rPr>
          <w:rFonts w:eastAsia="Times New Roman"/>
          <w:szCs w:val="17"/>
        </w:rPr>
        <w:tab/>
        <w:t>location of decommissioned wells;</w:t>
      </w:r>
    </w:p>
    <w:p w:rsidR="00E26C8E" w:rsidRPr="00E26C8E" w:rsidRDefault="00E26C8E" w:rsidP="00052A19">
      <w:pPr>
        <w:spacing w:after="60"/>
        <w:ind w:left="2268" w:hanging="283"/>
        <w:rPr>
          <w:rFonts w:eastAsia="Times New Roman"/>
          <w:szCs w:val="17"/>
        </w:rPr>
      </w:pPr>
      <w:r w:rsidRPr="00E26C8E">
        <w:rPr>
          <w:rFonts w:eastAsia="Times New Roman"/>
          <w:szCs w:val="17"/>
        </w:rPr>
        <w:t>•</w:t>
      </w:r>
      <w:r w:rsidRPr="00E26C8E">
        <w:rPr>
          <w:rFonts w:eastAsia="Times New Roman"/>
          <w:szCs w:val="17"/>
        </w:rPr>
        <w:tab/>
        <w:t>location of waste disposal areas; and</w:t>
      </w:r>
    </w:p>
    <w:p w:rsidR="00E26C8E" w:rsidRPr="00E26C8E" w:rsidRDefault="00E26C8E" w:rsidP="00052A19">
      <w:pPr>
        <w:spacing w:after="60"/>
        <w:ind w:left="2268" w:hanging="283"/>
        <w:rPr>
          <w:rFonts w:eastAsia="Times New Roman"/>
          <w:szCs w:val="17"/>
        </w:rPr>
      </w:pPr>
      <w:r w:rsidRPr="00E26C8E">
        <w:rPr>
          <w:rFonts w:eastAsia="Times New Roman"/>
          <w:szCs w:val="17"/>
        </w:rPr>
        <w:t>•</w:t>
      </w:r>
      <w:r w:rsidRPr="00E26C8E">
        <w:rPr>
          <w:rFonts w:eastAsia="Times New Roman"/>
          <w:szCs w:val="17"/>
        </w:rPr>
        <w:tab/>
        <w:t>predicted extent of residual mining fluids and liquid waste reinjected to aquifers</w:t>
      </w:r>
    </w:p>
    <w:p w:rsidR="00E26C8E" w:rsidRPr="00E26C8E" w:rsidRDefault="00E26C8E" w:rsidP="00052A19">
      <w:pPr>
        <w:spacing w:after="60"/>
        <w:ind w:left="851" w:hanging="425"/>
        <w:rPr>
          <w:rFonts w:eastAsia="Times New Roman"/>
          <w:b/>
          <w:szCs w:val="17"/>
        </w:rPr>
      </w:pPr>
      <w:r w:rsidRPr="00E26C8E">
        <w:rPr>
          <w:rFonts w:eastAsia="Times New Roman"/>
          <w:b/>
          <w:szCs w:val="17"/>
        </w:rPr>
        <w:t>7.2</w:t>
      </w:r>
      <w:r w:rsidRPr="00E26C8E">
        <w:rPr>
          <w:rFonts w:eastAsia="Times New Roman"/>
          <w:b/>
          <w:szCs w:val="17"/>
        </w:rPr>
        <w:tab/>
        <w:t>Summary of Cross-Sections</w:t>
      </w:r>
    </w:p>
    <w:p w:rsidR="00E26C8E" w:rsidRPr="00E26C8E" w:rsidRDefault="00E26C8E" w:rsidP="00052A19">
      <w:pPr>
        <w:spacing w:after="60"/>
        <w:ind w:left="851"/>
        <w:rPr>
          <w:rFonts w:eastAsia="Times New Roman"/>
          <w:szCs w:val="17"/>
        </w:rPr>
      </w:pPr>
      <w:r w:rsidRPr="00E26C8E">
        <w:rPr>
          <w:rFonts w:eastAsia="Times New Roman"/>
          <w:szCs w:val="17"/>
        </w:rPr>
        <w:t>Following is a summary of all cross-sections required in the PEPR:</w:t>
      </w:r>
    </w:p>
    <w:p w:rsidR="00E26C8E" w:rsidRPr="00E26C8E" w:rsidRDefault="00E26C8E" w:rsidP="00052A19">
      <w:pPr>
        <w:spacing w:after="60"/>
        <w:ind w:left="1418" w:hanging="567"/>
        <w:rPr>
          <w:rFonts w:eastAsia="Times New Roman"/>
          <w:i/>
          <w:szCs w:val="17"/>
        </w:rPr>
      </w:pPr>
      <w:r w:rsidRPr="00E26C8E">
        <w:rPr>
          <w:rFonts w:eastAsia="Times New Roman"/>
          <w:i/>
          <w:szCs w:val="17"/>
        </w:rPr>
        <w:t>7.2.1</w:t>
      </w:r>
      <w:r w:rsidRPr="00E26C8E">
        <w:rPr>
          <w:rFonts w:eastAsia="Times New Roman"/>
          <w:i/>
          <w:szCs w:val="17"/>
        </w:rPr>
        <w:tab/>
        <w:t>Cross-Sections required for Description of Operations (as per clause 2)</w:t>
      </w:r>
    </w:p>
    <w:p w:rsidR="00E26C8E" w:rsidRPr="00E26C8E" w:rsidRDefault="00E26C8E" w:rsidP="00052A19">
      <w:pPr>
        <w:spacing w:after="60"/>
        <w:ind w:left="1985" w:hanging="567"/>
        <w:rPr>
          <w:rFonts w:eastAsia="Times New Roman"/>
          <w:i/>
          <w:szCs w:val="17"/>
        </w:rPr>
      </w:pPr>
      <w:r w:rsidRPr="00E26C8E">
        <w:rPr>
          <w:rFonts w:eastAsia="Times New Roman"/>
          <w:i/>
          <w:szCs w:val="17"/>
        </w:rPr>
        <w:t>7.2.1.1</w:t>
      </w:r>
      <w:r w:rsidRPr="00E26C8E">
        <w:rPr>
          <w:rFonts w:eastAsia="Times New Roman"/>
          <w:i/>
          <w:szCs w:val="17"/>
        </w:rPr>
        <w:tab/>
        <w:t>Mining Operation Cross-Section(s) showing:</w:t>
      </w:r>
    </w:p>
    <w:p w:rsidR="00E26C8E" w:rsidRPr="00E26C8E" w:rsidRDefault="00E26C8E" w:rsidP="00052A19">
      <w:pPr>
        <w:spacing w:after="60"/>
        <w:ind w:left="2268" w:hanging="283"/>
        <w:rPr>
          <w:rFonts w:eastAsia="Times New Roman"/>
          <w:szCs w:val="17"/>
        </w:rPr>
      </w:pPr>
      <w:r w:rsidRPr="00E26C8E">
        <w:rPr>
          <w:rFonts w:eastAsia="Times New Roman"/>
          <w:szCs w:val="17"/>
        </w:rPr>
        <w:t>•</w:t>
      </w:r>
      <w:r w:rsidRPr="00E26C8E">
        <w:rPr>
          <w:rFonts w:eastAsia="Times New Roman"/>
          <w:szCs w:val="17"/>
        </w:rPr>
        <w:tab/>
        <w:t>natural surface;</w:t>
      </w:r>
    </w:p>
    <w:p w:rsidR="00E26C8E" w:rsidRPr="00E26C8E" w:rsidRDefault="00E26C8E" w:rsidP="00052A19">
      <w:pPr>
        <w:spacing w:after="60"/>
        <w:ind w:left="2268" w:hanging="283"/>
        <w:rPr>
          <w:rFonts w:eastAsia="Times New Roman"/>
          <w:szCs w:val="17"/>
        </w:rPr>
      </w:pPr>
      <w:r w:rsidRPr="00E26C8E">
        <w:rPr>
          <w:rFonts w:eastAsia="Times New Roman"/>
          <w:szCs w:val="17"/>
        </w:rPr>
        <w:t>•</w:t>
      </w:r>
      <w:r w:rsidRPr="00E26C8E">
        <w:rPr>
          <w:rFonts w:eastAsia="Times New Roman"/>
          <w:szCs w:val="17"/>
        </w:rPr>
        <w:tab/>
        <w:t>geological units showing aquifer systems,</w:t>
      </w:r>
      <w:r w:rsidRPr="00E26C8E">
        <w:rPr>
          <w:rFonts w:eastAsia="Times New Roman"/>
          <w:i/>
          <w:szCs w:val="17"/>
        </w:rPr>
        <w:t xml:space="preserve"> </w:t>
      </w:r>
      <w:r w:rsidRPr="00E26C8E">
        <w:rPr>
          <w:rFonts w:eastAsia="Times New Roman"/>
          <w:szCs w:val="17"/>
        </w:rPr>
        <w:t>confining units and interpreted faults; and</w:t>
      </w:r>
    </w:p>
    <w:p w:rsidR="00E26C8E" w:rsidRPr="00E26C8E" w:rsidRDefault="00E26C8E" w:rsidP="00052A19">
      <w:pPr>
        <w:spacing w:after="60"/>
        <w:ind w:left="2268" w:hanging="283"/>
        <w:rPr>
          <w:rFonts w:eastAsia="Times New Roman"/>
          <w:szCs w:val="17"/>
        </w:rPr>
      </w:pPr>
      <w:r w:rsidRPr="00E26C8E">
        <w:rPr>
          <w:rFonts w:eastAsia="Times New Roman"/>
          <w:szCs w:val="17"/>
        </w:rPr>
        <w:t>•</w:t>
      </w:r>
      <w:r w:rsidRPr="00E26C8E">
        <w:rPr>
          <w:rFonts w:eastAsia="Times New Roman"/>
          <w:szCs w:val="17"/>
        </w:rPr>
        <w:tab/>
        <w:t>schematic of injection and production wells, liquid disposal wells and monitoring wells including screened intervals.</w:t>
      </w:r>
    </w:p>
    <w:p w:rsidR="00E26C8E" w:rsidRPr="00E26C8E" w:rsidRDefault="00E26C8E" w:rsidP="00052A19">
      <w:pPr>
        <w:spacing w:after="60"/>
        <w:ind w:left="1985" w:hanging="567"/>
        <w:rPr>
          <w:rFonts w:eastAsia="Times New Roman"/>
          <w:i/>
          <w:szCs w:val="17"/>
        </w:rPr>
      </w:pPr>
      <w:r w:rsidRPr="00E26C8E">
        <w:rPr>
          <w:rFonts w:eastAsia="Times New Roman"/>
          <w:i/>
          <w:szCs w:val="17"/>
        </w:rPr>
        <w:t>7.2.1.2</w:t>
      </w:r>
      <w:r w:rsidRPr="00E26C8E">
        <w:rPr>
          <w:rFonts w:eastAsia="Times New Roman"/>
          <w:i/>
          <w:szCs w:val="17"/>
        </w:rPr>
        <w:tab/>
        <w:t>Completion Cross Section(s) showing:</w:t>
      </w:r>
    </w:p>
    <w:p w:rsidR="00E26C8E" w:rsidRPr="00E26C8E" w:rsidRDefault="00E26C8E" w:rsidP="00052A19">
      <w:pPr>
        <w:spacing w:after="60"/>
        <w:ind w:left="2268" w:hanging="283"/>
        <w:rPr>
          <w:rFonts w:eastAsia="Times New Roman"/>
          <w:szCs w:val="17"/>
        </w:rPr>
      </w:pPr>
      <w:r w:rsidRPr="00E26C8E">
        <w:rPr>
          <w:rFonts w:eastAsia="Times New Roman"/>
          <w:szCs w:val="17"/>
        </w:rPr>
        <w:t>•</w:t>
      </w:r>
      <w:r w:rsidRPr="00E26C8E">
        <w:rPr>
          <w:rFonts w:eastAsia="Times New Roman"/>
          <w:szCs w:val="17"/>
        </w:rPr>
        <w:tab/>
        <w:t>natural surface;</w:t>
      </w:r>
    </w:p>
    <w:p w:rsidR="00E26C8E" w:rsidRPr="00E26C8E" w:rsidRDefault="00E26C8E" w:rsidP="00052A19">
      <w:pPr>
        <w:spacing w:after="60"/>
        <w:ind w:left="2268" w:hanging="283"/>
        <w:rPr>
          <w:rFonts w:eastAsia="Times New Roman"/>
          <w:szCs w:val="17"/>
        </w:rPr>
      </w:pPr>
      <w:r w:rsidRPr="00E26C8E">
        <w:rPr>
          <w:rFonts w:eastAsia="Times New Roman"/>
          <w:szCs w:val="17"/>
        </w:rPr>
        <w:t>•</w:t>
      </w:r>
      <w:r w:rsidRPr="00E26C8E">
        <w:rPr>
          <w:rFonts w:eastAsia="Times New Roman"/>
          <w:szCs w:val="17"/>
        </w:rPr>
        <w:tab/>
        <w:t>any infrastructure that will remain on site and will become the property and responsibility of the landowner;</w:t>
      </w:r>
    </w:p>
    <w:p w:rsidR="00E26C8E" w:rsidRPr="00E26C8E" w:rsidRDefault="00E26C8E" w:rsidP="00052A19">
      <w:pPr>
        <w:spacing w:after="60"/>
        <w:ind w:left="2268" w:hanging="283"/>
        <w:rPr>
          <w:rFonts w:eastAsia="Times New Roman"/>
          <w:szCs w:val="17"/>
        </w:rPr>
      </w:pPr>
      <w:r w:rsidRPr="00E26C8E">
        <w:rPr>
          <w:rFonts w:eastAsia="Times New Roman"/>
          <w:szCs w:val="17"/>
        </w:rPr>
        <w:t>•</w:t>
      </w:r>
      <w:r w:rsidRPr="00E26C8E">
        <w:rPr>
          <w:rFonts w:eastAsia="Times New Roman"/>
          <w:szCs w:val="17"/>
        </w:rPr>
        <w:tab/>
        <w:t>decommissioned wells;</w:t>
      </w:r>
    </w:p>
    <w:p w:rsidR="00E26C8E" w:rsidRPr="00E26C8E" w:rsidRDefault="00E26C8E" w:rsidP="00052A19">
      <w:pPr>
        <w:spacing w:after="60"/>
        <w:ind w:left="2268" w:hanging="283"/>
        <w:rPr>
          <w:rFonts w:eastAsia="Times New Roman"/>
          <w:szCs w:val="17"/>
        </w:rPr>
      </w:pPr>
      <w:r w:rsidRPr="00E26C8E">
        <w:rPr>
          <w:rFonts w:eastAsia="Times New Roman"/>
          <w:szCs w:val="17"/>
        </w:rPr>
        <w:t>•</w:t>
      </w:r>
      <w:r w:rsidRPr="00E26C8E">
        <w:rPr>
          <w:rFonts w:eastAsia="Times New Roman"/>
          <w:szCs w:val="17"/>
        </w:rPr>
        <w:tab/>
        <w:t>location of waste disposal areas; and</w:t>
      </w:r>
    </w:p>
    <w:p w:rsidR="00E26C8E" w:rsidRPr="00E26C8E" w:rsidRDefault="00E26C8E" w:rsidP="00052A19">
      <w:pPr>
        <w:spacing w:after="60"/>
        <w:ind w:left="2268" w:hanging="283"/>
        <w:rPr>
          <w:rFonts w:eastAsia="Times New Roman"/>
          <w:szCs w:val="17"/>
        </w:rPr>
      </w:pPr>
      <w:r w:rsidRPr="00E26C8E">
        <w:rPr>
          <w:rFonts w:eastAsia="Times New Roman"/>
          <w:szCs w:val="17"/>
        </w:rPr>
        <w:t>•</w:t>
      </w:r>
      <w:r w:rsidRPr="00E26C8E">
        <w:rPr>
          <w:rFonts w:eastAsia="Times New Roman"/>
          <w:szCs w:val="17"/>
        </w:rPr>
        <w:tab/>
        <w:t>predicted extent of residual mining fluids and liquid waste reinjected to aquifers.</w:t>
      </w:r>
    </w:p>
    <w:p w:rsidR="00E26C8E" w:rsidRPr="00E26C8E" w:rsidRDefault="00E26C8E" w:rsidP="00E26C8E">
      <w:pPr>
        <w:spacing w:after="0"/>
        <w:rPr>
          <w:rFonts w:eastAsia="Times New Roman"/>
          <w:szCs w:val="17"/>
        </w:rPr>
      </w:pPr>
      <w:r w:rsidRPr="00E26C8E">
        <w:rPr>
          <w:rFonts w:eastAsia="Times New Roman"/>
          <w:szCs w:val="17"/>
        </w:rPr>
        <w:t>Dated: 11 December 2020</w:t>
      </w:r>
    </w:p>
    <w:p w:rsidR="00E26C8E" w:rsidRPr="00E26C8E" w:rsidRDefault="00E26C8E" w:rsidP="00E26C8E">
      <w:pPr>
        <w:spacing w:after="0"/>
        <w:jc w:val="right"/>
        <w:rPr>
          <w:rFonts w:eastAsia="Times New Roman"/>
          <w:smallCaps/>
          <w:szCs w:val="20"/>
        </w:rPr>
      </w:pPr>
      <w:r w:rsidRPr="00E26C8E">
        <w:rPr>
          <w:rFonts w:eastAsia="Times New Roman"/>
          <w:smallCaps/>
          <w:szCs w:val="20"/>
        </w:rPr>
        <w:t>Hon. Daniel van Holst Pellekaan</w:t>
      </w:r>
    </w:p>
    <w:p w:rsidR="00E26C8E" w:rsidRPr="00E26C8E" w:rsidRDefault="00E26C8E" w:rsidP="00E26C8E">
      <w:pPr>
        <w:spacing w:after="0"/>
        <w:jc w:val="right"/>
        <w:rPr>
          <w:rFonts w:eastAsia="Times New Roman"/>
          <w:szCs w:val="17"/>
        </w:rPr>
      </w:pPr>
      <w:r w:rsidRPr="00E26C8E">
        <w:rPr>
          <w:rFonts w:eastAsia="Times New Roman"/>
          <w:szCs w:val="17"/>
        </w:rPr>
        <w:t>Minister for Energy and Mining</w:t>
      </w:r>
    </w:p>
    <w:p w:rsidR="00E26C8E" w:rsidRPr="00E26C8E" w:rsidRDefault="00E26C8E" w:rsidP="00E26C8E">
      <w:pPr>
        <w:pBdr>
          <w:bottom w:val="single" w:sz="4" w:space="1" w:color="auto"/>
        </w:pBdr>
        <w:spacing w:after="0" w:line="52" w:lineRule="exact"/>
        <w:jc w:val="center"/>
        <w:rPr>
          <w:rFonts w:eastAsia="Times New Roman"/>
          <w:szCs w:val="17"/>
        </w:rPr>
      </w:pPr>
    </w:p>
    <w:p w:rsidR="00E26C8E" w:rsidRPr="00E26C8E" w:rsidRDefault="00E26C8E" w:rsidP="00E26C8E">
      <w:pPr>
        <w:pBdr>
          <w:top w:val="single" w:sz="4" w:space="1" w:color="auto"/>
        </w:pBdr>
        <w:spacing w:before="34" w:after="0" w:line="14" w:lineRule="exact"/>
        <w:jc w:val="center"/>
        <w:rPr>
          <w:rFonts w:eastAsia="Times New Roman"/>
          <w:szCs w:val="17"/>
        </w:rPr>
      </w:pPr>
    </w:p>
    <w:p w:rsidR="00E26C8E" w:rsidRPr="00E26C8E" w:rsidRDefault="00E26C8E" w:rsidP="00E26C8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052A19" w:rsidRDefault="00052A19">
      <w:pPr>
        <w:spacing w:after="0" w:line="240" w:lineRule="auto"/>
        <w:jc w:val="left"/>
        <w:rPr>
          <w:caps/>
          <w:szCs w:val="17"/>
        </w:rPr>
      </w:pPr>
      <w:bookmarkStart w:id="128" w:name="_Toc206217261"/>
      <w:bookmarkStart w:id="129" w:name="_Toc206217284"/>
      <w:r>
        <w:br w:type="page"/>
      </w:r>
    </w:p>
    <w:p w:rsidR="00683CF6" w:rsidRPr="00BC5FD4" w:rsidRDefault="00683CF6" w:rsidP="008F57F4">
      <w:pPr>
        <w:pStyle w:val="Heading2"/>
      </w:pPr>
      <w:bookmarkStart w:id="130" w:name="_Toc59098957"/>
      <w:r w:rsidRPr="00BC5FD4">
        <w:t>Mining Regulations 2020</w:t>
      </w:r>
      <w:bookmarkEnd w:id="130"/>
    </w:p>
    <w:p w:rsidR="00683CF6" w:rsidRDefault="00683CF6" w:rsidP="00052A19">
      <w:pPr>
        <w:pStyle w:val="GG-Title2"/>
        <w:spacing w:after="60"/>
      </w:pPr>
      <w:r w:rsidRPr="00BC5FD4">
        <w:t>Regulation 65</w:t>
      </w:r>
    </w:p>
    <w:p w:rsidR="00683CF6" w:rsidRPr="001736D9" w:rsidRDefault="00683CF6" w:rsidP="00052A19">
      <w:pPr>
        <w:pStyle w:val="GG-Title3"/>
        <w:spacing w:after="60"/>
      </w:pPr>
      <w:r w:rsidRPr="00D05DFD">
        <w:t>Program for Environment Protection and Rehabilitation</w:t>
      </w:r>
    </w:p>
    <w:p w:rsidR="00683CF6" w:rsidRDefault="00683CF6" w:rsidP="00052A19">
      <w:pPr>
        <w:pStyle w:val="GG-body"/>
        <w:spacing w:after="60"/>
        <w:rPr>
          <w:spacing w:val="-2"/>
        </w:rPr>
      </w:pPr>
      <w:r w:rsidRPr="00D05DFD">
        <w:rPr>
          <w:spacing w:val="-2"/>
        </w:rPr>
        <w:t xml:space="preserve">For the purposes of Section 70B (8) of the </w:t>
      </w:r>
      <w:r w:rsidRPr="00D05DFD">
        <w:rPr>
          <w:i/>
          <w:iCs/>
          <w:spacing w:val="-2"/>
        </w:rPr>
        <w:t>Mining Act 1971</w:t>
      </w:r>
      <w:r w:rsidRPr="00D05DFD">
        <w:rPr>
          <w:spacing w:val="-2"/>
        </w:rPr>
        <w:t xml:space="preserve"> and Regulation 65 of the </w:t>
      </w:r>
      <w:r w:rsidRPr="00D05DFD">
        <w:rPr>
          <w:iCs/>
          <w:spacing w:val="-2"/>
        </w:rPr>
        <w:t>Mining Regulations 2020</w:t>
      </w:r>
      <w:r w:rsidRPr="00D05DFD">
        <w:rPr>
          <w:spacing w:val="-2"/>
        </w:rPr>
        <w:t>, the Minister for Energy and Mining determines by publication in the Gazette that the following Program for Environment Protection and Rehabilitation be adopted for l</w:t>
      </w:r>
      <w:r>
        <w:rPr>
          <w:spacing w:val="-2"/>
        </w:rPr>
        <w:t>ow </w:t>
      </w:r>
      <w:r w:rsidRPr="00D05DFD">
        <w:rPr>
          <w:spacing w:val="-2"/>
        </w:rPr>
        <w:t>impact exploration operation carried out within the area of a mineral claim, an exploration licence, a mining lease or a retention lease.</w:t>
      </w:r>
    </w:p>
    <w:p w:rsidR="00683CF6" w:rsidRPr="00D05DFD" w:rsidRDefault="00683CF6" w:rsidP="00052A19">
      <w:pPr>
        <w:pStyle w:val="GG-body"/>
        <w:spacing w:after="60"/>
        <w:rPr>
          <w:spacing w:val="-2"/>
        </w:rPr>
      </w:pPr>
      <w:r w:rsidRPr="00FE5133">
        <w:t>In accordance with Section</w:t>
      </w:r>
      <w:r>
        <w:t xml:space="preserve"> </w:t>
      </w:r>
      <w:r w:rsidRPr="00D05DFD">
        <w:rPr>
          <w:spacing w:val="-2"/>
        </w:rPr>
        <w:t xml:space="preserve">70B (8) </w:t>
      </w:r>
      <w:r w:rsidRPr="00FE5133">
        <w:t xml:space="preserve">of the </w:t>
      </w:r>
      <w:r w:rsidRPr="0016329D">
        <w:rPr>
          <w:i/>
        </w:rPr>
        <w:t>Mining Act 1971</w:t>
      </w:r>
      <w:r w:rsidRPr="00FE5133">
        <w:t>, this notice will have effect from 1 January 2021.</w:t>
      </w:r>
    </w:p>
    <w:p w:rsidR="00683CF6" w:rsidRPr="00D05DFD" w:rsidRDefault="00683CF6" w:rsidP="00052A19">
      <w:pPr>
        <w:pStyle w:val="GG-body"/>
        <w:spacing w:after="60"/>
        <w:rPr>
          <w:b/>
          <w:spacing w:val="-2"/>
        </w:rPr>
      </w:pPr>
      <w:r w:rsidRPr="00D05DFD">
        <w:rPr>
          <w:b/>
          <w:spacing w:val="-2"/>
        </w:rPr>
        <w:t>GENERIC PROGRAM FOR ENVIRONMENT PROTECTION AND REHABILIATION—LOW IMPACT EXPLORATION IN SOUTH AUSTRALIA</w:t>
      </w:r>
    </w:p>
    <w:p w:rsidR="00683CF6" w:rsidRPr="00BC5FD4" w:rsidRDefault="00683CF6" w:rsidP="00052A19">
      <w:pPr>
        <w:pStyle w:val="GG-body"/>
        <w:spacing w:after="60"/>
      </w:pPr>
      <w:r w:rsidRPr="00BC5FD4">
        <w:t>This Generic Program for Environmen</w:t>
      </w:r>
      <w:r>
        <w:t>t Protection and Rehabilitation—</w:t>
      </w:r>
      <w:r w:rsidRPr="00BC5FD4">
        <w:t>Low Impact Exploration in South Australia (Generic PEPR) identifies the potential impacts, outcomes and measurement criteria developed by the Department of Energy and Mining (DEM) that must be adopted by explorers when undertaking low impact exploration operations in South Australia.</w:t>
      </w:r>
    </w:p>
    <w:p w:rsidR="00683CF6" w:rsidRPr="00BC5FD4" w:rsidRDefault="00683CF6" w:rsidP="00052A19">
      <w:pPr>
        <w:pStyle w:val="GG-body"/>
        <w:spacing w:after="60"/>
      </w:pPr>
      <w:r w:rsidRPr="0070687D">
        <w:rPr>
          <w:spacing w:val="-2"/>
        </w:rPr>
        <w:t>This Generic PEPR applies to all low impact exploration operations listed within Part A of this determination, that are carried out</w:t>
      </w:r>
      <w:r w:rsidRPr="00BC5FD4">
        <w:t xml:space="preserve"> within the area of an Exploration Licence (EL), Minerals Claim (MC) for the purpose of exploring for extractive minerals only, Retention Le</w:t>
      </w:r>
      <w:r>
        <w:t>ase (RL) and Mining Lease (ML).</w:t>
      </w:r>
    </w:p>
    <w:p w:rsidR="00683CF6" w:rsidRPr="006C6AA7" w:rsidRDefault="00683CF6" w:rsidP="00052A19">
      <w:pPr>
        <w:pStyle w:val="GG-body"/>
        <w:spacing w:after="60"/>
      </w:pPr>
      <w:r w:rsidRPr="0070687D">
        <w:rPr>
          <w:spacing w:val="-2"/>
        </w:rPr>
        <w:t xml:space="preserve">This Generic PEPR will not be adopted and a program under Part 10A of the </w:t>
      </w:r>
      <w:r w:rsidRPr="003417BA">
        <w:rPr>
          <w:i/>
          <w:spacing w:val="-2"/>
        </w:rPr>
        <w:t>Mining Act 1971</w:t>
      </w:r>
      <w:r w:rsidRPr="0070687D">
        <w:rPr>
          <w:spacing w:val="-2"/>
        </w:rPr>
        <w:t xml:space="preserve"> must be submitted for approval where</w:t>
      </w:r>
      <w:r w:rsidRPr="006C6AA7">
        <w:t xml:space="preserve"> required by an express condition of an Exploration Licence (EL) or where low impact exploration operations listed within Part A of this determination are to occur within the area of an exploration licence (EL) or mineral claim (MC) within one or more of the following </w:t>
      </w:r>
      <w:r>
        <w:t>“</w:t>
      </w:r>
      <w:r w:rsidRPr="006C6AA7">
        <w:t>excluded areas</w:t>
      </w:r>
      <w:r>
        <w:t>”</w:t>
      </w:r>
      <w:r w:rsidRPr="006C6AA7">
        <w:t>:</w:t>
      </w:r>
    </w:p>
    <w:p w:rsidR="00683CF6" w:rsidRPr="00BC5FD4" w:rsidRDefault="00683CF6" w:rsidP="00052A19">
      <w:pPr>
        <w:pStyle w:val="GG-body"/>
        <w:spacing w:after="60"/>
        <w:ind w:left="426" w:hanging="284"/>
      </w:pPr>
      <w:r>
        <w:t>1.</w:t>
      </w:r>
      <w:r>
        <w:tab/>
      </w:r>
      <w:r w:rsidRPr="00BC5FD4">
        <w:t xml:space="preserve">a specially protected area as defined in the </w:t>
      </w:r>
      <w:r w:rsidRPr="00BC5FD4">
        <w:rPr>
          <w:i/>
          <w:iCs/>
        </w:rPr>
        <w:t>Mining Act 1971</w:t>
      </w:r>
      <w:r w:rsidRPr="00BC5FD4">
        <w:t>;</w:t>
      </w:r>
    </w:p>
    <w:p w:rsidR="00683CF6" w:rsidRPr="00BC5FD4" w:rsidRDefault="00683CF6" w:rsidP="00052A19">
      <w:pPr>
        <w:pStyle w:val="GG-body"/>
        <w:spacing w:after="60"/>
        <w:ind w:left="426" w:hanging="284"/>
      </w:pPr>
      <w:r>
        <w:t>2.</w:t>
      </w:r>
      <w:r>
        <w:tab/>
      </w:r>
      <w:r w:rsidRPr="00BC5FD4">
        <w:t xml:space="preserve">land dedicated as a conservation reserve under section 5 of the </w:t>
      </w:r>
      <w:r w:rsidRPr="00BC5FD4">
        <w:rPr>
          <w:i/>
          <w:iCs/>
        </w:rPr>
        <w:t>Crown Lands Act 1929</w:t>
      </w:r>
      <w:r w:rsidRPr="00BC5FD4">
        <w:t xml:space="preserve"> or section 18 of the </w:t>
      </w:r>
      <w:r w:rsidRPr="00BC5FD4">
        <w:rPr>
          <w:i/>
          <w:iCs/>
        </w:rPr>
        <w:t>Crown Land Management Act 2009</w:t>
      </w:r>
      <w:r w:rsidRPr="00BC5FD4">
        <w:t xml:space="preserve"> or land in relation to which a declaration is in force under section 55 of the </w:t>
      </w:r>
      <w:r w:rsidRPr="00BC5FD4">
        <w:rPr>
          <w:i/>
          <w:iCs/>
        </w:rPr>
        <w:t>Crown Land Management Act 2009</w:t>
      </w:r>
      <w:r w:rsidRPr="00BC5FD4">
        <w:t>;</w:t>
      </w:r>
    </w:p>
    <w:p w:rsidR="00683CF6" w:rsidRPr="00BC5FD4" w:rsidRDefault="00683CF6" w:rsidP="00052A19">
      <w:pPr>
        <w:pStyle w:val="GG-body"/>
        <w:spacing w:after="60"/>
        <w:ind w:left="426" w:hanging="284"/>
      </w:pPr>
      <w:r>
        <w:t>3.</w:t>
      </w:r>
      <w:r>
        <w:tab/>
      </w:r>
      <w:r w:rsidRPr="00BC5FD4">
        <w:t xml:space="preserve">a regional reserve as defined in the </w:t>
      </w:r>
      <w:r w:rsidRPr="00BC5FD4">
        <w:rPr>
          <w:i/>
          <w:iCs/>
        </w:rPr>
        <w:t>National Parks and Wildlife Act 1971</w:t>
      </w:r>
      <w:r w:rsidRPr="00BC5FD4">
        <w:t>;</w:t>
      </w:r>
    </w:p>
    <w:p w:rsidR="00683CF6" w:rsidRPr="00BC5FD4" w:rsidRDefault="00683CF6" w:rsidP="00052A19">
      <w:pPr>
        <w:pStyle w:val="GG-body"/>
        <w:spacing w:after="60"/>
        <w:ind w:left="426" w:hanging="284"/>
      </w:pPr>
      <w:r>
        <w:t>4.</w:t>
      </w:r>
      <w:r>
        <w:tab/>
      </w:r>
      <w:r w:rsidRPr="00BC5FD4">
        <w:t xml:space="preserve">a State Heritage Area or a State Heritage Place as defined in the </w:t>
      </w:r>
      <w:r w:rsidRPr="00BC5FD4">
        <w:rPr>
          <w:i/>
          <w:iCs/>
        </w:rPr>
        <w:t xml:space="preserve">Heritage Places Act 1993; </w:t>
      </w:r>
      <w:r>
        <w:rPr>
          <w:i/>
          <w:iCs/>
        </w:rPr>
        <w:t xml:space="preserve"> </w:t>
      </w:r>
    </w:p>
    <w:p w:rsidR="00683CF6" w:rsidRPr="00BC5FD4" w:rsidRDefault="00683CF6" w:rsidP="00052A19">
      <w:pPr>
        <w:pStyle w:val="GG-body"/>
        <w:spacing w:after="60"/>
        <w:ind w:left="426" w:hanging="284"/>
      </w:pPr>
      <w:r>
        <w:t>5.</w:t>
      </w:r>
      <w:r>
        <w:tab/>
      </w:r>
      <w:r w:rsidRPr="00BC5FD4">
        <w:t xml:space="preserve">a declared RAMSAR wetland as defined in the </w:t>
      </w:r>
      <w:r w:rsidRPr="00BC5FD4">
        <w:rPr>
          <w:i/>
          <w:iCs/>
        </w:rPr>
        <w:t>Environment Protection and Biodiversity Conservation Act 1999 (Cth);</w:t>
      </w:r>
    </w:p>
    <w:p w:rsidR="00683CF6" w:rsidRPr="00BC5FD4" w:rsidRDefault="00683CF6" w:rsidP="00052A19">
      <w:pPr>
        <w:pStyle w:val="GG-body"/>
        <w:spacing w:after="60"/>
        <w:ind w:left="426" w:hanging="284"/>
      </w:pPr>
      <w:r>
        <w:t>6.</w:t>
      </w:r>
      <w:r>
        <w:tab/>
      </w:r>
      <w:r w:rsidRPr="00BC5FD4">
        <w:t xml:space="preserve">land subject to a heritage agreement entered under section 23 of the </w:t>
      </w:r>
      <w:r w:rsidRPr="00BC5FD4">
        <w:rPr>
          <w:i/>
          <w:iCs/>
        </w:rPr>
        <w:t>Native Vegetation Act 1991</w:t>
      </w:r>
      <w:r w:rsidRPr="00BC5FD4">
        <w:t>;</w:t>
      </w:r>
    </w:p>
    <w:p w:rsidR="00683CF6" w:rsidRPr="00BC5FD4" w:rsidRDefault="00683CF6" w:rsidP="00052A19">
      <w:pPr>
        <w:pStyle w:val="GG-body"/>
        <w:spacing w:after="60"/>
        <w:ind w:left="426" w:hanging="284"/>
      </w:pPr>
      <w:r>
        <w:t>7.</w:t>
      </w:r>
      <w:r>
        <w:tab/>
      </w:r>
      <w:r w:rsidRPr="00BC5FD4">
        <w:t xml:space="preserve">a national park as defined in the </w:t>
      </w:r>
      <w:r w:rsidRPr="00BC5FD4">
        <w:rPr>
          <w:i/>
          <w:iCs/>
        </w:rPr>
        <w:t>National Parks and Wildlife Act 1971</w:t>
      </w:r>
      <w:r w:rsidRPr="00BC5FD4">
        <w:t>;</w:t>
      </w:r>
    </w:p>
    <w:p w:rsidR="00683CF6" w:rsidRPr="00BC5FD4" w:rsidRDefault="00683CF6" w:rsidP="00052A19">
      <w:pPr>
        <w:pStyle w:val="GG-body"/>
        <w:spacing w:after="60"/>
        <w:ind w:left="426" w:hanging="284"/>
      </w:pPr>
      <w:r>
        <w:t>8.</w:t>
      </w:r>
      <w:r>
        <w:tab/>
      </w:r>
      <w:r w:rsidRPr="00BC5FD4">
        <w:t xml:space="preserve">a conservation park as defined in the </w:t>
      </w:r>
      <w:r w:rsidRPr="00BC5FD4">
        <w:rPr>
          <w:i/>
          <w:iCs/>
        </w:rPr>
        <w:t>National Parks and Wildlife Act 1971</w:t>
      </w:r>
      <w:r w:rsidRPr="00BC5FD4">
        <w:t>; and</w:t>
      </w:r>
    </w:p>
    <w:p w:rsidR="00683CF6" w:rsidRPr="00BC5FD4" w:rsidRDefault="00683CF6" w:rsidP="00052A19">
      <w:pPr>
        <w:pStyle w:val="GG-body"/>
        <w:spacing w:after="60"/>
        <w:ind w:left="426" w:hanging="284"/>
        <w:rPr>
          <w:rFonts w:eastAsia="Arial"/>
        </w:rPr>
      </w:pPr>
      <w:r>
        <w:t>9.</w:t>
      </w:r>
      <w:r>
        <w:tab/>
      </w:r>
      <w:r w:rsidRPr="00BC5FD4">
        <w:t xml:space="preserve">a recreation park as defined in the </w:t>
      </w:r>
      <w:r w:rsidRPr="00BC5FD4">
        <w:rPr>
          <w:i/>
          <w:iCs/>
        </w:rPr>
        <w:t>National Parks and Wildlife Act 1971.</w:t>
      </w:r>
    </w:p>
    <w:p w:rsidR="00683CF6" w:rsidRPr="00BC5FD4" w:rsidRDefault="00683CF6" w:rsidP="00052A19">
      <w:pPr>
        <w:pStyle w:val="GG-body"/>
        <w:spacing w:after="60"/>
        <w:ind w:left="284" w:hanging="284"/>
        <w:rPr>
          <w:b/>
          <w:bCs/>
          <w:kern w:val="32"/>
        </w:rPr>
      </w:pPr>
      <w:r w:rsidRPr="00BC5FD4">
        <w:rPr>
          <w:b/>
          <w:bCs/>
          <w:kern w:val="32"/>
        </w:rPr>
        <w:t>PART A: Scope</w:t>
      </w:r>
    </w:p>
    <w:p w:rsidR="00683CF6" w:rsidRPr="00BC5FD4" w:rsidRDefault="00683CF6" w:rsidP="00052A19">
      <w:pPr>
        <w:pStyle w:val="GG-body"/>
        <w:spacing w:after="60"/>
        <w:rPr>
          <w:b/>
          <w:bCs/>
          <w:i/>
          <w:iCs/>
        </w:rPr>
      </w:pPr>
      <w:r w:rsidRPr="00BC5FD4">
        <w:rPr>
          <w:b/>
          <w:bCs/>
          <w:i/>
          <w:iCs/>
        </w:rPr>
        <w:t>Environment</w:t>
      </w:r>
    </w:p>
    <w:p w:rsidR="00683CF6" w:rsidRPr="00BC5FD4" w:rsidRDefault="00683CF6" w:rsidP="00052A19">
      <w:pPr>
        <w:pStyle w:val="GG-body"/>
        <w:spacing w:after="60"/>
      </w:pPr>
      <w:r w:rsidRPr="00BC5FD4">
        <w:t>This Generic PEPR will include all features of the environment within the area of an Exploration Licence (EL), Minerals Claim (MC), Retention Lease (RL) and Mining Lease (ML) (noting that this Generic PEPR will not be adopted within excluded areas as defined above).</w:t>
      </w:r>
    </w:p>
    <w:p w:rsidR="00683CF6" w:rsidRPr="00BC5FD4" w:rsidRDefault="00683CF6" w:rsidP="00052A19">
      <w:pPr>
        <w:pStyle w:val="GG-body"/>
        <w:spacing w:after="60"/>
        <w:rPr>
          <w:b/>
          <w:bCs/>
          <w:i/>
          <w:iCs/>
        </w:rPr>
      </w:pPr>
      <w:r w:rsidRPr="00BC5FD4">
        <w:rPr>
          <w:b/>
          <w:bCs/>
          <w:i/>
          <w:iCs/>
        </w:rPr>
        <w:t>Operations</w:t>
      </w:r>
    </w:p>
    <w:p w:rsidR="00683CF6" w:rsidRPr="00BC5FD4" w:rsidRDefault="00683CF6" w:rsidP="00052A19">
      <w:pPr>
        <w:pStyle w:val="GG-body"/>
        <w:spacing w:after="60"/>
      </w:pPr>
      <w:r w:rsidRPr="00BC5FD4">
        <w:t xml:space="preserve">The following low impact exploration operations </w:t>
      </w:r>
      <w:r w:rsidRPr="00DA7C96">
        <w:rPr>
          <w:b/>
          <w:bCs/>
          <w:u w:val="single"/>
        </w:rPr>
        <w:t>are covered and within scope</w:t>
      </w:r>
      <w:r w:rsidRPr="00BC5FD4">
        <w:t xml:space="preserve"> of this Generic PEPR:</w:t>
      </w:r>
    </w:p>
    <w:p w:rsidR="00683CF6" w:rsidRPr="00BC5FD4" w:rsidRDefault="00683CF6" w:rsidP="00052A19">
      <w:pPr>
        <w:pStyle w:val="GG-body"/>
        <w:spacing w:after="60"/>
        <w:ind w:left="284" w:hanging="142"/>
      </w:pPr>
      <w:r>
        <w:t>•</w:t>
      </w:r>
      <w:r>
        <w:tab/>
      </w:r>
      <w:r w:rsidRPr="00BC5FD4">
        <w:t>Reconnaissance</w:t>
      </w:r>
    </w:p>
    <w:p w:rsidR="00683CF6" w:rsidRPr="00BC5FD4" w:rsidRDefault="00683CF6" w:rsidP="00052A19">
      <w:pPr>
        <w:pStyle w:val="GG-body"/>
        <w:spacing w:after="60"/>
        <w:ind w:left="284" w:hanging="142"/>
      </w:pPr>
      <w:r>
        <w:t>•</w:t>
      </w:r>
      <w:r>
        <w:tab/>
      </w:r>
      <w:r w:rsidRPr="00BC5FD4">
        <w:t>Cultural clearance surveys</w:t>
      </w:r>
    </w:p>
    <w:p w:rsidR="00683CF6" w:rsidRPr="00BC5FD4" w:rsidRDefault="00683CF6" w:rsidP="00052A19">
      <w:pPr>
        <w:pStyle w:val="GG-body"/>
        <w:spacing w:after="60"/>
        <w:ind w:left="284" w:hanging="142"/>
      </w:pPr>
      <w:r>
        <w:t>•</w:t>
      </w:r>
      <w:r>
        <w:tab/>
      </w:r>
      <w:r w:rsidRPr="00BC5FD4">
        <w:t>Soil sampling</w:t>
      </w:r>
    </w:p>
    <w:p w:rsidR="00683CF6" w:rsidRPr="00BC5FD4" w:rsidRDefault="00683CF6" w:rsidP="00052A19">
      <w:pPr>
        <w:pStyle w:val="GG-body"/>
        <w:spacing w:after="60"/>
        <w:ind w:left="284" w:hanging="142"/>
      </w:pPr>
      <w:r>
        <w:t>•</w:t>
      </w:r>
      <w:r>
        <w:tab/>
      </w:r>
      <w:r w:rsidRPr="00BC5FD4">
        <w:t>Geological mapping</w:t>
      </w:r>
    </w:p>
    <w:p w:rsidR="00683CF6" w:rsidRPr="00BC5FD4" w:rsidRDefault="00683CF6" w:rsidP="00052A19">
      <w:pPr>
        <w:pStyle w:val="GG-body"/>
        <w:spacing w:after="60"/>
        <w:ind w:left="284" w:hanging="142"/>
      </w:pPr>
      <w:r>
        <w:t>•</w:t>
      </w:r>
      <w:r>
        <w:tab/>
      </w:r>
      <w:r w:rsidRPr="00BC5FD4">
        <w:t xml:space="preserve">Geochemical surveys </w:t>
      </w:r>
      <w:r>
        <w:t>-</w:t>
      </w:r>
      <w:r w:rsidRPr="00BC5FD4">
        <w:t xml:space="preserve"> surface sampling</w:t>
      </w:r>
    </w:p>
    <w:p w:rsidR="00683CF6" w:rsidRPr="00BC5FD4" w:rsidRDefault="00683CF6" w:rsidP="00052A19">
      <w:pPr>
        <w:pStyle w:val="GG-body"/>
        <w:spacing w:after="60"/>
        <w:ind w:left="284" w:hanging="142"/>
      </w:pPr>
      <w:r>
        <w:t>•</w:t>
      </w:r>
      <w:r>
        <w:tab/>
      </w:r>
      <w:r w:rsidRPr="00BC5FD4">
        <w:t xml:space="preserve">All geophysical surveys including passive seismic </w:t>
      </w:r>
      <w:r>
        <w:t>-</w:t>
      </w:r>
      <w:r w:rsidRPr="00BC5FD4">
        <w:t xml:space="preserve"> excludes all other types seismic surveys</w:t>
      </w:r>
    </w:p>
    <w:p w:rsidR="00683CF6" w:rsidRPr="00BC5FD4" w:rsidRDefault="00683CF6" w:rsidP="00052A19">
      <w:pPr>
        <w:pStyle w:val="GG-body"/>
        <w:spacing w:after="60"/>
        <w:ind w:left="284" w:hanging="142"/>
      </w:pPr>
      <w:r>
        <w:t>•</w:t>
      </w:r>
      <w:r>
        <w:tab/>
      </w:r>
      <w:r w:rsidRPr="00BC5FD4">
        <w:t>Biochemical sampling</w:t>
      </w:r>
    </w:p>
    <w:p w:rsidR="00683CF6" w:rsidRPr="00BC5FD4" w:rsidRDefault="00683CF6" w:rsidP="00052A19">
      <w:pPr>
        <w:pStyle w:val="GG-body"/>
        <w:spacing w:after="60"/>
        <w:ind w:left="284" w:hanging="142"/>
      </w:pPr>
      <w:r>
        <w:t>•</w:t>
      </w:r>
      <w:r>
        <w:tab/>
      </w:r>
      <w:r w:rsidRPr="00BC5FD4">
        <w:t>Rock</w:t>
      </w:r>
      <w:r>
        <w:t>-</w:t>
      </w:r>
      <w:r w:rsidRPr="00BC5FD4">
        <w:t>chip sampling</w:t>
      </w:r>
    </w:p>
    <w:p w:rsidR="00683CF6" w:rsidRPr="00BC5FD4" w:rsidRDefault="00683CF6" w:rsidP="00052A19">
      <w:pPr>
        <w:pStyle w:val="GG-body"/>
        <w:spacing w:after="60"/>
        <w:ind w:left="284" w:hanging="142"/>
      </w:pPr>
      <w:r>
        <w:t>•</w:t>
      </w:r>
      <w:r>
        <w:tab/>
      </w:r>
      <w:r w:rsidRPr="00BC5FD4">
        <w:t>Sampling using hand held augers</w:t>
      </w:r>
    </w:p>
    <w:p w:rsidR="00683CF6" w:rsidRPr="00BC5FD4" w:rsidRDefault="00683CF6" w:rsidP="00052A19">
      <w:pPr>
        <w:pStyle w:val="GG-body"/>
        <w:spacing w:after="60"/>
        <w:ind w:left="284" w:hanging="142"/>
      </w:pPr>
      <w:r>
        <w:t>•</w:t>
      </w:r>
      <w:r>
        <w:tab/>
      </w:r>
      <w:r w:rsidRPr="00BC5FD4">
        <w:t>Fly camps comprising tents or swags for short periods of time (days)</w:t>
      </w:r>
    </w:p>
    <w:p w:rsidR="00683CF6" w:rsidRPr="00BC5FD4" w:rsidRDefault="00683CF6" w:rsidP="00052A19">
      <w:pPr>
        <w:pStyle w:val="GG-body"/>
        <w:spacing w:after="60"/>
        <w:ind w:left="284" w:hanging="142"/>
      </w:pPr>
      <w:r>
        <w:t>•</w:t>
      </w:r>
      <w:r>
        <w:tab/>
      </w:r>
      <w:r w:rsidRPr="00BC5FD4">
        <w:t>Small, short term camp sites defined as:</w:t>
      </w:r>
    </w:p>
    <w:p w:rsidR="00683CF6" w:rsidRPr="00BC5FD4" w:rsidRDefault="00683CF6" w:rsidP="00052A19">
      <w:pPr>
        <w:pStyle w:val="GG-body"/>
        <w:spacing w:after="60"/>
        <w:ind w:left="426" w:hanging="142"/>
      </w:pPr>
      <w:r>
        <w:t>◦</w:t>
      </w:r>
      <w:r>
        <w:tab/>
      </w:r>
      <w:r w:rsidRPr="00BC5FD4">
        <w:t>Having a maximum of 5 people</w:t>
      </w:r>
    </w:p>
    <w:p w:rsidR="00683CF6" w:rsidRPr="00BC5FD4" w:rsidRDefault="00683CF6" w:rsidP="00052A19">
      <w:pPr>
        <w:pStyle w:val="GG-body"/>
        <w:spacing w:after="60"/>
        <w:ind w:left="426" w:hanging="142"/>
      </w:pPr>
      <w:r>
        <w:t>◦</w:t>
      </w:r>
      <w:r>
        <w:tab/>
      </w:r>
      <w:r w:rsidRPr="00BC5FD4">
        <w:t>Required for a maximum time period of one month</w:t>
      </w:r>
    </w:p>
    <w:p w:rsidR="00683CF6" w:rsidRPr="00BC5FD4" w:rsidRDefault="00683CF6" w:rsidP="00052A19">
      <w:pPr>
        <w:pStyle w:val="GG-body"/>
        <w:spacing w:after="60"/>
        <w:ind w:left="426" w:hanging="142"/>
      </w:pPr>
      <w:r>
        <w:t>◦</w:t>
      </w:r>
      <w:r>
        <w:tab/>
      </w:r>
      <w:r w:rsidRPr="00BC5FD4">
        <w:t>Equipment limited to a maximum of two caravans, tents and generators</w:t>
      </w:r>
    </w:p>
    <w:p w:rsidR="00683CF6" w:rsidRPr="00BC5FD4" w:rsidRDefault="00683CF6" w:rsidP="00052A19">
      <w:pPr>
        <w:pStyle w:val="GG-body"/>
        <w:spacing w:after="60"/>
        <w:ind w:left="426" w:hanging="142"/>
      </w:pPr>
      <w:r>
        <w:t>◦</w:t>
      </w:r>
      <w:r>
        <w:tab/>
      </w:r>
      <w:r w:rsidRPr="00BC5FD4">
        <w:t>Associated 4WD vehicles, helicopters, ATVs and/or Quad bikes</w:t>
      </w:r>
    </w:p>
    <w:p w:rsidR="00052A19" w:rsidRDefault="00683CF6" w:rsidP="00052A19">
      <w:pPr>
        <w:pStyle w:val="GG-body"/>
        <w:spacing w:after="60"/>
        <w:ind w:left="426" w:hanging="142"/>
      </w:pPr>
      <w:r>
        <w:t>◦</w:t>
      </w:r>
      <w:r>
        <w:tab/>
      </w:r>
      <w:r w:rsidRPr="00BC5FD4">
        <w:t>Low impact exploration equipment</w:t>
      </w:r>
    </w:p>
    <w:p w:rsidR="00683CF6" w:rsidRPr="00BC5FD4" w:rsidRDefault="00683CF6" w:rsidP="00683CF6">
      <w:pPr>
        <w:pStyle w:val="GG-body"/>
        <w:spacing w:after="40"/>
        <w:ind w:left="284" w:hanging="142"/>
      </w:pPr>
      <w:r>
        <w:t>•</w:t>
      </w:r>
      <w:r>
        <w:tab/>
      </w:r>
      <w:r w:rsidRPr="00BC5FD4">
        <w:t>Use of 4WD vehicles off existing tracks required to conduct the above listed activities</w:t>
      </w:r>
    </w:p>
    <w:p w:rsidR="00683CF6" w:rsidRPr="00BC5FD4" w:rsidRDefault="00683CF6" w:rsidP="00683CF6">
      <w:pPr>
        <w:pStyle w:val="GG-body"/>
        <w:ind w:left="284" w:hanging="142"/>
      </w:pPr>
      <w:r>
        <w:t>•</w:t>
      </w:r>
      <w:r>
        <w:tab/>
      </w:r>
      <w:r w:rsidRPr="00BC5FD4">
        <w:t>Environmental studies required to support the development of a RL/ML application and a PEPR submission, which are not reasonably expected to have any significant adverse impacts on the environment.</w:t>
      </w:r>
    </w:p>
    <w:p w:rsidR="00683CF6" w:rsidRPr="00BC5FD4" w:rsidRDefault="00683CF6" w:rsidP="00683CF6">
      <w:pPr>
        <w:pStyle w:val="GG-body"/>
        <w:ind w:left="142"/>
      </w:pPr>
      <w:r w:rsidRPr="00BC5FD4">
        <w:t xml:space="preserve">The following low impact exploration operations are </w:t>
      </w:r>
      <w:r w:rsidRPr="00DA7C96">
        <w:rPr>
          <w:b/>
          <w:bCs/>
          <w:u w:val="single"/>
        </w:rPr>
        <w:t>not covered</w:t>
      </w:r>
      <w:r w:rsidRPr="00BC5FD4">
        <w:t xml:space="preserve"> within this Generic PEPR:</w:t>
      </w:r>
    </w:p>
    <w:p w:rsidR="00683CF6" w:rsidRPr="00BC5FD4" w:rsidRDefault="00683CF6" w:rsidP="00683CF6">
      <w:pPr>
        <w:pStyle w:val="GG-body"/>
        <w:spacing w:after="40"/>
        <w:ind w:left="284" w:hanging="142"/>
      </w:pPr>
      <w:r>
        <w:t>•</w:t>
      </w:r>
      <w:r>
        <w:tab/>
      </w:r>
      <w:r w:rsidRPr="00BC5FD4">
        <w:t xml:space="preserve">All activities requiring the use of Declared Equipment. This includes drilling equipment defined under the Mining Act as </w:t>
      </w:r>
      <w:r>
        <w:t>“</w:t>
      </w:r>
      <w:r w:rsidRPr="00BC5FD4">
        <w:t>any mechanically driven machinery capable of drilling to depths greater than 2.5 metres below the ground</w:t>
      </w:r>
      <w:r>
        <w:t>”</w:t>
      </w:r>
      <w:r w:rsidRPr="00BC5FD4">
        <w:t xml:space="preserve"> in order to recover subsurface geological samples or information</w:t>
      </w:r>
    </w:p>
    <w:p w:rsidR="00683CF6" w:rsidRPr="00BC5FD4" w:rsidRDefault="00683CF6" w:rsidP="00683CF6">
      <w:pPr>
        <w:pStyle w:val="GG-body"/>
        <w:spacing w:after="40"/>
        <w:ind w:left="284" w:hanging="142"/>
      </w:pPr>
      <w:r>
        <w:t>•</w:t>
      </w:r>
      <w:r>
        <w:tab/>
      </w:r>
      <w:r w:rsidRPr="00BC5FD4">
        <w:t>Costeans and trenches</w:t>
      </w:r>
    </w:p>
    <w:p w:rsidR="00683CF6" w:rsidRPr="00BC5FD4" w:rsidRDefault="00683CF6" w:rsidP="00683CF6">
      <w:pPr>
        <w:pStyle w:val="GG-body"/>
        <w:spacing w:after="40"/>
        <w:ind w:left="284" w:hanging="142"/>
      </w:pPr>
      <w:r>
        <w:t>•</w:t>
      </w:r>
      <w:r>
        <w:tab/>
      </w:r>
      <w:r w:rsidRPr="00BC5FD4">
        <w:t>Any type of seismic survey (excluding passive seismic)</w:t>
      </w:r>
    </w:p>
    <w:p w:rsidR="00683CF6" w:rsidRPr="00BC5FD4" w:rsidRDefault="00683CF6" w:rsidP="00683CF6">
      <w:pPr>
        <w:pStyle w:val="GG-body"/>
        <w:spacing w:after="40"/>
        <w:ind w:left="284" w:hanging="142"/>
      </w:pPr>
      <w:r>
        <w:t>•</w:t>
      </w:r>
      <w:r>
        <w:tab/>
      </w:r>
      <w:r w:rsidRPr="00BC5FD4">
        <w:t>Any camp site outside of the scope documented above</w:t>
      </w:r>
    </w:p>
    <w:p w:rsidR="00683CF6" w:rsidRPr="00BC5FD4" w:rsidRDefault="00683CF6" w:rsidP="00683CF6">
      <w:pPr>
        <w:pStyle w:val="GG-body"/>
        <w:ind w:left="284" w:hanging="142"/>
      </w:pPr>
      <w:r>
        <w:t>•</w:t>
      </w:r>
      <w:r>
        <w:tab/>
        <w:t>Airborne surveys—</w:t>
      </w:r>
      <w:r w:rsidRPr="00BC5FD4">
        <w:t>separate notification to the Department is required in accordance with EL conditions.</w:t>
      </w:r>
    </w:p>
    <w:p w:rsidR="00683CF6" w:rsidRPr="00BC5FD4" w:rsidRDefault="00683CF6" w:rsidP="00683CF6">
      <w:pPr>
        <w:pStyle w:val="GG-body"/>
      </w:pPr>
      <w:r w:rsidRPr="00BC5FD4">
        <w:t>Low impact exploration operations not covered in this Generic PEPR will require a PEPR to be submitted for approval by the Minister (or delegate) pursuant to Part 10A of the Mining Act.</w:t>
      </w:r>
    </w:p>
    <w:p w:rsidR="00422D8D" w:rsidRDefault="00422D8D">
      <w:pPr>
        <w:spacing w:after="0" w:line="240" w:lineRule="auto"/>
        <w:jc w:val="left"/>
        <w:rPr>
          <w:rFonts w:eastAsia="Times New Roman"/>
          <w:b/>
          <w:bCs/>
          <w:kern w:val="32"/>
          <w:szCs w:val="17"/>
        </w:rPr>
      </w:pPr>
      <w:bookmarkStart w:id="131" w:name="_Toc246990091"/>
      <w:bookmarkEnd w:id="128"/>
      <w:bookmarkEnd w:id="129"/>
      <w:r>
        <w:rPr>
          <w:b/>
          <w:bCs/>
          <w:kern w:val="32"/>
        </w:rPr>
        <w:br w:type="page"/>
      </w:r>
    </w:p>
    <w:p w:rsidR="00683CF6" w:rsidRPr="00CD70C5" w:rsidRDefault="00683CF6" w:rsidP="00683CF6">
      <w:pPr>
        <w:pStyle w:val="GG-body"/>
        <w:rPr>
          <w:b/>
          <w:bCs/>
          <w:kern w:val="32"/>
        </w:rPr>
      </w:pPr>
      <w:r w:rsidRPr="00CD70C5">
        <w:rPr>
          <w:b/>
          <w:bCs/>
          <w:kern w:val="32"/>
        </w:rPr>
        <w:t xml:space="preserve">PART B: </w:t>
      </w:r>
      <w:r w:rsidRPr="00836BDC">
        <w:rPr>
          <w:b/>
          <w:iCs/>
          <w:spacing w:val="-2"/>
          <w:kern w:val="32"/>
        </w:rPr>
        <w:t>Potential impacts, controls, outcomes and measurement</w:t>
      </w:r>
      <w:bookmarkEnd w:id="131"/>
      <w:r w:rsidRPr="00836BDC">
        <w:rPr>
          <w:b/>
          <w:iCs/>
          <w:spacing w:val="-2"/>
          <w:kern w:val="32"/>
        </w:rPr>
        <w:t xml:space="preserve"> criteria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559"/>
        <w:gridCol w:w="1981"/>
        <w:gridCol w:w="1559"/>
        <w:gridCol w:w="2549"/>
      </w:tblGrid>
      <w:tr w:rsidR="00683CF6" w:rsidRPr="0032500E" w:rsidTr="00046B75">
        <w:trPr>
          <w:cantSplit/>
          <w:trHeight w:val="430"/>
          <w:tblHeader/>
        </w:trPr>
        <w:tc>
          <w:tcPr>
            <w:tcW w:w="907" w:type="pct"/>
            <w:tcBorders>
              <w:bottom w:val="single" w:sz="4" w:space="0" w:color="auto"/>
            </w:tcBorders>
            <w:vAlign w:val="center"/>
          </w:tcPr>
          <w:p w:rsidR="00683CF6" w:rsidRPr="0032500E" w:rsidRDefault="00683CF6" w:rsidP="00046B75">
            <w:pPr>
              <w:spacing w:before="40" w:after="40"/>
              <w:jc w:val="center"/>
              <w:rPr>
                <w:b/>
              </w:rPr>
            </w:pPr>
            <w:r w:rsidRPr="0032500E">
              <w:rPr>
                <w:b/>
              </w:rPr>
              <w:t>Receptors</w:t>
            </w:r>
          </w:p>
        </w:tc>
        <w:tc>
          <w:tcPr>
            <w:tcW w:w="834" w:type="pct"/>
            <w:tcBorders>
              <w:bottom w:val="single" w:sz="4" w:space="0" w:color="auto"/>
            </w:tcBorders>
            <w:vAlign w:val="center"/>
          </w:tcPr>
          <w:p w:rsidR="00683CF6" w:rsidRPr="0032500E" w:rsidRDefault="00683CF6" w:rsidP="00046B75">
            <w:pPr>
              <w:spacing w:before="40" w:after="40"/>
              <w:jc w:val="center"/>
              <w:rPr>
                <w:b/>
              </w:rPr>
            </w:pPr>
            <w:r w:rsidRPr="0032500E">
              <w:rPr>
                <w:b/>
              </w:rPr>
              <w:t>Potential Impacts</w:t>
            </w:r>
          </w:p>
        </w:tc>
        <w:tc>
          <w:tcPr>
            <w:tcW w:w="1060" w:type="pct"/>
            <w:tcBorders>
              <w:bottom w:val="single" w:sz="4" w:space="0" w:color="auto"/>
            </w:tcBorders>
            <w:vAlign w:val="center"/>
          </w:tcPr>
          <w:p w:rsidR="00683CF6" w:rsidRPr="0032500E" w:rsidRDefault="00683CF6" w:rsidP="00046B75">
            <w:pPr>
              <w:spacing w:before="40" w:after="40"/>
              <w:jc w:val="center"/>
              <w:rPr>
                <w:b/>
              </w:rPr>
            </w:pPr>
            <w:r w:rsidRPr="0032500E">
              <w:rPr>
                <w:b/>
              </w:rPr>
              <w:t>Control Strategies</w:t>
            </w:r>
          </w:p>
        </w:tc>
        <w:tc>
          <w:tcPr>
            <w:tcW w:w="834" w:type="pct"/>
            <w:tcBorders>
              <w:bottom w:val="single" w:sz="4" w:space="0" w:color="auto"/>
            </w:tcBorders>
            <w:vAlign w:val="center"/>
          </w:tcPr>
          <w:p w:rsidR="00683CF6" w:rsidRPr="0032500E" w:rsidRDefault="00683CF6" w:rsidP="00046B75">
            <w:pPr>
              <w:spacing w:before="40" w:after="40"/>
              <w:jc w:val="center"/>
              <w:rPr>
                <w:b/>
              </w:rPr>
            </w:pPr>
            <w:r w:rsidRPr="0032500E">
              <w:rPr>
                <w:b/>
              </w:rPr>
              <w:t>Outcomes</w:t>
            </w:r>
          </w:p>
        </w:tc>
        <w:tc>
          <w:tcPr>
            <w:tcW w:w="1364" w:type="pct"/>
            <w:tcBorders>
              <w:bottom w:val="single" w:sz="4" w:space="0" w:color="auto"/>
            </w:tcBorders>
            <w:vAlign w:val="center"/>
          </w:tcPr>
          <w:p w:rsidR="00683CF6" w:rsidRPr="0032500E" w:rsidRDefault="00683CF6" w:rsidP="00046B75">
            <w:pPr>
              <w:spacing w:before="40" w:after="40"/>
              <w:jc w:val="center"/>
              <w:rPr>
                <w:b/>
              </w:rPr>
            </w:pPr>
            <w:r w:rsidRPr="0032500E">
              <w:rPr>
                <w:b/>
              </w:rPr>
              <w:t>Outcome Measurement Criteria</w:t>
            </w:r>
          </w:p>
        </w:tc>
      </w:tr>
      <w:tr w:rsidR="00683CF6" w:rsidRPr="0032500E" w:rsidTr="00046B75">
        <w:trPr>
          <w:cantSplit/>
        </w:trPr>
        <w:tc>
          <w:tcPr>
            <w:tcW w:w="907" w:type="pct"/>
            <w:tcBorders>
              <w:top w:val="nil"/>
            </w:tcBorders>
          </w:tcPr>
          <w:p w:rsidR="00683CF6" w:rsidRPr="0032500E" w:rsidRDefault="00683CF6" w:rsidP="00046B75">
            <w:pPr>
              <w:spacing w:before="80"/>
              <w:jc w:val="left"/>
            </w:pPr>
            <w:r w:rsidRPr="0032500E">
              <w:rPr>
                <w:b/>
              </w:rPr>
              <w:t>Stakeholders</w:t>
            </w:r>
          </w:p>
          <w:p w:rsidR="00683CF6" w:rsidRPr="0032500E" w:rsidRDefault="00683CF6" w:rsidP="00683CF6">
            <w:pPr>
              <w:numPr>
                <w:ilvl w:val="0"/>
                <w:numId w:val="26"/>
              </w:numPr>
              <w:tabs>
                <w:tab w:val="clear" w:pos="360"/>
              </w:tabs>
              <w:ind w:left="171" w:hanging="171"/>
              <w:jc w:val="left"/>
            </w:pPr>
            <w:r w:rsidRPr="0032500E">
              <w:t>Freehold land owners</w:t>
            </w:r>
          </w:p>
          <w:p w:rsidR="00683CF6" w:rsidRPr="0032500E" w:rsidRDefault="00683CF6" w:rsidP="00683CF6">
            <w:pPr>
              <w:numPr>
                <w:ilvl w:val="0"/>
                <w:numId w:val="26"/>
              </w:numPr>
              <w:tabs>
                <w:tab w:val="clear" w:pos="360"/>
              </w:tabs>
              <w:ind w:left="171" w:hanging="171"/>
              <w:jc w:val="left"/>
            </w:pPr>
            <w:r w:rsidRPr="0032500E">
              <w:t>Perpetual Lease holders</w:t>
            </w:r>
          </w:p>
          <w:p w:rsidR="00683CF6" w:rsidRPr="0032500E" w:rsidRDefault="00683CF6" w:rsidP="00683CF6">
            <w:pPr>
              <w:numPr>
                <w:ilvl w:val="0"/>
                <w:numId w:val="26"/>
              </w:numPr>
              <w:tabs>
                <w:tab w:val="clear" w:pos="360"/>
              </w:tabs>
              <w:ind w:left="171" w:hanging="171"/>
              <w:jc w:val="left"/>
            </w:pPr>
            <w:r w:rsidRPr="0032500E">
              <w:t>Pastoral Lease holders</w:t>
            </w:r>
          </w:p>
          <w:p w:rsidR="00683CF6" w:rsidRPr="0032500E" w:rsidRDefault="00683CF6" w:rsidP="00683CF6">
            <w:pPr>
              <w:numPr>
                <w:ilvl w:val="0"/>
                <w:numId w:val="26"/>
              </w:numPr>
              <w:tabs>
                <w:tab w:val="clear" w:pos="360"/>
              </w:tabs>
              <w:ind w:left="171" w:hanging="171"/>
              <w:jc w:val="left"/>
            </w:pPr>
            <w:r w:rsidRPr="0032500E">
              <w:t>Aboriginal Land (Anangu Pitjantjatjara Lands (Maralinga Tjarutja Lands)</w:t>
            </w:r>
          </w:p>
          <w:p w:rsidR="00683CF6" w:rsidRPr="0032500E" w:rsidRDefault="00683CF6" w:rsidP="00683CF6">
            <w:pPr>
              <w:numPr>
                <w:ilvl w:val="0"/>
                <w:numId w:val="26"/>
              </w:numPr>
              <w:tabs>
                <w:tab w:val="clear" w:pos="360"/>
              </w:tabs>
              <w:ind w:left="171" w:hanging="171"/>
              <w:jc w:val="left"/>
            </w:pPr>
            <w:r w:rsidRPr="0032500E">
              <w:t>Department of Defence</w:t>
            </w:r>
          </w:p>
          <w:p w:rsidR="00683CF6" w:rsidRPr="0032500E" w:rsidRDefault="00683CF6" w:rsidP="00683CF6">
            <w:pPr>
              <w:numPr>
                <w:ilvl w:val="0"/>
                <w:numId w:val="26"/>
              </w:numPr>
              <w:tabs>
                <w:tab w:val="clear" w:pos="360"/>
              </w:tabs>
              <w:ind w:left="171" w:hanging="171"/>
              <w:jc w:val="left"/>
            </w:pPr>
            <w:r w:rsidRPr="0032500E">
              <w:t>State Government Departments</w:t>
            </w:r>
          </w:p>
          <w:p w:rsidR="00683CF6" w:rsidRPr="0032500E" w:rsidRDefault="00683CF6" w:rsidP="00683CF6">
            <w:pPr>
              <w:numPr>
                <w:ilvl w:val="0"/>
                <w:numId w:val="26"/>
              </w:numPr>
              <w:tabs>
                <w:tab w:val="clear" w:pos="360"/>
              </w:tabs>
              <w:ind w:left="171" w:hanging="171"/>
              <w:jc w:val="left"/>
            </w:pPr>
            <w:r w:rsidRPr="0032500E">
              <w:t>Local Government (councils)</w:t>
            </w:r>
          </w:p>
          <w:p w:rsidR="00683CF6" w:rsidRPr="0032500E" w:rsidRDefault="00683CF6" w:rsidP="00683CF6">
            <w:pPr>
              <w:numPr>
                <w:ilvl w:val="0"/>
                <w:numId w:val="26"/>
              </w:numPr>
              <w:tabs>
                <w:tab w:val="clear" w:pos="360"/>
              </w:tabs>
              <w:ind w:left="171" w:hanging="171"/>
              <w:jc w:val="left"/>
            </w:pPr>
            <w:r w:rsidRPr="0032500E">
              <w:t xml:space="preserve">Commonwealth Government </w:t>
            </w:r>
          </w:p>
          <w:p w:rsidR="00683CF6" w:rsidRPr="0032500E" w:rsidRDefault="00683CF6" w:rsidP="00683CF6">
            <w:pPr>
              <w:numPr>
                <w:ilvl w:val="0"/>
                <w:numId w:val="26"/>
              </w:numPr>
              <w:tabs>
                <w:tab w:val="clear" w:pos="360"/>
              </w:tabs>
              <w:ind w:left="171" w:hanging="171"/>
              <w:jc w:val="left"/>
            </w:pPr>
            <w:r w:rsidRPr="0032500E">
              <w:t>Native Title Parties</w:t>
            </w:r>
          </w:p>
          <w:p w:rsidR="00683CF6" w:rsidRPr="0032500E" w:rsidRDefault="00683CF6" w:rsidP="00683CF6">
            <w:pPr>
              <w:numPr>
                <w:ilvl w:val="0"/>
                <w:numId w:val="26"/>
              </w:numPr>
              <w:tabs>
                <w:tab w:val="clear" w:pos="360"/>
              </w:tabs>
              <w:ind w:left="171" w:hanging="171"/>
              <w:jc w:val="left"/>
            </w:pPr>
            <w:r w:rsidRPr="0032500E">
              <w:t>Traditional Owners</w:t>
            </w:r>
          </w:p>
        </w:tc>
        <w:tc>
          <w:tcPr>
            <w:tcW w:w="834" w:type="pct"/>
            <w:tcBorders>
              <w:top w:val="nil"/>
            </w:tcBorders>
          </w:tcPr>
          <w:p w:rsidR="00683CF6" w:rsidRPr="0032500E" w:rsidRDefault="00683CF6" w:rsidP="00046B75">
            <w:pPr>
              <w:spacing w:before="80"/>
              <w:jc w:val="left"/>
              <w:rPr>
                <w:iCs/>
              </w:rPr>
            </w:pPr>
            <w:bookmarkStart w:id="132" w:name="OLE_LINK1"/>
            <w:bookmarkStart w:id="133" w:name="OLE_LINK2"/>
            <w:r>
              <w:rPr>
                <w:iCs/>
              </w:rPr>
              <w:t>Interference to:</w:t>
            </w:r>
          </w:p>
          <w:p w:rsidR="00683CF6" w:rsidRPr="0032500E" w:rsidRDefault="00683CF6" w:rsidP="00683CF6">
            <w:pPr>
              <w:numPr>
                <w:ilvl w:val="0"/>
                <w:numId w:val="26"/>
              </w:numPr>
              <w:tabs>
                <w:tab w:val="clear" w:pos="360"/>
              </w:tabs>
              <w:ind w:left="171" w:hanging="171"/>
              <w:jc w:val="left"/>
            </w:pPr>
            <w:r w:rsidRPr="0032500E">
              <w:rPr>
                <w:iCs/>
              </w:rPr>
              <w:t>Ex</w:t>
            </w:r>
            <w:r>
              <w:rPr>
                <w:iCs/>
              </w:rPr>
              <w:t>isting or permissible land use,</w:t>
            </w:r>
          </w:p>
          <w:p w:rsidR="00683CF6" w:rsidRPr="0032500E" w:rsidRDefault="00683CF6" w:rsidP="00683CF6">
            <w:pPr>
              <w:numPr>
                <w:ilvl w:val="0"/>
                <w:numId w:val="26"/>
              </w:numPr>
              <w:tabs>
                <w:tab w:val="clear" w:pos="360"/>
              </w:tabs>
              <w:ind w:left="171" w:hanging="171"/>
              <w:jc w:val="left"/>
            </w:pPr>
            <w:r w:rsidRPr="0032500E">
              <w:rPr>
                <w:iCs/>
              </w:rPr>
              <w:t>Buildings, structures or other infrastructure</w:t>
            </w:r>
          </w:p>
          <w:p w:rsidR="00683CF6" w:rsidRPr="0032500E" w:rsidRDefault="00683CF6" w:rsidP="00683CF6">
            <w:pPr>
              <w:numPr>
                <w:ilvl w:val="0"/>
                <w:numId w:val="26"/>
              </w:numPr>
              <w:tabs>
                <w:tab w:val="clear" w:pos="360"/>
              </w:tabs>
              <w:ind w:left="171" w:hanging="171"/>
              <w:jc w:val="left"/>
            </w:pPr>
            <w:r w:rsidRPr="0032500E">
              <w:rPr>
                <w:iCs/>
              </w:rPr>
              <w:t>Aesthetic values of an area.</w:t>
            </w:r>
            <w:bookmarkEnd w:id="132"/>
            <w:bookmarkEnd w:id="133"/>
          </w:p>
          <w:p w:rsidR="00683CF6" w:rsidRPr="0032500E" w:rsidRDefault="00683CF6" w:rsidP="00046B75">
            <w:pPr>
              <w:jc w:val="left"/>
            </w:pPr>
            <w:r w:rsidRPr="0032500E">
              <w:t>Non-compliance with legislative requirements</w:t>
            </w:r>
          </w:p>
        </w:tc>
        <w:tc>
          <w:tcPr>
            <w:tcW w:w="1060" w:type="pct"/>
            <w:tcBorders>
              <w:top w:val="nil"/>
            </w:tcBorders>
          </w:tcPr>
          <w:p w:rsidR="00683CF6" w:rsidRPr="0032500E" w:rsidRDefault="00683CF6" w:rsidP="00046B75">
            <w:pPr>
              <w:spacing w:before="80"/>
              <w:jc w:val="left"/>
            </w:pPr>
            <w:r w:rsidRPr="00850ED1">
              <w:rPr>
                <w:iCs/>
              </w:rPr>
              <w:t>Develop</w:t>
            </w:r>
            <w:r w:rsidRPr="0032500E">
              <w:t xml:space="preserve"> early exploration engagement plan to guide consultation with landowners in accordance with DEM guidelines, to facilitate clear and open discussions regarding access requirements.</w:t>
            </w:r>
          </w:p>
          <w:p w:rsidR="00683CF6" w:rsidRPr="0032500E" w:rsidRDefault="00683CF6" w:rsidP="00046B75">
            <w:pPr>
              <w:jc w:val="left"/>
            </w:pPr>
            <w:r w:rsidRPr="0032500E">
              <w:t>Serving all required Statutory Forms under the Mining Act (including Part 9B of the Mining Act where required).</w:t>
            </w:r>
          </w:p>
          <w:p w:rsidR="00683CF6" w:rsidRPr="0032500E" w:rsidRDefault="00683CF6" w:rsidP="00046B75">
            <w:pPr>
              <w:jc w:val="left"/>
            </w:pPr>
            <w:r w:rsidRPr="0032500E">
              <w:t>Negotiate agreements, where required, with relevant landowners in accordance with section 9AA of the Mining Act.</w:t>
            </w:r>
          </w:p>
          <w:p w:rsidR="00683CF6" w:rsidRPr="0032500E" w:rsidRDefault="00683CF6" w:rsidP="00046B75">
            <w:pPr>
              <w:jc w:val="left"/>
            </w:pPr>
            <w:r w:rsidRPr="0032500E">
              <w:t>Negotiate formal access agreements (e.g. deed of access for Aboriginal land and Woomera Prohibited Area deed of access), where required, in accordance with EL Conditions.</w:t>
            </w:r>
          </w:p>
          <w:p w:rsidR="00683CF6" w:rsidRPr="0032500E" w:rsidRDefault="00683CF6" w:rsidP="00046B75">
            <w:pPr>
              <w:jc w:val="left"/>
            </w:pPr>
            <w:r w:rsidRPr="0032500E">
              <w:t>Obtain approval/authorisation from the relevant Council for work on public road verges.</w:t>
            </w:r>
          </w:p>
          <w:p w:rsidR="00683CF6" w:rsidRPr="0032500E" w:rsidRDefault="00683CF6" w:rsidP="00046B75">
            <w:pPr>
              <w:jc w:val="left"/>
            </w:pPr>
            <w:r w:rsidRPr="0032500E">
              <w:t>Have an awareness of all other relevant legislation and abide by their requirements.</w:t>
            </w:r>
          </w:p>
        </w:tc>
        <w:tc>
          <w:tcPr>
            <w:tcW w:w="834" w:type="pct"/>
            <w:tcBorders>
              <w:top w:val="nil"/>
            </w:tcBorders>
          </w:tcPr>
          <w:p w:rsidR="00683CF6" w:rsidRPr="0032500E" w:rsidRDefault="00683CF6" w:rsidP="00046B75">
            <w:pPr>
              <w:spacing w:before="80"/>
              <w:jc w:val="left"/>
            </w:pPr>
            <w:r w:rsidRPr="0032500E">
              <w:t xml:space="preserve">All </w:t>
            </w:r>
            <w:r w:rsidRPr="00850ED1">
              <w:rPr>
                <w:iCs/>
              </w:rPr>
              <w:t>Statutory</w:t>
            </w:r>
            <w:r w:rsidRPr="0032500E">
              <w:t xml:space="preserve"> Forms served and agreements obtained in accordance with the Mining Act.</w:t>
            </w:r>
          </w:p>
          <w:p w:rsidR="00683CF6" w:rsidRPr="0032500E" w:rsidRDefault="00683CF6" w:rsidP="00046B75">
            <w:pPr>
              <w:jc w:val="left"/>
            </w:pPr>
            <w:r w:rsidRPr="0032500E">
              <w:t>All other relevant legislative requirements are met.</w:t>
            </w:r>
          </w:p>
        </w:tc>
        <w:tc>
          <w:tcPr>
            <w:tcW w:w="1364" w:type="pct"/>
            <w:tcBorders>
              <w:top w:val="nil"/>
            </w:tcBorders>
          </w:tcPr>
          <w:p w:rsidR="00683CF6" w:rsidRPr="0032500E" w:rsidRDefault="00683CF6" w:rsidP="00046B75">
            <w:pPr>
              <w:spacing w:before="80"/>
              <w:jc w:val="left"/>
            </w:pPr>
            <w:r w:rsidRPr="0032500E">
              <w:t xml:space="preserve">No </w:t>
            </w:r>
            <w:r w:rsidRPr="00850ED1">
              <w:rPr>
                <w:iCs/>
              </w:rPr>
              <w:t>reasonable</w:t>
            </w:r>
            <w:r w:rsidRPr="0032500E">
              <w:t xml:space="preserve"> complaints recei</w:t>
            </w:r>
            <w:r>
              <w:t>ved from affected stakeholders.</w:t>
            </w:r>
          </w:p>
          <w:p w:rsidR="00683CF6" w:rsidRPr="0032500E" w:rsidRDefault="00683CF6" w:rsidP="00046B75">
            <w:pPr>
              <w:jc w:val="left"/>
              <w:rPr>
                <w:i/>
              </w:rPr>
            </w:pPr>
            <w:r w:rsidRPr="0032500E">
              <w:rPr>
                <w:i/>
              </w:rPr>
              <w:t>*Keep records of all complaints received and results of internal investigations to demonstrate compliance with the outcome.</w:t>
            </w:r>
          </w:p>
          <w:p w:rsidR="00683CF6" w:rsidRPr="0032500E" w:rsidRDefault="00683CF6" w:rsidP="00046B75">
            <w:pPr>
              <w:jc w:val="left"/>
            </w:pPr>
            <w:r w:rsidRPr="0032500E">
              <w:t>Provide evidence that statutory forms were served and agreements obtained in accordance with the Mining Act and licence/lease conditions, wit</w:t>
            </w:r>
            <w:r>
              <w:t>h all appropriate stakeholders.</w:t>
            </w:r>
          </w:p>
          <w:p w:rsidR="00683CF6" w:rsidRPr="0032500E" w:rsidRDefault="00683CF6" w:rsidP="00046B75">
            <w:pPr>
              <w:jc w:val="left"/>
            </w:pPr>
            <w:r w:rsidRPr="0032500E">
              <w:rPr>
                <w:i/>
              </w:rPr>
              <w:t>*Keep copies of all statutory forms and agreements from previous and current programs to demonstrate compliance with the outcome.</w:t>
            </w:r>
          </w:p>
          <w:p w:rsidR="00683CF6" w:rsidRPr="0032500E" w:rsidRDefault="00683CF6" w:rsidP="00046B75">
            <w:pPr>
              <w:jc w:val="left"/>
            </w:pPr>
            <w:r w:rsidRPr="0032500E">
              <w:t>Maintain an up to date exploration engagement plan (or equivalent documents) and keep records demonstrating the results of consultation, including:</w:t>
            </w:r>
          </w:p>
          <w:p w:rsidR="00683CF6" w:rsidRPr="0032500E" w:rsidRDefault="00683CF6" w:rsidP="00683CF6">
            <w:pPr>
              <w:numPr>
                <w:ilvl w:val="0"/>
                <w:numId w:val="26"/>
              </w:numPr>
              <w:tabs>
                <w:tab w:val="clear" w:pos="360"/>
              </w:tabs>
              <w:ind w:left="171" w:hanging="171"/>
              <w:jc w:val="left"/>
            </w:pPr>
            <w:r w:rsidRPr="0032500E">
              <w:t>a list of the persons consulted;</w:t>
            </w:r>
          </w:p>
          <w:p w:rsidR="00683CF6" w:rsidRPr="0032500E" w:rsidRDefault="00683CF6" w:rsidP="00683CF6">
            <w:pPr>
              <w:numPr>
                <w:ilvl w:val="0"/>
                <w:numId w:val="26"/>
              </w:numPr>
              <w:tabs>
                <w:tab w:val="clear" w:pos="360"/>
              </w:tabs>
              <w:ind w:left="171" w:hanging="171"/>
              <w:jc w:val="left"/>
            </w:pPr>
            <w:r w:rsidRPr="0032500E">
              <w:t>any issues of concerns raised by the persons consulted;</w:t>
            </w:r>
          </w:p>
          <w:p w:rsidR="00683CF6" w:rsidRPr="00D41D27" w:rsidRDefault="00683CF6" w:rsidP="00683CF6">
            <w:pPr>
              <w:numPr>
                <w:ilvl w:val="0"/>
                <w:numId w:val="26"/>
              </w:numPr>
              <w:tabs>
                <w:tab w:val="clear" w:pos="360"/>
              </w:tabs>
              <w:ind w:left="171" w:hanging="171"/>
              <w:jc w:val="left"/>
            </w:pPr>
            <w:r w:rsidRPr="0032500E">
              <w:t>the steps (if any) taken or proposed to be taken to address those concerns.</w:t>
            </w:r>
          </w:p>
        </w:tc>
      </w:tr>
      <w:tr w:rsidR="00683CF6" w:rsidRPr="0032500E" w:rsidTr="00046B75">
        <w:trPr>
          <w:cantSplit/>
        </w:trPr>
        <w:tc>
          <w:tcPr>
            <w:tcW w:w="907" w:type="pct"/>
          </w:tcPr>
          <w:p w:rsidR="00683CF6" w:rsidRPr="0032500E" w:rsidRDefault="00683CF6" w:rsidP="00046B75">
            <w:pPr>
              <w:spacing w:before="80"/>
              <w:jc w:val="left"/>
              <w:rPr>
                <w:b/>
              </w:rPr>
            </w:pPr>
            <w:r w:rsidRPr="0032500E">
              <w:rPr>
                <w:b/>
              </w:rPr>
              <w:t>Flora &amp; fauna</w:t>
            </w:r>
          </w:p>
        </w:tc>
        <w:tc>
          <w:tcPr>
            <w:tcW w:w="834" w:type="pct"/>
          </w:tcPr>
          <w:p w:rsidR="00683CF6" w:rsidRPr="0032500E" w:rsidRDefault="00683CF6" w:rsidP="00046B75">
            <w:pPr>
              <w:spacing w:before="80"/>
              <w:jc w:val="left"/>
            </w:pPr>
            <w:r w:rsidRPr="0032500E">
              <w:t>Loss/modification of native vegetation and associated habitats.</w:t>
            </w:r>
          </w:p>
        </w:tc>
        <w:tc>
          <w:tcPr>
            <w:tcW w:w="1060" w:type="pct"/>
          </w:tcPr>
          <w:p w:rsidR="00683CF6" w:rsidRPr="0032500E" w:rsidRDefault="00683CF6" w:rsidP="00046B75">
            <w:pPr>
              <w:spacing w:before="80"/>
              <w:jc w:val="left"/>
            </w:pPr>
            <w:r w:rsidRPr="0032500E">
              <w:t>Appropriate fire control strategies implemented.</w:t>
            </w:r>
          </w:p>
          <w:p w:rsidR="00683CF6" w:rsidRPr="0032500E" w:rsidRDefault="00683CF6" w:rsidP="00046B75">
            <w:pPr>
              <w:jc w:val="left"/>
            </w:pPr>
            <w:r w:rsidRPr="0032500E">
              <w:t>Vehicles must be thoroughly cleaned prior to entry off existing tracks into exploration areas to prevent the spread of weeds and soil/plant diseases.</w:t>
            </w:r>
          </w:p>
          <w:p w:rsidR="00683CF6" w:rsidRPr="0032500E" w:rsidRDefault="00683CF6" w:rsidP="00046B75">
            <w:pPr>
              <w:jc w:val="left"/>
            </w:pPr>
            <w:r w:rsidRPr="0032500E">
              <w:t>Exploration sites chosen to minimise impacts to native vegetation (e.g. camp sites located in naturally cleared or previously disturbed areas).</w:t>
            </w:r>
          </w:p>
          <w:p w:rsidR="00683CF6" w:rsidRPr="0032500E" w:rsidRDefault="00683CF6" w:rsidP="00046B75">
            <w:pPr>
              <w:jc w:val="left"/>
            </w:pPr>
            <w:r w:rsidRPr="0032500E">
              <w:t>Existing tracks used where possible.</w:t>
            </w:r>
          </w:p>
          <w:p w:rsidR="00683CF6" w:rsidRPr="0032500E" w:rsidRDefault="00683CF6" w:rsidP="00046B75">
            <w:pPr>
              <w:jc w:val="left"/>
            </w:pPr>
            <w:r w:rsidRPr="0032500E">
              <w:t>Prevent third party access by disguising entry and exit points off existing tracks.</w:t>
            </w:r>
          </w:p>
          <w:p w:rsidR="00683CF6" w:rsidRPr="0032500E" w:rsidRDefault="00683CF6" w:rsidP="00046B75">
            <w:pPr>
              <w:jc w:val="left"/>
            </w:pPr>
            <w:r w:rsidRPr="0032500E">
              <w:t>All rubbish (including food scraps) removed from exploration sites, reducing the likelihood of attracting feral predators to the area.</w:t>
            </w:r>
          </w:p>
          <w:p w:rsidR="00683CF6" w:rsidRPr="0032500E" w:rsidRDefault="00683CF6" w:rsidP="00046B75">
            <w:pPr>
              <w:jc w:val="left"/>
            </w:pPr>
            <w:r w:rsidRPr="0032500E">
              <w:t>Low impact exploration activities conducted in accordance with DEM’s M33 guideline.</w:t>
            </w:r>
          </w:p>
        </w:tc>
        <w:tc>
          <w:tcPr>
            <w:tcW w:w="834" w:type="pct"/>
          </w:tcPr>
          <w:p w:rsidR="00683CF6" w:rsidRPr="0032500E" w:rsidRDefault="00683CF6" w:rsidP="00046B75">
            <w:pPr>
              <w:spacing w:before="80"/>
              <w:jc w:val="left"/>
            </w:pPr>
            <w:r w:rsidRPr="0032500E">
              <w:t>No permanent loss/degradation of native habitats as a result of exploration activities.</w:t>
            </w:r>
          </w:p>
        </w:tc>
        <w:tc>
          <w:tcPr>
            <w:tcW w:w="1364" w:type="pct"/>
          </w:tcPr>
          <w:p w:rsidR="00683CF6" w:rsidRPr="0032500E" w:rsidRDefault="00683CF6" w:rsidP="00046B75">
            <w:pPr>
              <w:spacing w:before="80"/>
              <w:jc w:val="left"/>
            </w:pPr>
            <w:r w:rsidRPr="0032500E">
              <w:t>All entry/exit points off existing tracks are disguised/rehabilitated within 6 month</w:t>
            </w:r>
            <w:r>
              <w:t>s of completion of the program.</w:t>
            </w:r>
          </w:p>
          <w:p w:rsidR="00683CF6" w:rsidRPr="0032500E" w:rsidRDefault="00683CF6" w:rsidP="00046B75">
            <w:pPr>
              <w:jc w:val="left"/>
              <w:rPr>
                <w:i/>
              </w:rPr>
            </w:pPr>
            <w:r w:rsidRPr="0032500E">
              <w:rPr>
                <w:i/>
              </w:rPr>
              <w:t>*Take before and after photos of exit and entry points to demonstrate compliance with the outcome.</w:t>
            </w:r>
          </w:p>
          <w:p w:rsidR="00683CF6" w:rsidRPr="0032500E" w:rsidRDefault="00683CF6" w:rsidP="00046B75">
            <w:pPr>
              <w:jc w:val="left"/>
            </w:pPr>
            <w:r w:rsidRPr="0032500E">
              <w:t>No uncontrolled fires as a result of exploration activities. Uncontrolled = no fires that escape outsid</w:t>
            </w:r>
            <w:r>
              <w:t>e of the exploration work area.</w:t>
            </w:r>
          </w:p>
          <w:p w:rsidR="00683CF6" w:rsidRPr="0032500E" w:rsidRDefault="00683CF6" w:rsidP="00046B75">
            <w:pPr>
              <w:jc w:val="left"/>
              <w:rPr>
                <w:i/>
              </w:rPr>
            </w:pPr>
            <w:r w:rsidRPr="0032500E">
              <w:rPr>
                <w:i/>
              </w:rPr>
              <w:t>*Keep records of all fires and take photographs after the incident to demonstrate compliance with outcome.</w:t>
            </w:r>
          </w:p>
          <w:p w:rsidR="00683CF6" w:rsidRPr="0032500E" w:rsidRDefault="00683CF6" w:rsidP="00046B75">
            <w:pPr>
              <w:jc w:val="left"/>
            </w:pPr>
            <w:r w:rsidRPr="0032500E">
              <w:t>Demonstrate that all vehicles were clean and free of weeds/seeds prior to e</w:t>
            </w:r>
            <w:r>
              <w:t>ntry into the exploration area.</w:t>
            </w:r>
          </w:p>
          <w:p w:rsidR="00683CF6" w:rsidRPr="0032500E" w:rsidRDefault="00683CF6" w:rsidP="00046B75">
            <w:pPr>
              <w:jc w:val="left"/>
            </w:pPr>
            <w:r w:rsidRPr="0032500E">
              <w:rPr>
                <w:i/>
                <w:iCs/>
              </w:rPr>
              <w:t>*Keep records indicating that vehicles were cleaned prior to entry (e</w:t>
            </w:r>
            <w:r>
              <w:rPr>
                <w:i/>
                <w:iCs/>
              </w:rPr>
              <w:t>.</w:t>
            </w:r>
            <w:r w:rsidRPr="0032500E">
              <w:rPr>
                <w:i/>
                <w:iCs/>
              </w:rPr>
              <w:t>g</w:t>
            </w:r>
            <w:r>
              <w:rPr>
                <w:i/>
                <w:iCs/>
              </w:rPr>
              <w:t>.</w:t>
            </w:r>
            <w:r w:rsidRPr="0032500E">
              <w:rPr>
                <w:i/>
                <w:iCs/>
              </w:rPr>
              <w:t xml:space="preserve"> log sheets to demonstrate compliance with the outcome).</w:t>
            </w:r>
          </w:p>
        </w:tc>
      </w:tr>
      <w:tr w:rsidR="00683CF6" w:rsidRPr="0032500E" w:rsidTr="00046B75">
        <w:trPr>
          <w:cantSplit/>
        </w:trPr>
        <w:tc>
          <w:tcPr>
            <w:tcW w:w="907" w:type="pct"/>
          </w:tcPr>
          <w:p w:rsidR="00683CF6" w:rsidRPr="0032500E" w:rsidRDefault="00683CF6" w:rsidP="00046B75">
            <w:pPr>
              <w:spacing w:before="80"/>
              <w:jc w:val="left"/>
              <w:rPr>
                <w:b/>
              </w:rPr>
            </w:pPr>
            <w:r w:rsidRPr="0032500E">
              <w:rPr>
                <w:b/>
              </w:rPr>
              <w:t>Farming Land/Landowners</w:t>
            </w:r>
          </w:p>
        </w:tc>
        <w:tc>
          <w:tcPr>
            <w:tcW w:w="834" w:type="pct"/>
          </w:tcPr>
          <w:p w:rsidR="00683CF6" w:rsidRPr="0032500E" w:rsidRDefault="00683CF6" w:rsidP="00046B75">
            <w:pPr>
              <w:spacing w:before="80"/>
              <w:jc w:val="left"/>
            </w:pPr>
            <w:r w:rsidRPr="0032500E">
              <w:t>Loss or damage to crops.</w:t>
            </w:r>
          </w:p>
        </w:tc>
        <w:tc>
          <w:tcPr>
            <w:tcW w:w="1060" w:type="pct"/>
          </w:tcPr>
          <w:p w:rsidR="00683CF6" w:rsidRPr="0032500E" w:rsidRDefault="00683CF6" w:rsidP="00046B75">
            <w:pPr>
              <w:spacing w:before="80"/>
              <w:jc w:val="left"/>
            </w:pPr>
            <w:r w:rsidRPr="0032500E">
              <w:t>Use existing tracks where possible.</w:t>
            </w:r>
          </w:p>
          <w:p w:rsidR="00683CF6" w:rsidRPr="0032500E" w:rsidRDefault="00683CF6" w:rsidP="00046B75">
            <w:pPr>
              <w:jc w:val="left"/>
            </w:pPr>
            <w:r w:rsidRPr="0032500E">
              <w:t>Appropriate fire control strategies implemented.</w:t>
            </w:r>
          </w:p>
          <w:p w:rsidR="00683CF6" w:rsidRPr="0032500E" w:rsidRDefault="00683CF6" w:rsidP="00046B75">
            <w:pPr>
              <w:jc w:val="left"/>
            </w:pPr>
            <w:r w:rsidRPr="0032500E">
              <w:t>Vehicles cleaned to prevent the spread of weeds and plant diseases prior to entering and exiting properties.</w:t>
            </w:r>
          </w:p>
          <w:p w:rsidR="00683CF6" w:rsidRPr="0032500E" w:rsidRDefault="00683CF6" w:rsidP="00046B75">
            <w:pPr>
              <w:jc w:val="left"/>
            </w:pPr>
            <w:r>
              <w:t>Consultation/l</w:t>
            </w:r>
            <w:r w:rsidRPr="0032500E">
              <w:t>iaison with landowners in accordance with DEM guidelines, including clear and open discussions with regarding access requirements.</w:t>
            </w:r>
          </w:p>
          <w:p w:rsidR="00683CF6" w:rsidRPr="0032500E" w:rsidRDefault="00683CF6" w:rsidP="00046B75">
            <w:pPr>
              <w:jc w:val="left"/>
            </w:pPr>
            <w:r w:rsidRPr="0032500E">
              <w:t>Adhere to agreement with Landho</w:t>
            </w:r>
            <w:r>
              <w:t>lder in accordance with section </w:t>
            </w:r>
            <w:r w:rsidRPr="0032500E">
              <w:t>9AA of the Mining Act.</w:t>
            </w:r>
          </w:p>
        </w:tc>
        <w:tc>
          <w:tcPr>
            <w:tcW w:w="834" w:type="pct"/>
          </w:tcPr>
          <w:p w:rsidR="00683CF6" w:rsidRPr="0032500E" w:rsidRDefault="00683CF6" w:rsidP="00046B75">
            <w:pPr>
              <w:spacing w:before="80"/>
              <w:jc w:val="left"/>
            </w:pPr>
            <w:r w:rsidRPr="0032500E">
              <w:t>No unauthorised interference with land use activities.</w:t>
            </w:r>
          </w:p>
        </w:tc>
        <w:tc>
          <w:tcPr>
            <w:tcW w:w="1364" w:type="pct"/>
          </w:tcPr>
          <w:p w:rsidR="00683CF6" w:rsidRPr="0032500E" w:rsidRDefault="00683CF6" w:rsidP="00046B75">
            <w:pPr>
              <w:spacing w:before="80"/>
              <w:jc w:val="left"/>
            </w:pPr>
            <w:r w:rsidRPr="0032500E">
              <w:t>No reasonable complaints rec</w:t>
            </w:r>
            <w:r>
              <w:t>eived from affected landowners.</w:t>
            </w:r>
          </w:p>
          <w:p w:rsidR="00683CF6" w:rsidRPr="000A10C8" w:rsidRDefault="00683CF6" w:rsidP="00046B75">
            <w:pPr>
              <w:jc w:val="left"/>
              <w:rPr>
                <w:i/>
              </w:rPr>
            </w:pPr>
            <w:r w:rsidRPr="0032500E">
              <w:rPr>
                <w:i/>
              </w:rPr>
              <w:t>*Keep records of all complaints received and results of internal investigations to demonstrate compliance with the outcome.</w:t>
            </w:r>
          </w:p>
        </w:tc>
      </w:tr>
      <w:tr w:rsidR="00683CF6" w:rsidRPr="0032500E" w:rsidTr="00046B75">
        <w:trPr>
          <w:cantSplit/>
        </w:trPr>
        <w:tc>
          <w:tcPr>
            <w:tcW w:w="907" w:type="pct"/>
          </w:tcPr>
          <w:p w:rsidR="00683CF6" w:rsidRPr="0032500E" w:rsidRDefault="00683CF6" w:rsidP="00046B75">
            <w:pPr>
              <w:spacing w:before="80"/>
              <w:jc w:val="left"/>
              <w:rPr>
                <w:b/>
              </w:rPr>
            </w:pPr>
            <w:r w:rsidRPr="0032500E">
              <w:rPr>
                <w:b/>
              </w:rPr>
              <w:t>Farming Land/Landowners</w:t>
            </w:r>
          </w:p>
        </w:tc>
        <w:tc>
          <w:tcPr>
            <w:tcW w:w="834" w:type="pct"/>
          </w:tcPr>
          <w:p w:rsidR="00683CF6" w:rsidRPr="0032500E" w:rsidRDefault="00683CF6" w:rsidP="00046B75">
            <w:pPr>
              <w:spacing w:before="80"/>
              <w:jc w:val="left"/>
            </w:pPr>
            <w:r w:rsidRPr="0032500E">
              <w:t>Loss of livestock.</w:t>
            </w:r>
          </w:p>
        </w:tc>
        <w:tc>
          <w:tcPr>
            <w:tcW w:w="1060" w:type="pct"/>
          </w:tcPr>
          <w:p w:rsidR="00683CF6" w:rsidRPr="0032500E" w:rsidRDefault="00683CF6" w:rsidP="00046B75">
            <w:pPr>
              <w:spacing w:before="80"/>
              <w:jc w:val="left"/>
            </w:pPr>
            <w:r w:rsidRPr="0032500E">
              <w:t>No pets on site.</w:t>
            </w:r>
          </w:p>
          <w:p w:rsidR="00683CF6" w:rsidRPr="0032500E" w:rsidRDefault="00683CF6" w:rsidP="00046B75">
            <w:pPr>
              <w:jc w:val="left"/>
            </w:pPr>
            <w:r w:rsidRPr="0032500E">
              <w:t>Appropriate speed limits adhered to.</w:t>
            </w:r>
          </w:p>
          <w:p w:rsidR="00683CF6" w:rsidRPr="0032500E" w:rsidRDefault="00683CF6" w:rsidP="00046B75">
            <w:pPr>
              <w:jc w:val="left"/>
            </w:pPr>
            <w:r>
              <w:t>Consultation/</w:t>
            </w:r>
            <w:r w:rsidRPr="0032500E">
              <w:t>liaison with landowners in accordance with DEM guidelines, including clear and open discussions regarding access requirements.</w:t>
            </w:r>
          </w:p>
        </w:tc>
        <w:tc>
          <w:tcPr>
            <w:tcW w:w="834" w:type="pct"/>
          </w:tcPr>
          <w:p w:rsidR="00683CF6" w:rsidRPr="0032500E" w:rsidRDefault="00683CF6" w:rsidP="00046B75">
            <w:pPr>
              <w:spacing w:before="80"/>
              <w:jc w:val="left"/>
            </w:pPr>
            <w:r w:rsidRPr="0032500E">
              <w:t>No unauthorised interference with land use acti</w:t>
            </w:r>
            <w:r>
              <w:t>vities.</w:t>
            </w:r>
          </w:p>
        </w:tc>
        <w:tc>
          <w:tcPr>
            <w:tcW w:w="1364" w:type="pct"/>
          </w:tcPr>
          <w:p w:rsidR="00683CF6" w:rsidRPr="0032500E" w:rsidRDefault="00683CF6" w:rsidP="00046B75">
            <w:pPr>
              <w:spacing w:before="80"/>
              <w:jc w:val="left"/>
            </w:pPr>
            <w:r w:rsidRPr="0032500E">
              <w:t>No reasonable complaints received from affected landowners.</w:t>
            </w:r>
          </w:p>
          <w:p w:rsidR="00683CF6" w:rsidRPr="00D41D27" w:rsidRDefault="00683CF6" w:rsidP="00046B75">
            <w:pPr>
              <w:jc w:val="left"/>
              <w:rPr>
                <w:i/>
              </w:rPr>
            </w:pPr>
            <w:r w:rsidRPr="0032500E">
              <w:rPr>
                <w:i/>
              </w:rPr>
              <w:t>*Keep records of all complaints received and results of internal investigations to demonstrate compliance with the outcome.</w:t>
            </w:r>
          </w:p>
        </w:tc>
      </w:tr>
      <w:tr w:rsidR="00683CF6" w:rsidRPr="0032500E" w:rsidTr="00046B75">
        <w:trPr>
          <w:cantSplit/>
        </w:trPr>
        <w:tc>
          <w:tcPr>
            <w:tcW w:w="907" w:type="pct"/>
          </w:tcPr>
          <w:p w:rsidR="00683CF6" w:rsidRPr="0032500E" w:rsidRDefault="00683CF6" w:rsidP="00046B75">
            <w:pPr>
              <w:spacing w:before="80"/>
              <w:jc w:val="left"/>
              <w:rPr>
                <w:b/>
              </w:rPr>
            </w:pPr>
            <w:r w:rsidRPr="0032500E">
              <w:rPr>
                <w:b/>
              </w:rPr>
              <w:t>Soil and water courses</w:t>
            </w:r>
          </w:p>
        </w:tc>
        <w:tc>
          <w:tcPr>
            <w:tcW w:w="834" w:type="pct"/>
          </w:tcPr>
          <w:p w:rsidR="00683CF6" w:rsidRPr="0032500E" w:rsidRDefault="00683CF6" w:rsidP="00046B75">
            <w:pPr>
              <w:spacing w:before="80"/>
              <w:jc w:val="left"/>
            </w:pPr>
            <w:r w:rsidRPr="0032500E">
              <w:t>Erosion.</w:t>
            </w:r>
          </w:p>
        </w:tc>
        <w:tc>
          <w:tcPr>
            <w:tcW w:w="1060" w:type="pct"/>
          </w:tcPr>
          <w:p w:rsidR="00683CF6" w:rsidRPr="0032500E" w:rsidRDefault="00683CF6" w:rsidP="00046B75">
            <w:pPr>
              <w:spacing w:before="80"/>
              <w:jc w:val="left"/>
            </w:pPr>
            <w:r w:rsidRPr="0032500E">
              <w:t>Use existing tracks where possible.</w:t>
            </w:r>
          </w:p>
          <w:p w:rsidR="00683CF6" w:rsidRPr="0032500E" w:rsidRDefault="00683CF6" w:rsidP="00046B75">
            <w:pPr>
              <w:jc w:val="left"/>
            </w:pPr>
            <w:r w:rsidRPr="0032500E">
              <w:t>Appropriate speed limits adhered to.</w:t>
            </w:r>
          </w:p>
          <w:p w:rsidR="00683CF6" w:rsidRPr="0032500E" w:rsidRDefault="00683CF6" w:rsidP="00046B75">
            <w:pPr>
              <w:jc w:val="left"/>
            </w:pPr>
            <w:r w:rsidRPr="0032500E">
              <w:t>Reduce/stop movements during wet weather.</w:t>
            </w:r>
          </w:p>
          <w:p w:rsidR="00683CF6" w:rsidRPr="0032500E" w:rsidRDefault="00683CF6" w:rsidP="00046B75">
            <w:pPr>
              <w:jc w:val="left"/>
            </w:pPr>
            <w:r w:rsidRPr="0032500E">
              <w:t>Select appropriate vehicle for activity requirements.</w:t>
            </w:r>
          </w:p>
          <w:p w:rsidR="00683CF6" w:rsidRPr="0032500E" w:rsidRDefault="00683CF6" w:rsidP="00046B75">
            <w:pPr>
              <w:jc w:val="left"/>
            </w:pPr>
            <w:r w:rsidRPr="0032500E">
              <w:t>Avoid creek crossing where possible.</w:t>
            </w:r>
          </w:p>
          <w:p w:rsidR="00683CF6" w:rsidRPr="0032500E" w:rsidRDefault="00683CF6" w:rsidP="00046B75">
            <w:pPr>
              <w:jc w:val="left"/>
            </w:pPr>
            <w:r w:rsidRPr="0032500E">
              <w:t>Low impact exploration activities conducted in accordance with DEM’s M33 guideline.</w:t>
            </w:r>
          </w:p>
        </w:tc>
        <w:tc>
          <w:tcPr>
            <w:tcW w:w="834" w:type="pct"/>
          </w:tcPr>
          <w:p w:rsidR="00683CF6" w:rsidRPr="0032500E" w:rsidRDefault="00683CF6" w:rsidP="00046B75">
            <w:pPr>
              <w:spacing w:before="80"/>
              <w:jc w:val="left"/>
            </w:pPr>
            <w:r w:rsidRPr="0032500E">
              <w:t>Soil surface profile consistent with the natural relief.</w:t>
            </w:r>
          </w:p>
        </w:tc>
        <w:tc>
          <w:tcPr>
            <w:tcW w:w="1364" w:type="pct"/>
          </w:tcPr>
          <w:p w:rsidR="00683CF6" w:rsidRPr="0032500E" w:rsidRDefault="00683CF6" w:rsidP="00046B75">
            <w:pPr>
              <w:spacing w:before="80"/>
              <w:jc w:val="left"/>
            </w:pPr>
            <w:r w:rsidRPr="0032500E">
              <w:t>Demonstrate that the original surface profile is consistent with the surrounding natural relief.</w:t>
            </w:r>
          </w:p>
          <w:p w:rsidR="00683CF6" w:rsidRPr="00410453" w:rsidRDefault="00683CF6" w:rsidP="00046B75">
            <w:pPr>
              <w:jc w:val="left"/>
              <w:rPr>
                <w:i/>
              </w:rPr>
            </w:pPr>
            <w:r w:rsidRPr="0032500E">
              <w:rPr>
                <w:i/>
              </w:rPr>
              <w:t>*Take photos of sites requiring rehabilitation once completed to demonstrate compliance w</w:t>
            </w:r>
            <w:r>
              <w:rPr>
                <w:i/>
              </w:rPr>
              <w:t>ith the outcome.</w:t>
            </w:r>
          </w:p>
        </w:tc>
      </w:tr>
      <w:tr w:rsidR="00683CF6" w:rsidRPr="0032500E" w:rsidTr="00046B75">
        <w:trPr>
          <w:cantSplit/>
        </w:trPr>
        <w:tc>
          <w:tcPr>
            <w:tcW w:w="907" w:type="pct"/>
          </w:tcPr>
          <w:p w:rsidR="00683CF6" w:rsidRPr="0032500E" w:rsidRDefault="00683CF6" w:rsidP="00046B75">
            <w:pPr>
              <w:spacing w:before="80"/>
              <w:jc w:val="left"/>
              <w:rPr>
                <w:b/>
              </w:rPr>
            </w:pPr>
            <w:r w:rsidRPr="0032500E">
              <w:rPr>
                <w:b/>
              </w:rPr>
              <w:t>Soil</w:t>
            </w:r>
          </w:p>
        </w:tc>
        <w:tc>
          <w:tcPr>
            <w:tcW w:w="834" w:type="pct"/>
          </w:tcPr>
          <w:p w:rsidR="00683CF6" w:rsidRPr="0032500E" w:rsidRDefault="00683CF6" w:rsidP="00046B75">
            <w:pPr>
              <w:spacing w:before="80"/>
              <w:jc w:val="left"/>
            </w:pPr>
            <w:r w:rsidRPr="0032500E">
              <w:t>Contamination.</w:t>
            </w:r>
          </w:p>
        </w:tc>
        <w:tc>
          <w:tcPr>
            <w:tcW w:w="1060" w:type="pct"/>
          </w:tcPr>
          <w:p w:rsidR="00683CF6" w:rsidRPr="0032500E" w:rsidRDefault="00683CF6" w:rsidP="00046B75">
            <w:pPr>
              <w:spacing w:before="80"/>
              <w:jc w:val="left"/>
              <w:rPr>
                <w:lang w:val="en-US"/>
              </w:rPr>
            </w:pPr>
            <w:r w:rsidRPr="0032500E">
              <w:rPr>
                <w:lang w:val="en-US"/>
              </w:rPr>
              <w:t xml:space="preserve">All </w:t>
            </w:r>
            <w:r w:rsidRPr="00D753A8">
              <w:t>domestic</w:t>
            </w:r>
            <w:r w:rsidRPr="0032500E">
              <w:rPr>
                <w:lang w:val="en-US"/>
              </w:rPr>
              <w:t xml:space="preserve"> and/or industrial waste is disposed of in accordance with relevant legislation (e.g. contaminated soil disposed of at approved EPA waste facilities).</w:t>
            </w:r>
          </w:p>
          <w:p w:rsidR="00683CF6" w:rsidRPr="0032500E" w:rsidRDefault="00683CF6" w:rsidP="00046B75">
            <w:pPr>
              <w:jc w:val="left"/>
            </w:pPr>
            <w:r w:rsidRPr="0032500E">
              <w:rPr>
                <w:lang w:val="en-US"/>
              </w:rPr>
              <w:t>Fuel required for exploration activities is bunded in accordance with EPA requirements.</w:t>
            </w:r>
          </w:p>
        </w:tc>
        <w:tc>
          <w:tcPr>
            <w:tcW w:w="834" w:type="pct"/>
          </w:tcPr>
          <w:p w:rsidR="00683CF6" w:rsidRPr="0032500E" w:rsidRDefault="00683CF6" w:rsidP="00046B75">
            <w:pPr>
              <w:spacing w:before="80"/>
              <w:jc w:val="left"/>
            </w:pPr>
            <w:r w:rsidRPr="0032500E">
              <w:t>No contamination of soil as a result of exploration activities.</w:t>
            </w:r>
          </w:p>
          <w:p w:rsidR="00683CF6" w:rsidRPr="0032500E" w:rsidRDefault="00683CF6" w:rsidP="00046B75">
            <w:pPr>
              <w:jc w:val="left"/>
            </w:pPr>
            <w:r w:rsidRPr="0032500E">
              <w:t>All waste is disposed of in accordance with relevant legislation.</w:t>
            </w:r>
          </w:p>
        </w:tc>
        <w:tc>
          <w:tcPr>
            <w:tcW w:w="1364" w:type="pct"/>
          </w:tcPr>
          <w:p w:rsidR="00683CF6" w:rsidRPr="0032500E" w:rsidRDefault="00683CF6" w:rsidP="00046B75">
            <w:pPr>
              <w:spacing w:before="80"/>
              <w:jc w:val="left"/>
            </w:pPr>
            <w:r w:rsidRPr="0032500E">
              <w:t>Record of receipts show that all domestic or industrial waste is disposed off site in accordance with the Environment Protection Act.</w:t>
            </w:r>
          </w:p>
          <w:p w:rsidR="00683CF6" w:rsidRPr="0032500E" w:rsidRDefault="00683CF6" w:rsidP="00046B75">
            <w:pPr>
              <w:jc w:val="left"/>
              <w:rPr>
                <w:i/>
              </w:rPr>
            </w:pPr>
            <w:r w:rsidRPr="0032500E">
              <w:rPr>
                <w:i/>
              </w:rPr>
              <w:t>*Keep all receipts showing contaminated soil was taken to an approved EPA waste facility.</w:t>
            </w:r>
          </w:p>
        </w:tc>
      </w:tr>
      <w:tr w:rsidR="00683CF6" w:rsidRPr="0032500E" w:rsidTr="00046B75">
        <w:trPr>
          <w:cantSplit/>
        </w:trPr>
        <w:tc>
          <w:tcPr>
            <w:tcW w:w="907" w:type="pct"/>
          </w:tcPr>
          <w:p w:rsidR="00683CF6" w:rsidRPr="0032500E" w:rsidRDefault="00683CF6" w:rsidP="00046B75">
            <w:pPr>
              <w:spacing w:before="80"/>
              <w:jc w:val="left"/>
              <w:rPr>
                <w:b/>
                <w:bCs/>
              </w:rPr>
            </w:pPr>
            <w:r w:rsidRPr="0032500E">
              <w:rPr>
                <w:b/>
                <w:bCs/>
              </w:rPr>
              <w:t xml:space="preserve">Aboriginal </w:t>
            </w:r>
            <w:r w:rsidRPr="00850ED1">
              <w:rPr>
                <w:b/>
              </w:rPr>
              <w:t>Heritage</w:t>
            </w:r>
          </w:p>
        </w:tc>
        <w:tc>
          <w:tcPr>
            <w:tcW w:w="834" w:type="pct"/>
          </w:tcPr>
          <w:p w:rsidR="00683CF6" w:rsidRPr="0032500E" w:rsidRDefault="00683CF6" w:rsidP="00046B75">
            <w:pPr>
              <w:spacing w:before="80"/>
              <w:jc w:val="left"/>
            </w:pPr>
            <w:r w:rsidRPr="0032500E">
              <w:t>Damage to Aboriginal Heri</w:t>
            </w:r>
            <w:r>
              <w:t>tage sites, objects or remains.</w:t>
            </w:r>
          </w:p>
        </w:tc>
        <w:tc>
          <w:tcPr>
            <w:tcW w:w="1060" w:type="pct"/>
          </w:tcPr>
          <w:p w:rsidR="00683CF6" w:rsidRPr="0032500E" w:rsidRDefault="00683CF6" w:rsidP="00046B75">
            <w:pPr>
              <w:spacing w:before="80"/>
              <w:jc w:val="left"/>
            </w:pPr>
            <w:r w:rsidRPr="0032500E">
              <w:t xml:space="preserve">Identify any known Aboriginal sites, objects or Aboriginal remains listed on the Central Archive, which is administered by Aboriginal Affairs and Reconciliation (AAR) under the </w:t>
            </w:r>
            <w:r w:rsidRPr="0032500E">
              <w:rPr>
                <w:i/>
              </w:rPr>
              <w:t>Aboriginal Heritage Act 1988</w:t>
            </w:r>
            <w:r>
              <w:t>.</w:t>
            </w:r>
          </w:p>
          <w:p w:rsidR="00683CF6" w:rsidRPr="0032500E" w:rsidRDefault="00683CF6" w:rsidP="00046B75">
            <w:pPr>
              <w:jc w:val="left"/>
            </w:pPr>
            <w:r w:rsidRPr="0032500E">
              <w:t xml:space="preserve">Requests for searches of the Central Archive can be made thorough DPC-AAR’s Aboriginal Cultural Heritage Register and Information Management System, Taa wika, which can be accessed at </w:t>
            </w:r>
            <w:hyperlink r:id="rId133" w:history="1">
              <w:r w:rsidRPr="0032500E">
                <w:rPr>
                  <w:color w:val="0000FF"/>
                  <w:u w:val="single"/>
                </w:rPr>
                <w:t>https://taawika.sa.gov.au</w:t>
              </w:r>
            </w:hyperlink>
            <w:r w:rsidRPr="0032500E">
              <w:t xml:space="preserve">. For any assistance regarding the search request process, contact DPC-AAR’s heritage sites email address at </w:t>
            </w:r>
            <w:hyperlink r:id="rId134" w:history="1">
              <w:r w:rsidRPr="0032500E">
                <w:rPr>
                  <w:color w:val="0000FF"/>
                  <w:u w:val="single"/>
                </w:rPr>
                <w:t>dpc-aar.heritagesites1@sa.gov.au</w:t>
              </w:r>
            </w:hyperlink>
            <w:r w:rsidRPr="0032500E">
              <w:t>.</w:t>
            </w:r>
          </w:p>
          <w:p w:rsidR="00683CF6" w:rsidRPr="0032500E" w:rsidRDefault="00683CF6" w:rsidP="00046B75">
            <w:pPr>
              <w:jc w:val="left"/>
              <w:rPr>
                <w:rFonts w:eastAsia="Arial"/>
              </w:rPr>
            </w:pPr>
            <w:r w:rsidRPr="0032500E">
              <w:rPr>
                <w:rFonts w:eastAsia="Arial"/>
              </w:rPr>
              <w:t>Liaise with relevant native title groups and traditional owners and conduct a risk assessment to identify if a work area clearance or equivalent process, is required to manage areas of Aboriginal heritage prior to conducting exploration operations.</w:t>
            </w:r>
          </w:p>
          <w:p w:rsidR="00683CF6" w:rsidRPr="0032500E" w:rsidRDefault="00683CF6" w:rsidP="00046B75">
            <w:pPr>
              <w:jc w:val="left"/>
            </w:pPr>
            <w:r w:rsidRPr="0032500E">
              <w:t>Ensure that all works activities avoid known Aboriginal sites, objects and remains (i.e. through the use of buffer zones).</w:t>
            </w:r>
          </w:p>
          <w:p w:rsidR="00683CF6" w:rsidRPr="0032500E" w:rsidRDefault="00683CF6" w:rsidP="00046B75">
            <w:pPr>
              <w:jc w:val="left"/>
            </w:pPr>
            <w:r w:rsidRPr="0032500E">
              <w:t>Employees, contractors and visitors inducted to underst</w:t>
            </w:r>
            <w:r>
              <w:t>and their obligations under the </w:t>
            </w:r>
            <w:r w:rsidRPr="0032500E">
              <w:t>AHA.</w:t>
            </w:r>
          </w:p>
        </w:tc>
        <w:tc>
          <w:tcPr>
            <w:tcW w:w="834" w:type="pct"/>
          </w:tcPr>
          <w:p w:rsidR="00683CF6" w:rsidRPr="0032500E" w:rsidRDefault="00683CF6" w:rsidP="00046B75">
            <w:pPr>
              <w:spacing w:before="80"/>
              <w:jc w:val="left"/>
            </w:pPr>
            <w:r w:rsidRPr="0032500E">
              <w:t>No disturbance to Aboriginal sites, objects or remains unless prior approval under the relevant legislation is obtained.</w:t>
            </w:r>
          </w:p>
        </w:tc>
        <w:tc>
          <w:tcPr>
            <w:tcW w:w="1364" w:type="pct"/>
          </w:tcPr>
          <w:p w:rsidR="00683CF6" w:rsidRPr="0032500E" w:rsidRDefault="00683CF6" w:rsidP="00046B75">
            <w:pPr>
              <w:spacing w:before="80"/>
              <w:jc w:val="left"/>
            </w:pPr>
            <w:r w:rsidRPr="0032500E">
              <w:t>Where culturally appropriate, provide before and after photos of heritage sites in the vicinity of the works area to demonstrate compliance with the outcome.</w:t>
            </w:r>
          </w:p>
          <w:p w:rsidR="00683CF6" w:rsidRPr="0032500E" w:rsidRDefault="00683CF6" w:rsidP="00046B75">
            <w:pPr>
              <w:jc w:val="left"/>
              <w:rPr>
                <w:rFonts w:eastAsia="Arial"/>
                <w:i/>
                <w:iCs/>
              </w:rPr>
            </w:pPr>
            <w:r w:rsidRPr="0032500E">
              <w:rPr>
                <w:i/>
                <w:iCs/>
              </w:rPr>
              <w:t xml:space="preserve">* </w:t>
            </w:r>
            <w:r w:rsidRPr="0032500E">
              <w:rPr>
                <w:rFonts w:eastAsia="Arial"/>
                <w:i/>
                <w:iCs/>
              </w:rPr>
              <w:t>Demonstrate that relevant Native Title groups and Traditional Owners have been contacted; document any advice or requests received from such groups and confirm any measures undertaken</w:t>
            </w:r>
            <w:r>
              <w:rPr>
                <w:rFonts w:eastAsia="Arial"/>
                <w:i/>
                <w:iCs/>
              </w:rPr>
              <w:t xml:space="preserve"> </w:t>
            </w:r>
            <w:r w:rsidRPr="0032500E">
              <w:rPr>
                <w:rFonts w:eastAsia="Arial"/>
                <w:i/>
                <w:iCs/>
              </w:rPr>
              <w:t>to manage Aboriginal heritage</w:t>
            </w:r>
            <w:r w:rsidRPr="0032500E">
              <w:t>.</w:t>
            </w:r>
          </w:p>
          <w:p w:rsidR="00683CF6" w:rsidRPr="0032500E" w:rsidRDefault="00683CF6" w:rsidP="00046B75">
            <w:pPr>
              <w:jc w:val="left"/>
              <w:rPr>
                <w:i/>
              </w:rPr>
            </w:pPr>
            <w:r w:rsidRPr="0032500E">
              <w:rPr>
                <w:i/>
              </w:rPr>
              <w:t>*Keep records of all correspondence with Traditional Owners and Native Title bodies to demonstra</w:t>
            </w:r>
            <w:r>
              <w:rPr>
                <w:i/>
              </w:rPr>
              <w:t>te compliance with the outcome.</w:t>
            </w:r>
          </w:p>
          <w:p w:rsidR="00683CF6" w:rsidRPr="0032500E" w:rsidRDefault="00683CF6" w:rsidP="00046B75">
            <w:pPr>
              <w:jc w:val="left"/>
            </w:pPr>
            <w:r w:rsidRPr="0032500E">
              <w:t>Demonstrate Aboriginal heritage sites were appropriately identified/recorded and reported to AAR if not previously known.</w:t>
            </w:r>
          </w:p>
          <w:p w:rsidR="00683CF6" w:rsidRPr="0032500E" w:rsidRDefault="00683CF6" w:rsidP="00046B75">
            <w:pPr>
              <w:jc w:val="left"/>
              <w:rPr>
                <w:i/>
              </w:rPr>
            </w:pPr>
            <w:r w:rsidRPr="0032500E">
              <w:rPr>
                <w:i/>
              </w:rPr>
              <w:t>*Keep records of heritage sites reported to AAR to demonstrate compliance with outcomes.</w:t>
            </w:r>
          </w:p>
        </w:tc>
      </w:tr>
      <w:tr w:rsidR="00683CF6" w:rsidRPr="0032500E" w:rsidTr="00046B75">
        <w:trPr>
          <w:cantSplit/>
        </w:trPr>
        <w:tc>
          <w:tcPr>
            <w:tcW w:w="907" w:type="pct"/>
          </w:tcPr>
          <w:p w:rsidR="00683CF6" w:rsidRPr="0032500E" w:rsidRDefault="00683CF6" w:rsidP="00046B75">
            <w:pPr>
              <w:spacing w:before="80"/>
              <w:jc w:val="left"/>
              <w:rPr>
                <w:b/>
              </w:rPr>
            </w:pPr>
            <w:r w:rsidRPr="0032500E">
              <w:rPr>
                <w:b/>
              </w:rPr>
              <w:t>Places, areas and objects of national, state or local heritage significance</w:t>
            </w:r>
          </w:p>
        </w:tc>
        <w:tc>
          <w:tcPr>
            <w:tcW w:w="834" w:type="pct"/>
          </w:tcPr>
          <w:p w:rsidR="00683CF6" w:rsidRPr="0032500E" w:rsidRDefault="00683CF6" w:rsidP="00046B75">
            <w:pPr>
              <w:spacing w:before="80"/>
              <w:jc w:val="left"/>
            </w:pPr>
            <w:r w:rsidRPr="0032500E">
              <w:t>Damage areas and objects of national, state or local heritage significance</w:t>
            </w:r>
          </w:p>
        </w:tc>
        <w:tc>
          <w:tcPr>
            <w:tcW w:w="1060" w:type="pct"/>
          </w:tcPr>
          <w:p w:rsidR="00683CF6" w:rsidRPr="0032500E" w:rsidRDefault="00683CF6" w:rsidP="00046B75">
            <w:pPr>
              <w:spacing w:before="80"/>
              <w:jc w:val="left"/>
            </w:pPr>
            <w:r w:rsidRPr="0032500E">
              <w:t>Routes planned to avoid sites</w:t>
            </w:r>
          </w:p>
          <w:p w:rsidR="00683CF6" w:rsidRPr="0032500E" w:rsidRDefault="00683CF6" w:rsidP="00046B75">
            <w:pPr>
              <w:jc w:val="left"/>
            </w:pPr>
            <w:r w:rsidRPr="0032500E">
              <w:t>Identify any heritage sites, places or objects of state significance on the South Aust</w:t>
            </w:r>
            <w:r>
              <w:t>ralian heritage places database</w:t>
            </w:r>
          </w:p>
          <w:p w:rsidR="00683CF6" w:rsidRPr="0032500E" w:rsidRDefault="00683CF6" w:rsidP="00046B75">
            <w:pPr>
              <w:jc w:val="left"/>
            </w:pPr>
            <w:r w:rsidRPr="0032500E">
              <w:t>Identify any heritage sites of national significance on t</w:t>
            </w:r>
            <w:r>
              <w:t>he Australian Heritage Database</w:t>
            </w:r>
          </w:p>
          <w:p w:rsidR="00683CF6" w:rsidRPr="0032500E" w:rsidRDefault="00683CF6" w:rsidP="00046B75">
            <w:pPr>
              <w:jc w:val="left"/>
            </w:pPr>
            <w:r w:rsidRPr="0032500E">
              <w:t>Identify any places of l</w:t>
            </w:r>
            <w:r>
              <w:t>ocal significance on Naturemaps</w:t>
            </w:r>
          </w:p>
          <w:p w:rsidR="00683CF6" w:rsidRPr="0032500E" w:rsidRDefault="00683CF6" w:rsidP="00046B75">
            <w:pPr>
              <w:jc w:val="left"/>
            </w:pPr>
            <w:r w:rsidRPr="0032500E">
              <w:t xml:space="preserve">Implement appropriate buffer zones to avoid impact. </w:t>
            </w:r>
          </w:p>
        </w:tc>
        <w:tc>
          <w:tcPr>
            <w:tcW w:w="834" w:type="pct"/>
          </w:tcPr>
          <w:p w:rsidR="00683CF6" w:rsidRPr="00D41D27" w:rsidRDefault="00683CF6" w:rsidP="00046B75">
            <w:pPr>
              <w:spacing w:before="80"/>
              <w:jc w:val="left"/>
              <w:rPr>
                <w:b/>
              </w:rPr>
            </w:pPr>
            <w:r w:rsidRPr="0032500E">
              <w:t>No disturbance to places, areas and objects of national, state or local heritage significance</w:t>
            </w:r>
            <w:r>
              <w:rPr>
                <w:b/>
              </w:rPr>
              <w:t xml:space="preserve"> </w:t>
            </w:r>
            <w:r w:rsidRPr="0032500E">
              <w:t>unless prior approval under the relevant legislation is obtained.</w:t>
            </w:r>
          </w:p>
        </w:tc>
        <w:tc>
          <w:tcPr>
            <w:tcW w:w="1364" w:type="pct"/>
          </w:tcPr>
          <w:p w:rsidR="00683CF6" w:rsidRPr="0032500E" w:rsidRDefault="00683CF6" w:rsidP="00046B75">
            <w:pPr>
              <w:spacing w:before="80"/>
              <w:jc w:val="left"/>
            </w:pPr>
            <w:r w:rsidRPr="0032500E">
              <w:t>Demonstrate no impact to places, areas and objects of national, state or local heritage significance unless prior approval has been obtained under the appropriate legislation.</w:t>
            </w:r>
          </w:p>
          <w:p w:rsidR="00683CF6" w:rsidRPr="0032500E" w:rsidRDefault="00683CF6" w:rsidP="00046B75">
            <w:pPr>
              <w:jc w:val="left"/>
              <w:rPr>
                <w:i/>
              </w:rPr>
            </w:pPr>
            <w:r w:rsidRPr="0032500E">
              <w:rPr>
                <w:i/>
              </w:rPr>
              <w:t>*Provide maps showing the location of exploration operations compared to the location of sites, and/or before and after photos of sites to determine compliance with the outcome.</w:t>
            </w:r>
          </w:p>
        </w:tc>
      </w:tr>
      <w:tr w:rsidR="00683CF6" w:rsidRPr="0032500E" w:rsidTr="00046B75">
        <w:trPr>
          <w:cantSplit/>
        </w:trPr>
        <w:tc>
          <w:tcPr>
            <w:tcW w:w="907" w:type="pct"/>
          </w:tcPr>
          <w:p w:rsidR="00683CF6" w:rsidRPr="0032500E" w:rsidRDefault="00683CF6" w:rsidP="00046B75">
            <w:pPr>
              <w:spacing w:before="80"/>
              <w:jc w:val="left"/>
              <w:rPr>
                <w:b/>
              </w:rPr>
            </w:pPr>
            <w:r w:rsidRPr="0032500E">
              <w:rPr>
                <w:b/>
              </w:rPr>
              <w:t>Public</w:t>
            </w:r>
          </w:p>
        </w:tc>
        <w:tc>
          <w:tcPr>
            <w:tcW w:w="834" w:type="pct"/>
          </w:tcPr>
          <w:p w:rsidR="00683CF6" w:rsidRPr="0032500E" w:rsidRDefault="00683CF6" w:rsidP="00046B75">
            <w:pPr>
              <w:spacing w:before="80"/>
              <w:jc w:val="left"/>
            </w:pPr>
            <w:r w:rsidRPr="0032500E">
              <w:t>Impacts to public health and safety.</w:t>
            </w:r>
          </w:p>
        </w:tc>
        <w:tc>
          <w:tcPr>
            <w:tcW w:w="1060" w:type="pct"/>
          </w:tcPr>
          <w:p w:rsidR="00683CF6" w:rsidRPr="0032500E" w:rsidRDefault="00683CF6" w:rsidP="00046B75">
            <w:pPr>
              <w:spacing w:before="80"/>
              <w:jc w:val="left"/>
            </w:pPr>
            <w:r w:rsidRPr="0032500E">
              <w:t>Use appropriate signage to warn the public when working in publicly accessible areas.</w:t>
            </w:r>
          </w:p>
          <w:p w:rsidR="00683CF6" w:rsidRPr="0032500E" w:rsidRDefault="00683CF6" w:rsidP="00046B75">
            <w:pPr>
              <w:jc w:val="left"/>
            </w:pPr>
            <w:r w:rsidRPr="0032500E">
              <w:t>Avoid working in areas accessible to the public during peak tourist times where possible.</w:t>
            </w:r>
          </w:p>
          <w:p w:rsidR="00683CF6" w:rsidRPr="0032500E" w:rsidRDefault="00683CF6" w:rsidP="00046B75">
            <w:pPr>
              <w:jc w:val="left"/>
            </w:pPr>
            <w:r w:rsidRPr="0032500E">
              <w:t>Adopt appropriate traffic management strategies.</w:t>
            </w:r>
          </w:p>
        </w:tc>
        <w:tc>
          <w:tcPr>
            <w:tcW w:w="834" w:type="pct"/>
          </w:tcPr>
          <w:p w:rsidR="00683CF6" w:rsidRPr="0032500E" w:rsidRDefault="00683CF6" w:rsidP="00046B75">
            <w:pPr>
              <w:spacing w:before="80"/>
              <w:jc w:val="left"/>
            </w:pPr>
            <w:r w:rsidRPr="0032500E">
              <w:t>No accidents involving the public that could</w:t>
            </w:r>
            <w:r>
              <w:t xml:space="preserve"> </w:t>
            </w:r>
            <w:r w:rsidRPr="0032500E">
              <w:t>have been reasonably prevented by the licensee.</w:t>
            </w:r>
          </w:p>
        </w:tc>
        <w:tc>
          <w:tcPr>
            <w:tcW w:w="1364" w:type="pct"/>
          </w:tcPr>
          <w:p w:rsidR="00683CF6" w:rsidRPr="0032500E" w:rsidRDefault="00683CF6" w:rsidP="00046B75">
            <w:pPr>
              <w:spacing w:before="80"/>
              <w:jc w:val="left"/>
            </w:pPr>
            <w:r w:rsidRPr="0032500E">
              <w:t>Independent investigation of all accidents involving the public that demonstrates the licensee could not have reasonably prevented the accident through implementation of precautionary</w:t>
            </w:r>
            <w:r>
              <w:t xml:space="preserve"> </w:t>
            </w:r>
            <w:r w:rsidRPr="0032500E">
              <w:t>measures.</w:t>
            </w:r>
          </w:p>
          <w:p w:rsidR="00683CF6" w:rsidRPr="0032500E" w:rsidRDefault="00683CF6" w:rsidP="00046B75">
            <w:pPr>
              <w:jc w:val="left"/>
              <w:rPr>
                <w:i/>
              </w:rPr>
            </w:pPr>
            <w:r w:rsidRPr="0032500E">
              <w:rPr>
                <w:i/>
              </w:rPr>
              <w:t>*Keep copies of all independent investigation reports to demonstrate compliance with the outcome.</w:t>
            </w:r>
          </w:p>
        </w:tc>
      </w:tr>
    </w:tbl>
    <w:p w:rsidR="00683CF6" w:rsidRPr="00BC5FD4" w:rsidRDefault="00683CF6" w:rsidP="00683CF6">
      <w:pPr>
        <w:pStyle w:val="GG-body"/>
        <w:spacing w:before="240"/>
        <w:ind w:left="567" w:hanging="567"/>
        <w:rPr>
          <w:i/>
          <w:sz w:val="22"/>
          <w:szCs w:val="24"/>
        </w:rPr>
      </w:pPr>
      <w:r w:rsidRPr="00BC5FD4">
        <w:rPr>
          <w:i/>
          <w:sz w:val="16"/>
        </w:rPr>
        <w:t>*Note:</w:t>
      </w:r>
      <w:r w:rsidRPr="00BC5FD4">
        <w:rPr>
          <w:i/>
          <w:sz w:val="16"/>
        </w:rPr>
        <w:tab/>
        <w:t>Comments in Italics within the measurement criteria column are only examples of how the criteria can be used to demonstrate compliance with the outcome. Explorers have the option to use their own methods to demonstrate compliance.</w:t>
      </w:r>
    </w:p>
    <w:p w:rsidR="00683CF6" w:rsidRPr="00BC5FD4" w:rsidRDefault="00683CF6" w:rsidP="00683CF6">
      <w:pPr>
        <w:pStyle w:val="GG-SDated"/>
      </w:pPr>
      <w:r w:rsidRPr="00310176">
        <w:t>Dated: 11 December 2020</w:t>
      </w:r>
    </w:p>
    <w:p w:rsidR="00683CF6" w:rsidRPr="00BC5FD4" w:rsidRDefault="00683CF6" w:rsidP="00683CF6">
      <w:pPr>
        <w:pStyle w:val="GG-SName"/>
      </w:pPr>
      <w:r w:rsidRPr="00BC5FD4">
        <w:t>Hon. Daniel van Holst Pellekaan</w:t>
      </w:r>
    </w:p>
    <w:p w:rsidR="00683CF6" w:rsidRPr="00BC5FD4" w:rsidRDefault="00683CF6" w:rsidP="00683CF6">
      <w:pPr>
        <w:pStyle w:val="GG-Signature"/>
      </w:pPr>
      <w:r w:rsidRPr="00BC5FD4">
        <w:t>Minister for Energy and Mining</w:t>
      </w:r>
    </w:p>
    <w:p w:rsidR="00683CF6" w:rsidRDefault="00683CF6" w:rsidP="00683CF6">
      <w:pPr>
        <w:pBdr>
          <w:top w:val="single" w:sz="4" w:space="1" w:color="auto"/>
        </w:pBdr>
        <w:spacing w:before="100" w:after="0" w:line="14" w:lineRule="exact"/>
        <w:jc w:val="center"/>
        <w:rPr>
          <w:b/>
          <w:bCs/>
          <w:sz w:val="20"/>
          <w:szCs w:val="20"/>
        </w:rPr>
      </w:pPr>
    </w:p>
    <w:p w:rsidR="00683CF6" w:rsidRDefault="00683CF6" w:rsidP="00683CF6">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rsidR="00683CF6" w:rsidRPr="000D6527" w:rsidRDefault="00683CF6" w:rsidP="00683CF6">
      <w:pPr>
        <w:jc w:val="center"/>
        <w:rPr>
          <w:caps/>
        </w:rPr>
      </w:pPr>
      <w:r w:rsidRPr="000D6527">
        <w:rPr>
          <w:caps/>
        </w:rPr>
        <w:t>Mining Regulations 2020</w:t>
      </w:r>
    </w:p>
    <w:p w:rsidR="00683CF6" w:rsidRPr="000D6527" w:rsidRDefault="00683CF6" w:rsidP="00683CF6">
      <w:pPr>
        <w:jc w:val="center"/>
        <w:rPr>
          <w:smallCaps/>
        </w:rPr>
      </w:pPr>
      <w:r w:rsidRPr="000D6527">
        <w:rPr>
          <w:smallCaps/>
        </w:rPr>
        <w:t>Regulation 78</w:t>
      </w:r>
    </w:p>
    <w:p w:rsidR="00683CF6" w:rsidRPr="000D6527" w:rsidRDefault="00683CF6" w:rsidP="00683CF6">
      <w:pPr>
        <w:jc w:val="center"/>
        <w:rPr>
          <w:i/>
        </w:rPr>
      </w:pPr>
      <w:r w:rsidRPr="000D6527">
        <w:rPr>
          <w:i/>
        </w:rPr>
        <w:t>Terms of Reference for a Technical Exploration Report</w:t>
      </w:r>
    </w:p>
    <w:p w:rsidR="00683CF6" w:rsidRPr="000D6527" w:rsidRDefault="00683CF6" w:rsidP="00683CF6">
      <w:r w:rsidRPr="000D6527">
        <w:t xml:space="preserve">A technical exploration report is required to be submitted where the tenement holder carries out exploration operations on exploration licences and any other tenements issued under the </w:t>
      </w:r>
      <w:r w:rsidRPr="000D6527">
        <w:rPr>
          <w:i/>
        </w:rPr>
        <w:t>Mining Act 1971</w:t>
      </w:r>
      <w:r w:rsidRPr="000D6527">
        <w:t xml:space="preserve">. It must comply with the requirements under regulation 78 of the </w:t>
      </w:r>
      <w:r w:rsidRPr="000D6527">
        <w:rPr>
          <w:i/>
        </w:rPr>
        <w:t>Mining Regulations 2020</w:t>
      </w:r>
      <w:r w:rsidRPr="000D6527">
        <w:t xml:space="preserve"> (the Mining Regulations) and departmental guidelines on exploration reporting.</w:t>
      </w:r>
    </w:p>
    <w:p w:rsidR="00683CF6" w:rsidRPr="000D6527" w:rsidRDefault="00683CF6" w:rsidP="00683CF6">
      <w:r w:rsidRPr="000D6527">
        <w:t>In accordance with Regulation 78 of the</w:t>
      </w:r>
      <w:r w:rsidRPr="000D6527">
        <w:rPr>
          <w:i/>
        </w:rPr>
        <w:t xml:space="preserve"> Mining Regulations 2020</w:t>
      </w:r>
      <w:r w:rsidRPr="000D6527">
        <w:t>, this notice will have effect from 1 January 2021.</w:t>
      </w:r>
    </w:p>
    <w:p w:rsidR="00683CF6" w:rsidRPr="000D6527" w:rsidRDefault="00683CF6" w:rsidP="00683CF6">
      <w:pPr>
        <w:ind w:left="284" w:hanging="284"/>
        <w:rPr>
          <w:b/>
        </w:rPr>
      </w:pPr>
      <w:r w:rsidRPr="000D6527">
        <w:rPr>
          <w:b/>
        </w:rPr>
        <w:t>1</w:t>
      </w:r>
      <w:r w:rsidRPr="000D6527">
        <w:rPr>
          <w:b/>
        </w:rPr>
        <w:tab/>
        <w:t>Submission</w:t>
      </w:r>
    </w:p>
    <w:p w:rsidR="00683CF6" w:rsidRPr="000D6527" w:rsidRDefault="00683CF6" w:rsidP="00683CF6">
      <w:pPr>
        <w:ind w:left="284"/>
      </w:pPr>
      <w:r w:rsidRPr="000D6527">
        <w:t>For the purposes of subregulation 78(5)(a) of the Mining Regulations, it is determined that a technical exploration report must be provided within sixty (60) days after the end of each reporting period.</w:t>
      </w:r>
    </w:p>
    <w:p w:rsidR="00683CF6" w:rsidRPr="000D6527" w:rsidRDefault="00683CF6" w:rsidP="00683CF6">
      <w:pPr>
        <w:ind w:left="284"/>
      </w:pPr>
      <w:r w:rsidRPr="000D6527">
        <w:t xml:space="preserve">Where a technical exploration report is submitted by the tenement holder in respect to more than one tenement, the Minister determines for the purposes of subregulation 78(4)(b) of the </w:t>
      </w:r>
      <w:r w:rsidRPr="000D6527">
        <w:rPr>
          <w:i/>
        </w:rPr>
        <w:t>Mining Regulations 2020</w:t>
      </w:r>
      <w:r w:rsidRPr="000D6527">
        <w:t xml:space="preserve"> that:</w:t>
      </w:r>
    </w:p>
    <w:p w:rsidR="00683CF6" w:rsidRPr="000D6527" w:rsidRDefault="00683CF6" w:rsidP="00683CF6">
      <w:pPr>
        <w:ind w:left="567" w:hanging="283"/>
      </w:pPr>
      <w:r w:rsidRPr="000D6527">
        <w:t>1.</w:t>
      </w:r>
      <w:r w:rsidRPr="000D6527">
        <w:tab/>
        <w:t>in the case of clause 3.1.3 of this Term of Reference, the summary of all activities conducted must be provided to the Minister on a per tenement basis each 12 month period ending on the anniversary of the day on which the relevant mineral tenement was granted; and</w:t>
      </w:r>
    </w:p>
    <w:p w:rsidR="00683CF6" w:rsidRPr="000D6527" w:rsidRDefault="00683CF6" w:rsidP="00683CF6">
      <w:pPr>
        <w:ind w:left="567" w:hanging="283"/>
      </w:pPr>
      <w:r w:rsidRPr="000D6527">
        <w:t>2.</w:t>
      </w:r>
      <w:r w:rsidRPr="000D6527">
        <w:tab/>
        <w:t>the remaining information required by this Terms of Reference, can be provided to the Minister in respect to more than one tenement on a date each year notified to the Minister by the tenement holder.</w:t>
      </w:r>
    </w:p>
    <w:p w:rsidR="00683CF6" w:rsidRPr="000D6527" w:rsidRDefault="00683CF6" w:rsidP="00683CF6">
      <w:pPr>
        <w:ind w:left="284" w:hanging="284"/>
        <w:rPr>
          <w:b/>
        </w:rPr>
      </w:pPr>
      <w:r w:rsidRPr="000D6527">
        <w:rPr>
          <w:b/>
        </w:rPr>
        <w:t>2</w:t>
      </w:r>
      <w:r w:rsidRPr="000D6527">
        <w:rPr>
          <w:b/>
        </w:rPr>
        <w:tab/>
        <w:t>Manner and form</w:t>
      </w:r>
    </w:p>
    <w:p w:rsidR="00683CF6" w:rsidRPr="000D6527" w:rsidRDefault="00683CF6" w:rsidP="00683CF6">
      <w:pPr>
        <w:ind w:left="284"/>
      </w:pPr>
      <w:r w:rsidRPr="000D6527">
        <w:t>For the purposes of subregulation 78(5)(b) of the Mining Regulations, it is determined that a technical exploration report must be submitted in the following manner and form:</w:t>
      </w:r>
    </w:p>
    <w:p w:rsidR="00683CF6" w:rsidRPr="000D6527" w:rsidRDefault="00683CF6" w:rsidP="00683CF6">
      <w:pPr>
        <w:ind w:left="567" w:hanging="283"/>
      </w:pPr>
      <w:r w:rsidRPr="000D6527">
        <w:t>1.</w:t>
      </w:r>
      <w:r w:rsidRPr="000D6527">
        <w:tab/>
        <w:t xml:space="preserve">An electronic (digital) version must be submitted to the Department for Energy and Mining in one single Acrobat PDF file in accordance with regulation 88 of the </w:t>
      </w:r>
      <w:r w:rsidRPr="000D6527">
        <w:rPr>
          <w:i/>
        </w:rPr>
        <w:t>Mining Regulations 2020</w:t>
      </w:r>
      <w:r w:rsidRPr="000D6527">
        <w:t xml:space="preserve"> or, if requested by the Minister, Director of Mines or an authorised officer, Microsoft Word-compatible files via the Department electronic mailbox.</w:t>
      </w:r>
    </w:p>
    <w:p w:rsidR="00683CF6" w:rsidRPr="000D6527" w:rsidRDefault="00683CF6" w:rsidP="00683CF6">
      <w:pPr>
        <w:ind w:left="567" w:hanging="283"/>
      </w:pPr>
      <w:r w:rsidRPr="000D6527">
        <w:t>2.</w:t>
      </w:r>
      <w:r w:rsidRPr="000D6527">
        <w:tab/>
        <w:t>If the technical exploration report is more than 20 megabytes in size it should be submitted via the Department’s nominated secure file transfer software [such as Kiteworks].</w:t>
      </w:r>
    </w:p>
    <w:p w:rsidR="00683CF6" w:rsidRPr="000D6527" w:rsidRDefault="00683CF6" w:rsidP="00683CF6">
      <w:pPr>
        <w:ind w:left="567" w:hanging="283"/>
      </w:pPr>
      <w:r w:rsidRPr="000D6527">
        <w:t>3.</w:t>
      </w:r>
      <w:r w:rsidRPr="000D6527">
        <w:tab/>
        <w:t>Each page, plan or other separate sheet must include the mineral claim, retention lease or exploration licence number(s), date of report, and sequential page numbering.</w:t>
      </w:r>
    </w:p>
    <w:p w:rsidR="00683CF6" w:rsidRPr="000D6527" w:rsidRDefault="00683CF6" w:rsidP="00683CF6">
      <w:pPr>
        <w:ind w:left="567" w:hanging="283"/>
      </w:pPr>
      <w:r w:rsidRPr="000D6527">
        <w:t>4.</w:t>
      </w:r>
      <w:r w:rsidRPr="000D6527">
        <w:tab/>
        <w:t xml:space="preserve">All reports must be submitted in English to the standards specified in the Australian requirements for the submission of digital exploration data, which can be found on </w:t>
      </w:r>
      <w:hyperlink r:id="rId135" w:history="1">
        <w:r w:rsidRPr="000D6527">
          <w:rPr>
            <w:color w:val="0000FF"/>
            <w:u w:val="single"/>
          </w:rPr>
          <w:t>http://www.australiaminerals.gov.au/legislation-regulations-and-guidelines</w:t>
        </w:r>
      </w:hyperlink>
      <w:r w:rsidRPr="000D6527">
        <w:t xml:space="preserve">. </w:t>
      </w:r>
    </w:p>
    <w:p w:rsidR="00683CF6" w:rsidRPr="000D6527" w:rsidRDefault="00683CF6" w:rsidP="00683CF6">
      <w:pPr>
        <w:ind w:left="567" w:hanging="283"/>
      </w:pPr>
      <w:r w:rsidRPr="000D6527">
        <w:t>5.</w:t>
      </w:r>
      <w:r w:rsidRPr="000D6527">
        <w:tab/>
      </w:r>
      <w:r w:rsidRPr="000D6527">
        <w:rPr>
          <w:spacing w:val="-4"/>
        </w:rPr>
        <w:t>A digital backup copy of all digital information submitted to the Department should be kept by the tenement holder for seven (7) years.</w:t>
      </w:r>
    </w:p>
    <w:p w:rsidR="00683CF6" w:rsidRPr="000D6527" w:rsidRDefault="00683CF6" w:rsidP="00683CF6">
      <w:pPr>
        <w:ind w:left="284" w:hanging="284"/>
        <w:rPr>
          <w:b/>
        </w:rPr>
      </w:pPr>
      <w:r w:rsidRPr="000D6527">
        <w:rPr>
          <w:b/>
        </w:rPr>
        <w:t>3</w:t>
      </w:r>
      <w:r w:rsidRPr="000D6527">
        <w:rPr>
          <w:b/>
        </w:rPr>
        <w:tab/>
        <w:t>Information</w:t>
      </w:r>
    </w:p>
    <w:p w:rsidR="00683CF6" w:rsidRPr="000D6527" w:rsidRDefault="00683CF6" w:rsidP="00683CF6">
      <w:pPr>
        <w:ind w:left="284"/>
      </w:pPr>
      <w:r w:rsidRPr="000D6527">
        <w:t>For the purposes of subregulation 78(5)(c) of the Mining Regulations, it is determined that a technical exploration report must contain the information as follows:</w:t>
      </w:r>
    </w:p>
    <w:p w:rsidR="00683CF6" w:rsidRPr="000D6527" w:rsidRDefault="00683CF6" w:rsidP="00683CF6">
      <w:pPr>
        <w:ind w:left="567" w:hanging="282"/>
      </w:pPr>
      <w:r w:rsidRPr="000D6527">
        <w:t>•</w:t>
      </w:r>
      <w:r w:rsidRPr="000D6527">
        <w:tab/>
        <w:t>Information of sufficient scope and detail to substantiate the expenditure claimed and the activities undertaken within the reporting period.</w:t>
      </w:r>
    </w:p>
    <w:p w:rsidR="00683CF6" w:rsidRPr="000D6527" w:rsidRDefault="00683CF6" w:rsidP="00683CF6">
      <w:pPr>
        <w:ind w:left="567" w:hanging="282"/>
      </w:pPr>
      <w:r w:rsidRPr="000D6527">
        <w:t>•</w:t>
      </w:r>
      <w:r w:rsidRPr="000D6527">
        <w:tab/>
        <w:t>Complete and consistent records of all geoscientific activities undertaken, the information obtained and the technical results and geological interpretation of exploration during the reporting period.</w:t>
      </w:r>
    </w:p>
    <w:p w:rsidR="00683CF6" w:rsidRPr="000D6527" w:rsidRDefault="00683CF6" w:rsidP="00683CF6">
      <w:pPr>
        <w:ind w:left="567" w:hanging="282"/>
      </w:pPr>
      <w:r w:rsidRPr="000D6527">
        <w:t>•</w:t>
      </w:r>
      <w:r w:rsidRPr="000D6527">
        <w:tab/>
        <w:t>Data and any consultant or laboratory reports as digital appendixes in the appropriate format, as per the Australian requirements for the submission of digital exploration data.</w:t>
      </w:r>
    </w:p>
    <w:p w:rsidR="00683CF6" w:rsidRPr="000D6527" w:rsidRDefault="00683CF6" w:rsidP="00683CF6">
      <w:pPr>
        <w:ind w:left="284"/>
      </w:pPr>
      <w:r w:rsidRPr="000D6527">
        <w:t>The required structure of a technical report is based on the national uniform guidelines developed for the Chief Government Geologists (Australian requirements for the submission of digital exploration data) and consists of three sections: front matter, body of report and end matter.</w:t>
      </w:r>
    </w:p>
    <w:p w:rsidR="00683CF6" w:rsidRDefault="00683CF6" w:rsidP="00683CF6">
      <w:pPr>
        <w:rPr>
          <w:b/>
        </w:rPr>
      </w:pPr>
      <w:r>
        <w:rPr>
          <w:b/>
        </w:rPr>
        <w:br w:type="page"/>
      </w:r>
    </w:p>
    <w:p w:rsidR="00683CF6" w:rsidRPr="000D6527" w:rsidRDefault="00683CF6" w:rsidP="00683CF6">
      <w:pPr>
        <w:ind w:left="709" w:hanging="425"/>
        <w:rPr>
          <w:b/>
        </w:rPr>
      </w:pPr>
      <w:r w:rsidRPr="000D6527">
        <w:rPr>
          <w:b/>
        </w:rPr>
        <w:t>3.1</w:t>
      </w:r>
      <w:r w:rsidRPr="000D6527">
        <w:rPr>
          <w:b/>
        </w:rPr>
        <w:tab/>
        <w:t>Front matter</w:t>
      </w:r>
    </w:p>
    <w:p w:rsidR="00683CF6" w:rsidRPr="000D6527" w:rsidRDefault="00683CF6" w:rsidP="00683CF6">
      <w:pPr>
        <w:ind w:left="709"/>
      </w:pPr>
      <w:r w:rsidRPr="000D6527">
        <w:t>The information specified under ‘front matter’ is required to be included with the digital copy.</w:t>
      </w:r>
    </w:p>
    <w:p w:rsidR="00683CF6" w:rsidRPr="000D6527" w:rsidRDefault="00683CF6" w:rsidP="00683CF6">
      <w:pPr>
        <w:ind w:left="1134" w:hanging="425"/>
        <w:rPr>
          <w:b/>
        </w:rPr>
      </w:pPr>
      <w:r w:rsidRPr="000D6527">
        <w:rPr>
          <w:b/>
        </w:rPr>
        <w:t>3.1.1</w:t>
      </w:r>
      <w:r w:rsidRPr="000D6527">
        <w:rPr>
          <w:b/>
        </w:rPr>
        <w:tab/>
        <w:t>Title page</w:t>
      </w:r>
    </w:p>
    <w:p w:rsidR="00683CF6" w:rsidRPr="000D6527" w:rsidRDefault="00683CF6" w:rsidP="00683CF6">
      <w:pPr>
        <w:ind w:left="1134"/>
      </w:pPr>
      <w:r w:rsidRPr="000D6527">
        <w:t>The title page should include:</w:t>
      </w:r>
    </w:p>
    <w:p w:rsidR="00683CF6" w:rsidRPr="000D6527" w:rsidRDefault="00683CF6" w:rsidP="00683CF6">
      <w:pPr>
        <w:ind w:left="1418" w:hanging="284"/>
      </w:pPr>
      <w:r w:rsidRPr="000D6527">
        <w:t>•</w:t>
      </w:r>
      <w:r w:rsidRPr="000D6527">
        <w:tab/>
        <w:t>type of report (annual, partial surrender, final)</w:t>
      </w:r>
    </w:p>
    <w:p w:rsidR="00683CF6" w:rsidRPr="000D6527" w:rsidRDefault="00683CF6" w:rsidP="00683CF6">
      <w:pPr>
        <w:ind w:left="1418" w:hanging="284"/>
      </w:pPr>
      <w:r w:rsidRPr="000D6527">
        <w:t>•</w:t>
      </w:r>
      <w:r w:rsidRPr="000D6527">
        <w:tab/>
        <w:t>reporting period (period covered by the report)</w:t>
      </w:r>
    </w:p>
    <w:p w:rsidR="00683CF6" w:rsidRPr="000D6527" w:rsidRDefault="00683CF6" w:rsidP="00683CF6">
      <w:pPr>
        <w:ind w:left="1418" w:hanging="284"/>
      </w:pPr>
      <w:r w:rsidRPr="000D6527">
        <w:t>•</w:t>
      </w:r>
      <w:r w:rsidRPr="000D6527">
        <w:tab/>
        <w:t>tenement number(s)</w:t>
      </w:r>
    </w:p>
    <w:p w:rsidR="00683CF6" w:rsidRPr="000D6527" w:rsidRDefault="00683CF6" w:rsidP="00683CF6">
      <w:pPr>
        <w:ind w:left="1418" w:hanging="284"/>
      </w:pPr>
      <w:r w:rsidRPr="000D6527">
        <w:t>•</w:t>
      </w:r>
      <w:r w:rsidRPr="000D6527">
        <w:tab/>
        <w:t>name of tenement(s)/project or combined reporting group</w:t>
      </w:r>
    </w:p>
    <w:p w:rsidR="00683CF6" w:rsidRPr="000D6527" w:rsidRDefault="00683CF6" w:rsidP="00683CF6">
      <w:pPr>
        <w:ind w:left="1418" w:hanging="284"/>
      </w:pPr>
      <w:r w:rsidRPr="000D6527">
        <w:t>•</w:t>
      </w:r>
      <w:r w:rsidRPr="000D6527">
        <w:tab/>
        <w:t>name of tenement holder(s)</w:t>
      </w:r>
    </w:p>
    <w:p w:rsidR="00683CF6" w:rsidRPr="000D6527" w:rsidRDefault="00683CF6" w:rsidP="00683CF6">
      <w:pPr>
        <w:ind w:left="1418" w:hanging="284"/>
      </w:pPr>
      <w:r w:rsidRPr="000D6527">
        <w:t>•</w:t>
      </w:r>
      <w:r w:rsidRPr="000D6527">
        <w:tab/>
        <w:t>name of operator</w:t>
      </w:r>
    </w:p>
    <w:p w:rsidR="00683CF6" w:rsidRPr="000D6527" w:rsidRDefault="00683CF6" w:rsidP="00683CF6">
      <w:pPr>
        <w:ind w:left="1418" w:hanging="284"/>
      </w:pPr>
      <w:r w:rsidRPr="000D6527">
        <w:t>•</w:t>
      </w:r>
      <w:r w:rsidRPr="000D6527">
        <w:tab/>
        <w:t>author of report (and company name if not the operator)</w:t>
      </w:r>
    </w:p>
    <w:p w:rsidR="00683CF6" w:rsidRPr="000D6527" w:rsidRDefault="00683CF6" w:rsidP="00683CF6">
      <w:pPr>
        <w:ind w:left="1418" w:hanging="284"/>
      </w:pPr>
      <w:r w:rsidRPr="000D6527">
        <w:t>•</w:t>
      </w:r>
      <w:r w:rsidRPr="000D6527">
        <w:tab/>
        <w:t>date of report</w:t>
      </w:r>
    </w:p>
    <w:p w:rsidR="00683CF6" w:rsidRPr="000D6527" w:rsidRDefault="00683CF6" w:rsidP="00683CF6">
      <w:pPr>
        <w:ind w:left="1418" w:hanging="284"/>
      </w:pPr>
      <w:r w:rsidRPr="000D6527">
        <w:t>•</w:t>
      </w:r>
      <w:r w:rsidRPr="000D6527">
        <w:tab/>
        <w:t>company internal report reference number (if applicable).</w:t>
      </w:r>
    </w:p>
    <w:p w:rsidR="00683CF6" w:rsidRPr="000D6527" w:rsidRDefault="00683CF6" w:rsidP="00683CF6">
      <w:pPr>
        <w:ind w:left="1134" w:hanging="425"/>
        <w:rPr>
          <w:b/>
        </w:rPr>
      </w:pPr>
      <w:r w:rsidRPr="000D6527">
        <w:rPr>
          <w:b/>
        </w:rPr>
        <w:t>3.1.2</w:t>
      </w:r>
      <w:r w:rsidRPr="000D6527">
        <w:rPr>
          <w:b/>
        </w:rPr>
        <w:tab/>
        <w:t>Table of contents</w:t>
      </w:r>
    </w:p>
    <w:p w:rsidR="00683CF6" w:rsidRPr="000D6527" w:rsidRDefault="00683CF6" w:rsidP="00683CF6">
      <w:pPr>
        <w:ind w:left="1134"/>
      </w:pPr>
      <w:r w:rsidRPr="000D6527">
        <w:t>The table of contents included at the start of the first volume should list:</w:t>
      </w:r>
    </w:p>
    <w:p w:rsidR="00683CF6" w:rsidRPr="000D6527" w:rsidRDefault="00683CF6" w:rsidP="00683CF6">
      <w:pPr>
        <w:ind w:left="1418" w:hanging="284"/>
      </w:pPr>
      <w:r w:rsidRPr="000D6527">
        <w:t>•</w:t>
      </w:r>
      <w:r w:rsidRPr="000D6527">
        <w:tab/>
        <w:t>the contents of all volumes showing section headings</w:t>
      </w:r>
    </w:p>
    <w:p w:rsidR="00683CF6" w:rsidRPr="000D6527" w:rsidRDefault="00683CF6" w:rsidP="00683CF6">
      <w:pPr>
        <w:ind w:left="1418" w:hanging="284"/>
      </w:pPr>
      <w:r w:rsidRPr="000D6527">
        <w:t>•</w:t>
      </w:r>
      <w:r w:rsidRPr="000D6527">
        <w:tab/>
        <w:t>all figures, tables, plates, plans, maps and their sequential numbers and scales</w:t>
      </w:r>
    </w:p>
    <w:p w:rsidR="00683CF6" w:rsidRPr="000D6527" w:rsidRDefault="00683CF6" w:rsidP="00683CF6">
      <w:pPr>
        <w:ind w:left="1418" w:hanging="284"/>
      </w:pPr>
      <w:r w:rsidRPr="000D6527">
        <w:t>•</w:t>
      </w:r>
      <w:r w:rsidRPr="000D6527">
        <w:tab/>
        <w:t>all appendixes (with meaningful titling, including sub-appendixes if any). If an appendix contains a collation of basic data - eg. drillhole logs, then a summary of the contents of the appendix must be included at its start</w:t>
      </w:r>
    </w:p>
    <w:p w:rsidR="00683CF6" w:rsidRPr="000D6527" w:rsidRDefault="00683CF6" w:rsidP="00683CF6">
      <w:pPr>
        <w:ind w:left="1418" w:hanging="284"/>
      </w:pPr>
      <w:r w:rsidRPr="000D6527">
        <w:t>•</w:t>
      </w:r>
      <w:r w:rsidRPr="000D6527">
        <w:tab/>
        <w:t>digital files submitted with the report, including their name, file size and file type.</w:t>
      </w:r>
    </w:p>
    <w:p w:rsidR="00683CF6" w:rsidRPr="000D6527" w:rsidRDefault="00683CF6" w:rsidP="00683CF6">
      <w:pPr>
        <w:ind w:left="1134"/>
      </w:pPr>
      <w:r w:rsidRPr="000D6527">
        <w:t>Each subsequent volume to the first must have its own volume contents list.</w:t>
      </w:r>
    </w:p>
    <w:p w:rsidR="00683CF6" w:rsidRPr="000D6527" w:rsidRDefault="00683CF6" w:rsidP="00683CF6">
      <w:pPr>
        <w:ind w:left="1134" w:hanging="425"/>
        <w:rPr>
          <w:b/>
        </w:rPr>
      </w:pPr>
      <w:r w:rsidRPr="000D6527">
        <w:rPr>
          <w:b/>
        </w:rPr>
        <w:t>3.1.3</w:t>
      </w:r>
      <w:r w:rsidRPr="000D6527">
        <w:rPr>
          <w:b/>
        </w:rPr>
        <w:tab/>
        <w:t>Summary of all activities conducted</w:t>
      </w:r>
    </w:p>
    <w:p w:rsidR="00683CF6" w:rsidRPr="000D6527" w:rsidRDefault="00683CF6" w:rsidP="00683CF6">
      <w:pPr>
        <w:ind w:left="1134"/>
      </w:pPr>
      <w:r w:rsidRPr="000D6527">
        <w:t>The summary of activities should include:</w:t>
      </w:r>
    </w:p>
    <w:p w:rsidR="00683CF6" w:rsidRPr="000D6527" w:rsidRDefault="00683CF6" w:rsidP="00683CF6">
      <w:pPr>
        <w:ind w:left="1418" w:hanging="284"/>
      </w:pPr>
      <w:r w:rsidRPr="000D6527">
        <w:t>•</w:t>
      </w:r>
      <w:r w:rsidRPr="000D6527">
        <w:tab/>
        <w:t>a brief outline of target(s) sought and work carried out</w:t>
      </w:r>
    </w:p>
    <w:p w:rsidR="00683CF6" w:rsidRPr="000D6527" w:rsidRDefault="00683CF6" w:rsidP="00683CF6">
      <w:pPr>
        <w:ind w:left="1418" w:hanging="284"/>
      </w:pPr>
      <w:r w:rsidRPr="000D6527">
        <w:t>•</w:t>
      </w:r>
      <w:r w:rsidRPr="000D6527">
        <w:tab/>
        <w:t>a table listing the activities by tenement and the key results. The table should contain details such as the scale of geological mapping; type of sampling, number of samples and elements analysed; type of geophysical survey and number of line kilometres; and type of drilling and number of holes and metres drilled using the table of drilling statistics as below:</w:t>
      </w:r>
    </w:p>
    <w:p w:rsidR="00683CF6" w:rsidRPr="000D6527" w:rsidRDefault="00683CF6" w:rsidP="00683CF6">
      <w:pPr>
        <w:ind w:left="1276"/>
      </w:pPr>
      <w:r w:rsidRPr="000D6527">
        <w:t>Table of Drilling Statistics:</w:t>
      </w:r>
    </w:p>
    <w:p w:rsidR="00683CF6" w:rsidRPr="000D6527" w:rsidRDefault="00683CF6" w:rsidP="00683CF6">
      <w:pPr>
        <w:rPr>
          <w:b/>
        </w:rPr>
      </w:pPr>
      <w:r w:rsidRPr="000D6527">
        <w:rPr>
          <w:b/>
        </w:rPr>
        <w:t>TABLE—Drilling statistics*</w:t>
      </w:r>
    </w:p>
    <w:tbl>
      <w:tblPr>
        <w:tblStyle w:val="TableGrid3"/>
        <w:tblW w:w="5000" w:type="pct"/>
        <w:tblLook w:val="04A0" w:firstRow="1" w:lastRow="0" w:firstColumn="1" w:lastColumn="0" w:noHBand="0" w:noVBand="1"/>
      </w:tblPr>
      <w:tblGrid>
        <w:gridCol w:w="1556"/>
        <w:gridCol w:w="1558"/>
        <w:gridCol w:w="1557"/>
        <w:gridCol w:w="1559"/>
        <w:gridCol w:w="1557"/>
        <w:gridCol w:w="1557"/>
      </w:tblGrid>
      <w:tr w:rsidR="00683CF6" w:rsidRPr="000D6527" w:rsidTr="00046B75">
        <w:trPr>
          <w:trHeight w:val="362"/>
        </w:trPr>
        <w:tc>
          <w:tcPr>
            <w:tcW w:w="833" w:type="pct"/>
            <w:vAlign w:val="center"/>
          </w:tcPr>
          <w:p w:rsidR="00683CF6" w:rsidRPr="000D6527" w:rsidRDefault="00683CF6" w:rsidP="00046B75">
            <w:pPr>
              <w:spacing w:after="0"/>
              <w:jc w:val="center"/>
              <w:rPr>
                <w:b/>
              </w:rPr>
            </w:pPr>
            <w:r w:rsidRPr="000D6527">
              <w:rPr>
                <w:b/>
              </w:rPr>
              <w:t>Cored</w:t>
            </w:r>
          </w:p>
        </w:tc>
        <w:tc>
          <w:tcPr>
            <w:tcW w:w="834" w:type="pct"/>
            <w:vAlign w:val="center"/>
          </w:tcPr>
          <w:p w:rsidR="00683CF6" w:rsidRPr="000D6527" w:rsidRDefault="00683CF6" w:rsidP="00046B75">
            <w:pPr>
              <w:spacing w:after="0"/>
              <w:jc w:val="center"/>
              <w:rPr>
                <w:b/>
              </w:rPr>
            </w:pPr>
          </w:p>
        </w:tc>
        <w:tc>
          <w:tcPr>
            <w:tcW w:w="833" w:type="pct"/>
            <w:vAlign w:val="center"/>
          </w:tcPr>
          <w:p w:rsidR="00683CF6" w:rsidRPr="000D6527" w:rsidRDefault="00683CF6" w:rsidP="00046B75">
            <w:pPr>
              <w:spacing w:after="0"/>
              <w:jc w:val="center"/>
              <w:rPr>
                <w:b/>
              </w:rPr>
            </w:pPr>
            <w:r w:rsidRPr="000D6527">
              <w:rPr>
                <w:b/>
              </w:rPr>
              <w:t>Open (RC)</w:t>
            </w:r>
          </w:p>
        </w:tc>
        <w:tc>
          <w:tcPr>
            <w:tcW w:w="834" w:type="pct"/>
            <w:vAlign w:val="center"/>
          </w:tcPr>
          <w:p w:rsidR="00683CF6" w:rsidRPr="000D6527" w:rsidRDefault="00683CF6" w:rsidP="00046B75">
            <w:pPr>
              <w:spacing w:after="0"/>
              <w:jc w:val="center"/>
              <w:rPr>
                <w:b/>
              </w:rPr>
            </w:pPr>
          </w:p>
        </w:tc>
        <w:tc>
          <w:tcPr>
            <w:tcW w:w="833" w:type="pct"/>
            <w:vAlign w:val="center"/>
          </w:tcPr>
          <w:p w:rsidR="00683CF6" w:rsidRPr="000D6527" w:rsidRDefault="00683CF6" w:rsidP="00046B75">
            <w:pPr>
              <w:spacing w:after="0"/>
              <w:jc w:val="center"/>
              <w:rPr>
                <w:b/>
              </w:rPr>
            </w:pPr>
            <w:r w:rsidRPr="000D6527">
              <w:rPr>
                <w:b/>
              </w:rPr>
              <w:t>Open (other)</w:t>
            </w:r>
          </w:p>
        </w:tc>
        <w:tc>
          <w:tcPr>
            <w:tcW w:w="834" w:type="pct"/>
            <w:vAlign w:val="center"/>
          </w:tcPr>
          <w:p w:rsidR="00683CF6" w:rsidRPr="000D6527" w:rsidRDefault="00683CF6" w:rsidP="00046B75">
            <w:pPr>
              <w:spacing w:after="0"/>
              <w:jc w:val="center"/>
            </w:pPr>
          </w:p>
        </w:tc>
      </w:tr>
      <w:tr w:rsidR="00683CF6" w:rsidRPr="000D6527" w:rsidTr="00046B75">
        <w:trPr>
          <w:trHeight w:val="411"/>
        </w:trPr>
        <w:tc>
          <w:tcPr>
            <w:tcW w:w="833" w:type="pct"/>
            <w:tcBorders>
              <w:bottom w:val="single" w:sz="4" w:space="0" w:color="auto"/>
            </w:tcBorders>
            <w:vAlign w:val="center"/>
          </w:tcPr>
          <w:p w:rsidR="00683CF6" w:rsidRPr="000D6527" w:rsidRDefault="00683CF6" w:rsidP="00046B75">
            <w:pPr>
              <w:spacing w:after="0"/>
              <w:jc w:val="center"/>
            </w:pPr>
            <w:r w:rsidRPr="000D6527">
              <w:t>Number of holes</w:t>
            </w:r>
          </w:p>
        </w:tc>
        <w:tc>
          <w:tcPr>
            <w:tcW w:w="834" w:type="pct"/>
            <w:tcBorders>
              <w:bottom w:val="single" w:sz="4" w:space="0" w:color="auto"/>
            </w:tcBorders>
            <w:vAlign w:val="center"/>
          </w:tcPr>
          <w:p w:rsidR="00683CF6" w:rsidRPr="000D6527" w:rsidRDefault="00683CF6" w:rsidP="00046B75">
            <w:pPr>
              <w:spacing w:after="0"/>
              <w:jc w:val="center"/>
            </w:pPr>
            <w:r w:rsidRPr="000D6527">
              <w:t>Total metres</w:t>
            </w:r>
          </w:p>
        </w:tc>
        <w:tc>
          <w:tcPr>
            <w:tcW w:w="833" w:type="pct"/>
            <w:tcBorders>
              <w:bottom w:val="single" w:sz="4" w:space="0" w:color="auto"/>
            </w:tcBorders>
            <w:vAlign w:val="center"/>
          </w:tcPr>
          <w:p w:rsidR="00683CF6" w:rsidRPr="000D6527" w:rsidRDefault="00683CF6" w:rsidP="00046B75">
            <w:pPr>
              <w:spacing w:after="0"/>
              <w:jc w:val="center"/>
            </w:pPr>
            <w:r w:rsidRPr="000D6527">
              <w:t>Number of holes</w:t>
            </w:r>
          </w:p>
        </w:tc>
        <w:tc>
          <w:tcPr>
            <w:tcW w:w="834" w:type="pct"/>
            <w:tcBorders>
              <w:bottom w:val="single" w:sz="4" w:space="0" w:color="auto"/>
            </w:tcBorders>
            <w:vAlign w:val="center"/>
          </w:tcPr>
          <w:p w:rsidR="00683CF6" w:rsidRPr="000D6527" w:rsidRDefault="00683CF6" w:rsidP="00046B75">
            <w:pPr>
              <w:spacing w:after="0"/>
              <w:jc w:val="center"/>
            </w:pPr>
            <w:r w:rsidRPr="000D6527">
              <w:t>Total metres</w:t>
            </w:r>
          </w:p>
        </w:tc>
        <w:tc>
          <w:tcPr>
            <w:tcW w:w="833" w:type="pct"/>
            <w:tcBorders>
              <w:bottom w:val="single" w:sz="4" w:space="0" w:color="auto"/>
            </w:tcBorders>
            <w:vAlign w:val="center"/>
          </w:tcPr>
          <w:p w:rsidR="00683CF6" w:rsidRPr="000D6527" w:rsidRDefault="00683CF6" w:rsidP="00046B75">
            <w:pPr>
              <w:spacing w:after="0"/>
              <w:jc w:val="center"/>
            </w:pPr>
            <w:r w:rsidRPr="000D6527">
              <w:t>Number of holes</w:t>
            </w:r>
          </w:p>
        </w:tc>
        <w:tc>
          <w:tcPr>
            <w:tcW w:w="834" w:type="pct"/>
            <w:tcBorders>
              <w:bottom w:val="single" w:sz="4" w:space="0" w:color="auto"/>
            </w:tcBorders>
            <w:vAlign w:val="center"/>
          </w:tcPr>
          <w:p w:rsidR="00683CF6" w:rsidRPr="000D6527" w:rsidRDefault="00683CF6" w:rsidP="00046B75">
            <w:pPr>
              <w:spacing w:after="0"/>
              <w:jc w:val="center"/>
            </w:pPr>
            <w:r w:rsidRPr="000D6527">
              <w:t>Total metres</w:t>
            </w:r>
          </w:p>
        </w:tc>
      </w:tr>
      <w:tr w:rsidR="00683CF6" w:rsidRPr="000D6527" w:rsidTr="00046B75">
        <w:trPr>
          <w:trHeight w:val="417"/>
        </w:trPr>
        <w:tc>
          <w:tcPr>
            <w:tcW w:w="833" w:type="pct"/>
            <w:tcBorders>
              <w:bottom w:val="single" w:sz="4" w:space="0" w:color="auto"/>
            </w:tcBorders>
            <w:vAlign w:val="center"/>
          </w:tcPr>
          <w:p w:rsidR="00683CF6" w:rsidRPr="000D6527" w:rsidRDefault="00683CF6" w:rsidP="00046B75">
            <w:pPr>
              <w:spacing w:after="0"/>
              <w:jc w:val="center"/>
            </w:pPr>
          </w:p>
        </w:tc>
        <w:tc>
          <w:tcPr>
            <w:tcW w:w="834" w:type="pct"/>
            <w:tcBorders>
              <w:bottom w:val="single" w:sz="4" w:space="0" w:color="auto"/>
            </w:tcBorders>
            <w:vAlign w:val="center"/>
          </w:tcPr>
          <w:p w:rsidR="00683CF6" w:rsidRPr="000D6527" w:rsidRDefault="00683CF6" w:rsidP="00046B75">
            <w:pPr>
              <w:spacing w:after="0"/>
              <w:jc w:val="center"/>
            </w:pPr>
          </w:p>
        </w:tc>
        <w:tc>
          <w:tcPr>
            <w:tcW w:w="833" w:type="pct"/>
            <w:tcBorders>
              <w:bottom w:val="single" w:sz="4" w:space="0" w:color="auto"/>
            </w:tcBorders>
            <w:vAlign w:val="center"/>
          </w:tcPr>
          <w:p w:rsidR="00683CF6" w:rsidRPr="000D6527" w:rsidRDefault="00683CF6" w:rsidP="00046B75">
            <w:pPr>
              <w:spacing w:after="0"/>
              <w:jc w:val="center"/>
            </w:pPr>
          </w:p>
        </w:tc>
        <w:tc>
          <w:tcPr>
            <w:tcW w:w="834" w:type="pct"/>
            <w:tcBorders>
              <w:bottom w:val="single" w:sz="4" w:space="0" w:color="auto"/>
            </w:tcBorders>
            <w:vAlign w:val="center"/>
          </w:tcPr>
          <w:p w:rsidR="00683CF6" w:rsidRPr="000D6527" w:rsidRDefault="00683CF6" w:rsidP="00046B75">
            <w:pPr>
              <w:spacing w:after="0"/>
              <w:jc w:val="center"/>
            </w:pPr>
          </w:p>
        </w:tc>
        <w:tc>
          <w:tcPr>
            <w:tcW w:w="833" w:type="pct"/>
            <w:tcBorders>
              <w:bottom w:val="single" w:sz="4" w:space="0" w:color="auto"/>
            </w:tcBorders>
            <w:vAlign w:val="center"/>
          </w:tcPr>
          <w:p w:rsidR="00683CF6" w:rsidRPr="000D6527" w:rsidRDefault="00683CF6" w:rsidP="00046B75">
            <w:pPr>
              <w:spacing w:after="0"/>
              <w:jc w:val="center"/>
            </w:pPr>
          </w:p>
        </w:tc>
        <w:tc>
          <w:tcPr>
            <w:tcW w:w="834" w:type="pct"/>
            <w:tcBorders>
              <w:bottom w:val="single" w:sz="4" w:space="0" w:color="auto"/>
            </w:tcBorders>
            <w:vAlign w:val="center"/>
          </w:tcPr>
          <w:p w:rsidR="00683CF6" w:rsidRPr="000D6527" w:rsidRDefault="00683CF6" w:rsidP="00046B75">
            <w:pPr>
              <w:spacing w:after="0"/>
              <w:jc w:val="center"/>
            </w:pPr>
          </w:p>
        </w:tc>
      </w:tr>
      <w:tr w:rsidR="00683CF6" w:rsidRPr="000D6527" w:rsidTr="00046B75">
        <w:tc>
          <w:tcPr>
            <w:tcW w:w="833" w:type="pct"/>
            <w:tcBorders>
              <w:top w:val="single" w:sz="4" w:space="0" w:color="auto"/>
              <w:left w:val="nil"/>
              <w:bottom w:val="nil"/>
              <w:right w:val="nil"/>
            </w:tcBorders>
            <w:vAlign w:val="center"/>
          </w:tcPr>
          <w:p w:rsidR="00683CF6" w:rsidRPr="000D6527" w:rsidRDefault="00683CF6" w:rsidP="00046B75">
            <w:pPr>
              <w:spacing w:after="0"/>
              <w:jc w:val="center"/>
            </w:pPr>
          </w:p>
        </w:tc>
        <w:tc>
          <w:tcPr>
            <w:tcW w:w="834" w:type="pct"/>
            <w:tcBorders>
              <w:top w:val="single" w:sz="4" w:space="0" w:color="auto"/>
              <w:left w:val="nil"/>
              <w:bottom w:val="nil"/>
              <w:right w:val="nil"/>
            </w:tcBorders>
            <w:vAlign w:val="center"/>
          </w:tcPr>
          <w:p w:rsidR="00683CF6" w:rsidRPr="000D6527" w:rsidRDefault="00683CF6" w:rsidP="00046B75">
            <w:pPr>
              <w:spacing w:after="0"/>
              <w:jc w:val="center"/>
            </w:pPr>
          </w:p>
        </w:tc>
        <w:tc>
          <w:tcPr>
            <w:tcW w:w="833" w:type="pct"/>
            <w:tcBorders>
              <w:top w:val="single" w:sz="4" w:space="0" w:color="auto"/>
              <w:left w:val="nil"/>
              <w:bottom w:val="nil"/>
              <w:right w:val="nil"/>
            </w:tcBorders>
            <w:vAlign w:val="center"/>
          </w:tcPr>
          <w:p w:rsidR="00683CF6" w:rsidRPr="000D6527" w:rsidRDefault="00683CF6" w:rsidP="00046B75">
            <w:pPr>
              <w:spacing w:after="0"/>
              <w:jc w:val="center"/>
            </w:pPr>
          </w:p>
        </w:tc>
        <w:tc>
          <w:tcPr>
            <w:tcW w:w="834" w:type="pct"/>
            <w:tcBorders>
              <w:top w:val="single" w:sz="4" w:space="0" w:color="auto"/>
              <w:left w:val="nil"/>
              <w:bottom w:val="nil"/>
              <w:right w:val="nil"/>
            </w:tcBorders>
            <w:vAlign w:val="center"/>
          </w:tcPr>
          <w:p w:rsidR="00683CF6" w:rsidRPr="000D6527" w:rsidRDefault="00683CF6" w:rsidP="00046B75">
            <w:pPr>
              <w:spacing w:after="0"/>
              <w:jc w:val="center"/>
            </w:pPr>
          </w:p>
        </w:tc>
        <w:tc>
          <w:tcPr>
            <w:tcW w:w="833" w:type="pct"/>
            <w:tcBorders>
              <w:top w:val="single" w:sz="4" w:space="0" w:color="auto"/>
              <w:left w:val="nil"/>
              <w:bottom w:val="nil"/>
              <w:right w:val="nil"/>
            </w:tcBorders>
            <w:vAlign w:val="center"/>
          </w:tcPr>
          <w:p w:rsidR="00683CF6" w:rsidRPr="000D6527" w:rsidRDefault="00683CF6" w:rsidP="00046B75">
            <w:pPr>
              <w:spacing w:after="0"/>
              <w:jc w:val="center"/>
            </w:pPr>
          </w:p>
        </w:tc>
        <w:tc>
          <w:tcPr>
            <w:tcW w:w="834" w:type="pct"/>
            <w:tcBorders>
              <w:top w:val="single" w:sz="4" w:space="0" w:color="auto"/>
              <w:left w:val="nil"/>
              <w:bottom w:val="nil"/>
              <w:right w:val="nil"/>
            </w:tcBorders>
            <w:vAlign w:val="center"/>
          </w:tcPr>
          <w:p w:rsidR="00683CF6" w:rsidRPr="000D6527" w:rsidRDefault="00683CF6" w:rsidP="00046B75">
            <w:pPr>
              <w:spacing w:after="0"/>
              <w:jc w:val="center"/>
            </w:pPr>
          </w:p>
        </w:tc>
      </w:tr>
    </w:tbl>
    <w:p w:rsidR="00683CF6" w:rsidRPr="000D6527" w:rsidRDefault="00683CF6" w:rsidP="00683CF6">
      <w:r w:rsidRPr="000D6527">
        <w:t>*If more than one type of drilling occurred for a hole, please add the total metres for each type in the appropriate columns above. In such cases the ‘number of holes’ should be allocated to the drilling type column accounting for the majority of metres drilled.</w:t>
      </w:r>
    </w:p>
    <w:p w:rsidR="00683CF6" w:rsidRPr="000D6527" w:rsidRDefault="00683CF6" w:rsidP="00683CF6">
      <w:pPr>
        <w:ind w:left="1418" w:hanging="284"/>
      </w:pPr>
      <w:r w:rsidRPr="000D6527">
        <w:t>•</w:t>
      </w:r>
      <w:r w:rsidRPr="000D6527">
        <w:tab/>
        <w:t>Expenditure. The summary should also include the total expenditure for the reporting period and a detailed expenditure using the table below.</w:t>
      </w:r>
    </w:p>
    <w:p w:rsidR="00683CF6" w:rsidRPr="000D6527" w:rsidRDefault="00683CF6" w:rsidP="00683CF6">
      <w:pPr>
        <w:ind w:left="1418"/>
      </w:pPr>
      <w:r w:rsidRPr="000D6527">
        <w:t>Table of detailed expenditure:</w:t>
      </w:r>
    </w:p>
    <w:tbl>
      <w:tblPr>
        <w:tblStyle w:val="TableGrid3"/>
        <w:tblW w:w="0" w:type="auto"/>
        <w:tblLook w:val="04A0" w:firstRow="1" w:lastRow="0" w:firstColumn="1" w:lastColumn="0" w:noHBand="0" w:noVBand="1"/>
      </w:tblPr>
      <w:tblGrid>
        <w:gridCol w:w="2335"/>
        <w:gridCol w:w="2336"/>
        <w:gridCol w:w="2337"/>
        <w:gridCol w:w="2336"/>
      </w:tblGrid>
      <w:tr w:rsidR="00683CF6" w:rsidRPr="000D6527" w:rsidTr="00046B75">
        <w:trPr>
          <w:trHeight w:val="363"/>
          <w:tblHeader/>
        </w:trPr>
        <w:tc>
          <w:tcPr>
            <w:tcW w:w="2337" w:type="dxa"/>
            <w:tcBorders>
              <w:bottom w:val="single" w:sz="4" w:space="0" w:color="auto"/>
            </w:tcBorders>
            <w:vAlign w:val="center"/>
          </w:tcPr>
          <w:p w:rsidR="00683CF6" w:rsidRPr="000D6527" w:rsidRDefault="00683CF6" w:rsidP="00046B75">
            <w:pPr>
              <w:spacing w:after="0"/>
              <w:jc w:val="center"/>
              <w:rPr>
                <w:b/>
              </w:rPr>
            </w:pPr>
            <w:r w:rsidRPr="000D6527">
              <w:rPr>
                <w:b/>
              </w:rPr>
              <w:t>Group</w:t>
            </w:r>
          </w:p>
        </w:tc>
        <w:tc>
          <w:tcPr>
            <w:tcW w:w="2337" w:type="dxa"/>
            <w:tcBorders>
              <w:bottom w:val="single" w:sz="4" w:space="0" w:color="auto"/>
            </w:tcBorders>
            <w:vAlign w:val="center"/>
          </w:tcPr>
          <w:p w:rsidR="00683CF6" w:rsidRPr="000D6527" w:rsidRDefault="00683CF6" w:rsidP="00046B75">
            <w:pPr>
              <w:spacing w:after="0"/>
              <w:jc w:val="center"/>
              <w:rPr>
                <w:b/>
              </w:rPr>
            </w:pPr>
            <w:r w:rsidRPr="000D6527">
              <w:rPr>
                <w:b/>
              </w:rPr>
              <w:t>Item</w:t>
            </w:r>
          </w:p>
        </w:tc>
        <w:tc>
          <w:tcPr>
            <w:tcW w:w="2338" w:type="dxa"/>
            <w:tcBorders>
              <w:bottom w:val="single" w:sz="4" w:space="0" w:color="auto"/>
            </w:tcBorders>
            <w:vAlign w:val="center"/>
          </w:tcPr>
          <w:p w:rsidR="00683CF6" w:rsidRPr="000D6527" w:rsidRDefault="00683CF6" w:rsidP="00046B75">
            <w:pPr>
              <w:spacing w:after="0"/>
              <w:jc w:val="center"/>
              <w:rPr>
                <w:b/>
              </w:rPr>
            </w:pPr>
            <w:r w:rsidRPr="000D6527">
              <w:rPr>
                <w:b/>
              </w:rPr>
              <w:t>Detail</w:t>
            </w:r>
          </w:p>
        </w:tc>
        <w:tc>
          <w:tcPr>
            <w:tcW w:w="2338" w:type="dxa"/>
            <w:tcBorders>
              <w:bottom w:val="single" w:sz="4" w:space="0" w:color="auto"/>
            </w:tcBorders>
            <w:vAlign w:val="center"/>
          </w:tcPr>
          <w:p w:rsidR="00683CF6" w:rsidRPr="000D6527" w:rsidRDefault="00683CF6" w:rsidP="00046B75">
            <w:pPr>
              <w:spacing w:after="0"/>
              <w:jc w:val="center"/>
              <w:rPr>
                <w:b/>
              </w:rPr>
            </w:pPr>
            <w:r w:rsidRPr="000D6527">
              <w:rPr>
                <w:b/>
              </w:rPr>
              <w:t>Cost</w:t>
            </w:r>
          </w:p>
        </w:tc>
      </w:tr>
      <w:tr w:rsidR="00683CF6" w:rsidRPr="000D6527" w:rsidTr="00046B75">
        <w:trPr>
          <w:trHeight w:val="363"/>
        </w:trPr>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Management</w:t>
            </w:r>
          </w:p>
        </w:tc>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4C79E3">
            <w:pPr>
              <w:spacing w:before="40" w:after="40"/>
              <w:jc w:val="left"/>
            </w:pPr>
            <w:r w:rsidRPr="000D6527">
              <w:t>Tenement mgt and reporting</w:t>
            </w: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w:t>
            </w:r>
          </w:p>
        </w:tc>
      </w:tr>
      <w:tr w:rsidR="00683CF6" w:rsidRPr="000D6527" w:rsidTr="00046B75">
        <w:trPr>
          <w:trHeight w:val="363"/>
        </w:trPr>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4C79E3">
            <w:pPr>
              <w:spacing w:before="40" w:after="40"/>
              <w:jc w:val="left"/>
            </w:pPr>
            <w:r w:rsidRPr="000D6527">
              <w:t>Statutory fees</w:t>
            </w: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w:t>
            </w:r>
          </w:p>
        </w:tc>
      </w:tr>
      <w:tr w:rsidR="00683CF6" w:rsidRPr="000D6527" w:rsidTr="00046B75">
        <w:trPr>
          <w:trHeight w:val="363"/>
        </w:trPr>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Logistics</w:t>
            </w:r>
          </w:p>
        </w:tc>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4C79E3">
            <w:pPr>
              <w:spacing w:before="40" w:after="40"/>
              <w:jc w:val="left"/>
            </w:pPr>
            <w:r w:rsidRPr="000D6527">
              <w:t>Food, accommodation and travel</w:t>
            </w: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w:t>
            </w:r>
          </w:p>
        </w:tc>
      </w:tr>
      <w:tr w:rsidR="00683CF6" w:rsidRPr="000D6527" w:rsidTr="00046B75">
        <w:trPr>
          <w:trHeight w:val="363"/>
        </w:trPr>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4C79E3">
            <w:pPr>
              <w:spacing w:before="40" w:after="40"/>
              <w:jc w:val="left"/>
            </w:pPr>
            <w:r w:rsidRPr="000D6527">
              <w:t>Vehicle costs</w:t>
            </w: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w:t>
            </w:r>
          </w:p>
        </w:tc>
      </w:tr>
      <w:tr w:rsidR="00683CF6" w:rsidRPr="000D6527" w:rsidTr="00046B75">
        <w:trPr>
          <w:trHeight w:val="363"/>
        </w:trPr>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4C79E3">
            <w:pPr>
              <w:spacing w:before="40" w:after="40"/>
              <w:jc w:val="left"/>
            </w:pPr>
            <w:r w:rsidRPr="000D6527">
              <w:t>Salaries</w:t>
            </w: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Employees</w:t>
            </w: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w:t>
            </w:r>
          </w:p>
        </w:tc>
      </w:tr>
      <w:tr w:rsidR="00683CF6" w:rsidRPr="000D6527" w:rsidTr="00046B75">
        <w:trPr>
          <w:trHeight w:val="363"/>
        </w:trPr>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4C79E3">
            <w:pPr>
              <w:spacing w:before="40" w:after="40"/>
              <w:jc w:val="left"/>
            </w:pP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Consultants and contractors</w:t>
            </w: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w:t>
            </w:r>
          </w:p>
        </w:tc>
      </w:tr>
      <w:tr w:rsidR="00683CF6" w:rsidRPr="000D6527" w:rsidTr="00046B75">
        <w:trPr>
          <w:trHeight w:val="363"/>
        </w:trPr>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4C79E3">
            <w:pPr>
              <w:spacing w:before="40" w:after="40"/>
              <w:jc w:val="left"/>
            </w:pPr>
            <w:r w:rsidRPr="000D6527">
              <w:t>Insurance</w:t>
            </w: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(pro-rata across all projects)</w:t>
            </w: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w:t>
            </w:r>
          </w:p>
        </w:tc>
      </w:tr>
      <w:tr w:rsidR="00683CF6" w:rsidRPr="000D6527" w:rsidTr="00046B75">
        <w:trPr>
          <w:trHeight w:val="363"/>
        </w:trPr>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4C79E3">
            <w:pPr>
              <w:spacing w:before="40" w:after="40"/>
              <w:jc w:val="left"/>
            </w:pPr>
            <w:r w:rsidRPr="000D6527">
              <w:t>Data review</w:t>
            </w: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w:t>
            </w:r>
          </w:p>
        </w:tc>
      </w:tr>
      <w:tr w:rsidR="00683CF6" w:rsidRPr="000D6527" w:rsidTr="00046B75">
        <w:trPr>
          <w:trHeight w:val="363"/>
        </w:trPr>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Geological</w:t>
            </w:r>
          </w:p>
        </w:tc>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4C79E3">
            <w:pPr>
              <w:spacing w:before="40" w:after="40"/>
              <w:jc w:val="left"/>
            </w:pPr>
            <w:r w:rsidRPr="000D6527">
              <w:t>Mapping</w:t>
            </w: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Geological, structural, etc.</w:t>
            </w: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w:t>
            </w:r>
          </w:p>
        </w:tc>
      </w:tr>
      <w:tr w:rsidR="00683CF6" w:rsidRPr="000D6527" w:rsidTr="00046B75">
        <w:trPr>
          <w:trHeight w:val="363"/>
        </w:trPr>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4C79E3">
            <w:pPr>
              <w:spacing w:before="40" w:after="40"/>
              <w:jc w:val="left"/>
            </w:pPr>
            <w:r w:rsidRPr="000D6527">
              <w:t>Geochemistry</w:t>
            </w: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Rock chip sampling</w:t>
            </w: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w:t>
            </w:r>
          </w:p>
        </w:tc>
      </w:tr>
      <w:tr w:rsidR="00683CF6" w:rsidRPr="000D6527" w:rsidTr="00046B75">
        <w:trPr>
          <w:trHeight w:val="363"/>
        </w:trPr>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Soil/calcrete sampling</w:t>
            </w: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w:t>
            </w:r>
          </w:p>
        </w:tc>
      </w:tr>
      <w:tr w:rsidR="00683CF6" w:rsidRPr="000D6527" w:rsidTr="00046B75">
        <w:trPr>
          <w:trHeight w:val="363"/>
        </w:trPr>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Biogeochemistry</w:t>
            </w: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w:t>
            </w:r>
          </w:p>
        </w:tc>
      </w:tr>
      <w:tr w:rsidR="00683CF6" w:rsidRPr="000D6527" w:rsidTr="00046B75">
        <w:trPr>
          <w:trHeight w:val="363"/>
        </w:trPr>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Other:</w:t>
            </w: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w:t>
            </w:r>
          </w:p>
        </w:tc>
      </w:tr>
      <w:tr w:rsidR="00683CF6" w:rsidRPr="000D6527" w:rsidTr="00046B75">
        <w:trPr>
          <w:trHeight w:val="363"/>
        </w:trPr>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4C79E3">
            <w:pPr>
              <w:spacing w:before="40" w:after="40"/>
              <w:jc w:val="left"/>
            </w:pPr>
            <w:r w:rsidRPr="000D6527">
              <w:t>Geophysics</w:t>
            </w:r>
          </w:p>
          <w:p w:rsidR="00683CF6" w:rsidRPr="000D6527" w:rsidRDefault="00683CF6" w:rsidP="004C79E3">
            <w:pPr>
              <w:spacing w:before="40" w:after="40"/>
              <w:jc w:val="left"/>
            </w:pPr>
            <w:r w:rsidRPr="000D6527">
              <w:t xml:space="preserve">(Where applicable, please indicate if conducted by air </w:t>
            </w:r>
            <w:r w:rsidRPr="000D6527">
              <w:br/>
              <w:t>or ground)</w:t>
            </w: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Magnetic (air/ground)</w:t>
            </w: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w:t>
            </w:r>
          </w:p>
        </w:tc>
      </w:tr>
      <w:tr w:rsidR="00683CF6" w:rsidRPr="000D6527" w:rsidTr="00046B75">
        <w:trPr>
          <w:trHeight w:val="363"/>
        </w:trPr>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Radiometric (air/ground)</w:t>
            </w: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w:t>
            </w:r>
          </w:p>
        </w:tc>
      </w:tr>
      <w:tr w:rsidR="00683CF6" w:rsidRPr="000D6527" w:rsidTr="00046B75">
        <w:trPr>
          <w:trHeight w:val="363"/>
        </w:trPr>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Gravity (air/ground)</w:t>
            </w: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w:t>
            </w:r>
          </w:p>
        </w:tc>
      </w:tr>
      <w:tr w:rsidR="00683CF6" w:rsidRPr="000D6527" w:rsidTr="00046B75">
        <w:trPr>
          <w:trHeight w:val="363"/>
        </w:trPr>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Electromagnetic (air/ground)</w:t>
            </w: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w:t>
            </w:r>
          </w:p>
        </w:tc>
      </w:tr>
      <w:tr w:rsidR="00683CF6" w:rsidRPr="000D6527" w:rsidTr="00046B75">
        <w:trPr>
          <w:trHeight w:val="363"/>
        </w:trPr>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Induced polarisation (air/ground)</w:t>
            </w: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w:t>
            </w:r>
          </w:p>
        </w:tc>
      </w:tr>
      <w:tr w:rsidR="00683CF6" w:rsidRPr="000D6527" w:rsidTr="00046B75">
        <w:trPr>
          <w:trHeight w:val="363"/>
        </w:trPr>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Magnetotelluric (air/ground)</w:t>
            </w: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w:t>
            </w:r>
          </w:p>
        </w:tc>
      </w:tr>
      <w:tr w:rsidR="00683CF6" w:rsidRPr="000D6527" w:rsidTr="00046B75">
        <w:trPr>
          <w:trHeight w:val="363"/>
        </w:trPr>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Seismic</w:t>
            </w: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w:t>
            </w:r>
          </w:p>
        </w:tc>
      </w:tr>
      <w:tr w:rsidR="00683CF6" w:rsidRPr="000D6527" w:rsidTr="00046B75">
        <w:trPr>
          <w:trHeight w:val="363"/>
        </w:trPr>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Other:</w:t>
            </w: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w:t>
            </w:r>
          </w:p>
        </w:tc>
      </w:tr>
      <w:tr w:rsidR="00683CF6" w:rsidRPr="000D6527" w:rsidTr="00046B75">
        <w:trPr>
          <w:trHeight w:val="363"/>
        </w:trPr>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Drilling</w:t>
            </w: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Auger</w:t>
            </w: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w:t>
            </w:r>
          </w:p>
        </w:tc>
      </w:tr>
      <w:tr w:rsidR="00683CF6" w:rsidRPr="000D6527" w:rsidTr="00046B75">
        <w:trPr>
          <w:trHeight w:val="363"/>
        </w:trPr>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RAB</w:t>
            </w: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w:t>
            </w:r>
          </w:p>
        </w:tc>
      </w:tr>
      <w:tr w:rsidR="00683CF6" w:rsidRPr="000D6527" w:rsidTr="00046B75">
        <w:trPr>
          <w:trHeight w:val="363"/>
        </w:trPr>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Air core</w:t>
            </w: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w:t>
            </w:r>
          </w:p>
        </w:tc>
      </w:tr>
      <w:tr w:rsidR="00683CF6" w:rsidRPr="000D6527" w:rsidTr="00046B75">
        <w:trPr>
          <w:trHeight w:val="363"/>
        </w:trPr>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Sonic</w:t>
            </w: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w:t>
            </w:r>
          </w:p>
        </w:tc>
      </w:tr>
      <w:tr w:rsidR="00683CF6" w:rsidRPr="000D6527" w:rsidTr="00046B75">
        <w:trPr>
          <w:trHeight w:val="363"/>
        </w:trPr>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Rotary mud</w:t>
            </w: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w:t>
            </w:r>
          </w:p>
        </w:tc>
      </w:tr>
      <w:tr w:rsidR="00683CF6" w:rsidRPr="000D6527" w:rsidTr="00046B75">
        <w:trPr>
          <w:trHeight w:val="363"/>
        </w:trPr>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RC</w:t>
            </w: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w:t>
            </w:r>
          </w:p>
        </w:tc>
      </w:tr>
      <w:tr w:rsidR="00683CF6" w:rsidRPr="000D6527" w:rsidTr="00046B75">
        <w:trPr>
          <w:trHeight w:val="363"/>
        </w:trPr>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Diamond</w:t>
            </w: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w:t>
            </w:r>
          </w:p>
        </w:tc>
      </w:tr>
      <w:tr w:rsidR="00683CF6" w:rsidRPr="000D6527" w:rsidTr="00046B75">
        <w:trPr>
          <w:trHeight w:val="363"/>
        </w:trPr>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Other:</w:t>
            </w: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w:t>
            </w:r>
          </w:p>
        </w:tc>
      </w:tr>
      <w:tr w:rsidR="00683CF6" w:rsidRPr="000D6527" w:rsidTr="00046B75">
        <w:trPr>
          <w:trHeight w:val="363"/>
        </w:trPr>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rPr>
                <w:b/>
              </w:rPr>
            </w:pPr>
            <w:r w:rsidRPr="000D6527">
              <w:rPr>
                <w:b/>
              </w:rPr>
              <w:t>Remote sensing</w:t>
            </w: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Landsat</w:t>
            </w: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w:t>
            </w:r>
          </w:p>
        </w:tc>
      </w:tr>
      <w:tr w:rsidR="00683CF6" w:rsidRPr="000D6527" w:rsidTr="00046B75">
        <w:trPr>
          <w:trHeight w:val="363"/>
        </w:trPr>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ASTER/multispectral</w:t>
            </w: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w:t>
            </w:r>
          </w:p>
        </w:tc>
      </w:tr>
      <w:tr w:rsidR="00683CF6" w:rsidRPr="000D6527" w:rsidTr="00046B75">
        <w:trPr>
          <w:trHeight w:val="363"/>
        </w:trPr>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Aerial photography and DTM</w:t>
            </w: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w:t>
            </w:r>
          </w:p>
        </w:tc>
      </w:tr>
      <w:tr w:rsidR="00683CF6" w:rsidRPr="000D6527" w:rsidTr="00046B75">
        <w:trPr>
          <w:trHeight w:val="363"/>
        </w:trPr>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Other:</w:t>
            </w: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w:t>
            </w:r>
          </w:p>
        </w:tc>
      </w:tr>
      <w:tr w:rsidR="00683CF6" w:rsidRPr="000D6527" w:rsidTr="00046B75">
        <w:trPr>
          <w:trHeight w:val="363"/>
        </w:trPr>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rPr>
                <w:b/>
              </w:rPr>
            </w:pPr>
            <w:r w:rsidRPr="000D6527">
              <w:rPr>
                <w:b/>
              </w:rPr>
              <w:t>Technical studies</w:t>
            </w: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Hydrogeology</w:t>
            </w: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w:t>
            </w:r>
          </w:p>
        </w:tc>
      </w:tr>
      <w:tr w:rsidR="00683CF6" w:rsidRPr="000D6527" w:rsidTr="00046B75">
        <w:trPr>
          <w:trHeight w:val="363"/>
        </w:trPr>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Geotechnical</w:t>
            </w: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w:t>
            </w:r>
          </w:p>
        </w:tc>
      </w:tr>
      <w:tr w:rsidR="00683CF6" w:rsidRPr="000D6527" w:rsidTr="00046B75">
        <w:trPr>
          <w:trHeight w:val="363"/>
        </w:trPr>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Petrology</w:t>
            </w: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w:t>
            </w:r>
          </w:p>
        </w:tc>
      </w:tr>
      <w:tr w:rsidR="00683CF6" w:rsidRPr="000D6527" w:rsidTr="00046B75">
        <w:trPr>
          <w:trHeight w:val="363"/>
        </w:trPr>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rPr>
                <w:b/>
              </w:rPr>
            </w:pPr>
            <w:r w:rsidRPr="000D6527">
              <w:rPr>
                <w:b/>
              </w:rPr>
              <w:t>Survey</w:t>
            </w: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Downhole (gyro/density/etc.)</w:t>
            </w: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w:t>
            </w:r>
          </w:p>
        </w:tc>
      </w:tr>
      <w:tr w:rsidR="00683CF6" w:rsidRPr="000D6527" w:rsidTr="00046B75">
        <w:trPr>
          <w:trHeight w:val="363"/>
        </w:trPr>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Surface locations</w:t>
            </w: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w:t>
            </w:r>
          </w:p>
        </w:tc>
      </w:tr>
      <w:tr w:rsidR="00683CF6" w:rsidRPr="000D6527" w:rsidTr="00046B75">
        <w:trPr>
          <w:trHeight w:val="363"/>
        </w:trPr>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rPr>
                <w:b/>
              </w:rPr>
            </w:pPr>
            <w:r w:rsidRPr="000D6527">
              <w:rPr>
                <w:b/>
              </w:rPr>
              <w:t>Other</w:t>
            </w: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Trench/costean</w:t>
            </w: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w:t>
            </w:r>
          </w:p>
        </w:tc>
      </w:tr>
      <w:tr w:rsidR="00683CF6" w:rsidRPr="000D6527" w:rsidTr="00046B75">
        <w:trPr>
          <w:trHeight w:val="363"/>
        </w:trPr>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Site preparation</w:t>
            </w: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w:t>
            </w:r>
          </w:p>
        </w:tc>
      </w:tr>
      <w:tr w:rsidR="00683CF6" w:rsidRPr="000D6527" w:rsidTr="00046B75">
        <w:trPr>
          <w:trHeight w:val="363"/>
        </w:trPr>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Rehabilitation</w:t>
            </w: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w:t>
            </w:r>
          </w:p>
        </w:tc>
      </w:tr>
      <w:tr w:rsidR="00683CF6" w:rsidRPr="000D6527" w:rsidTr="00046B75">
        <w:trPr>
          <w:trHeight w:val="363"/>
        </w:trPr>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Sample assays</w:t>
            </w: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w:t>
            </w:r>
          </w:p>
        </w:tc>
      </w:tr>
      <w:tr w:rsidR="00683CF6" w:rsidRPr="000D6527" w:rsidTr="00046B75">
        <w:trPr>
          <w:trHeight w:val="363"/>
        </w:trPr>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Land access</w:t>
            </w:r>
          </w:p>
        </w:tc>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Native title negotiations</w:t>
            </w: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w:t>
            </w:r>
          </w:p>
        </w:tc>
      </w:tr>
      <w:tr w:rsidR="00683CF6" w:rsidRPr="000D6527" w:rsidTr="00046B75">
        <w:trPr>
          <w:trHeight w:val="363"/>
        </w:trPr>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Aboriginal heritage survey</w:t>
            </w: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w:t>
            </w:r>
          </w:p>
        </w:tc>
      </w:tr>
      <w:tr w:rsidR="00683CF6" w:rsidRPr="000D6527" w:rsidTr="00046B75">
        <w:trPr>
          <w:trHeight w:val="363"/>
        </w:trPr>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Environmental survey</w:t>
            </w: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w:t>
            </w:r>
          </w:p>
        </w:tc>
      </w:tr>
      <w:tr w:rsidR="00683CF6" w:rsidRPr="000D6527" w:rsidTr="00046B75">
        <w:trPr>
          <w:trHeight w:val="363"/>
        </w:trPr>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Landowner negotiations</w:t>
            </w: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w:t>
            </w:r>
          </w:p>
        </w:tc>
      </w:tr>
      <w:tr w:rsidR="00683CF6" w:rsidRPr="000D6527" w:rsidTr="00046B75">
        <w:trPr>
          <w:trHeight w:val="363"/>
        </w:trPr>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Compensation payments</w:t>
            </w: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w:t>
            </w:r>
          </w:p>
        </w:tc>
      </w:tr>
      <w:tr w:rsidR="00683CF6" w:rsidRPr="000D6527" w:rsidTr="00046B75">
        <w:trPr>
          <w:trHeight w:val="363"/>
        </w:trPr>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Project studies and research</w:t>
            </w:r>
          </w:p>
        </w:tc>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Project development studies</w:t>
            </w: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Scoping study</w:t>
            </w: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w:t>
            </w:r>
          </w:p>
        </w:tc>
      </w:tr>
      <w:tr w:rsidR="00683CF6" w:rsidRPr="000D6527" w:rsidTr="00046B75">
        <w:trPr>
          <w:trHeight w:val="363"/>
        </w:trPr>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Prefeasibility study</w:t>
            </w: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w:t>
            </w:r>
          </w:p>
        </w:tc>
      </w:tr>
      <w:tr w:rsidR="00683CF6" w:rsidRPr="000D6527" w:rsidTr="00046B75">
        <w:trPr>
          <w:trHeight w:val="363"/>
        </w:trPr>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Feasibility study</w:t>
            </w: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w:t>
            </w:r>
          </w:p>
        </w:tc>
      </w:tr>
      <w:tr w:rsidR="00683CF6" w:rsidRPr="000D6527" w:rsidTr="00046B75">
        <w:trPr>
          <w:trHeight w:val="363"/>
        </w:trPr>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University research project</w:t>
            </w: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w:t>
            </w:r>
          </w:p>
        </w:tc>
      </w:tr>
      <w:tr w:rsidR="00683CF6" w:rsidRPr="000D6527" w:rsidTr="00046B75">
        <w:trPr>
          <w:trHeight w:val="363"/>
        </w:trPr>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Other</w:t>
            </w:r>
          </w:p>
        </w:tc>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(Please justify below)</w:t>
            </w: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Item:</w:t>
            </w: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w:t>
            </w:r>
          </w:p>
        </w:tc>
      </w:tr>
      <w:tr w:rsidR="00683CF6" w:rsidRPr="000D6527" w:rsidTr="00046B75">
        <w:trPr>
          <w:trHeight w:val="363"/>
        </w:trPr>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Item:</w:t>
            </w: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pPr>
            <w:r w:rsidRPr="000D6527">
              <w:t>$</w:t>
            </w:r>
          </w:p>
        </w:tc>
      </w:tr>
      <w:tr w:rsidR="00683CF6" w:rsidRPr="000D6527" w:rsidTr="00046B75">
        <w:trPr>
          <w:trHeight w:val="363"/>
        </w:trPr>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rPr>
                <w:b/>
              </w:rPr>
            </w:pPr>
            <w:r w:rsidRPr="000D6527">
              <w:rPr>
                <w:b/>
              </w:rPr>
              <w:t>Subtotal</w:t>
            </w:r>
          </w:p>
        </w:tc>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rPr>
                <w:b/>
              </w:rPr>
            </w:pP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rPr>
                <w:b/>
              </w:rPr>
            </w:pP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rPr>
                <w:b/>
              </w:rPr>
            </w:pPr>
            <w:r w:rsidRPr="000D6527">
              <w:rPr>
                <w:b/>
              </w:rPr>
              <w:t>$</w:t>
            </w:r>
          </w:p>
        </w:tc>
      </w:tr>
      <w:tr w:rsidR="00683CF6" w:rsidRPr="000D6527" w:rsidTr="00046B75">
        <w:trPr>
          <w:trHeight w:val="363"/>
        </w:trPr>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rPr>
                <w:b/>
              </w:rPr>
            </w:pPr>
            <w:r w:rsidRPr="000D6527">
              <w:rPr>
                <w:b/>
              </w:rPr>
              <w:t>Administration</w:t>
            </w:r>
          </w:p>
        </w:tc>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rPr>
                <w:b/>
              </w:rPr>
            </w:pP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rPr>
                <w:b/>
              </w:rPr>
            </w:pPr>
            <w:r w:rsidRPr="000D6527">
              <w:rPr>
                <w:b/>
              </w:rPr>
              <w:t>10% of subtotal</w:t>
            </w: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after="40"/>
              <w:rPr>
                <w:b/>
              </w:rPr>
            </w:pPr>
            <w:r w:rsidRPr="000D6527">
              <w:rPr>
                <w:b/>
              </w:rPr>
              <w:t>$</w:t>
            </w:r>
          </w:p>
        </w:tc>
      </w:tr>
      <w:tr w:rsidR="00683CF6" w:rsidRPr="000D6527" w:rsidTr="00046B75">
        <w:trPr>
          <w:trHeight w:val="363"/>
        </w:trPr>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rPr>
                <w:b/>
              </w:rPr>
            </w:pPr>
            <w:r w:rsidRPr="000D6527">
              <w:rPr>
                <w:b/>
              </w:rPr>
              <w:t>Total</w:t>
            </w:r>
          </w:p>
        </w:tc>
        <w:tc>
          <w:tcPr>
            <w:tcW w:w="2337"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rPr>
                <w:b/>
              </w:rPr>
            </w:pP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rPr>
                <w:b/>
              </w:rPr>
            </w:pPr>
          </w:p>
        </w:tc>
        <w:tc>
          <w:tcPr>
            <w:tcW w:w="2338" w:type="dxa"/>
            <w:tcBorders>
              <w:top w:val="single" w:sz="4" w:space="0" w:color="auto"/>
              <w:left w:val="single" w:sz="4" w:space="0" w:color="auto"/>
              <w:bottom w:val="single" w:sz="4" w:space="0" w:color="auto"/>
              <w:right w:val="single" w:sz="4" w:space="0" w:color="auto"/>
            </w:tcBorders>
          </w:tcPr>
          <w:p w:rsidR="00683CF6" w:rsidRPr="000D6527" w:rsidRDefault="00683CF6" w:rsidP="00046B75">
            <w:pPr>
              <w:spacing w:before="40"/>
              <w:rPr>
                <w:b/>
              </w:rPr>
            </w:pPr>
            <w:r w:rsidRPr="000D6527">
              <w:rPr>
                <w:b/>
              </w:rPr>
              <w:t>$</w:t>
            </w:r>
          </w:p>
        </w:tc>
      </w:tr>
      <w:tr w:rsidR="00683CF6" w:rsidRPr="000D6527" w:rsidTr="00046B75">
        <w:trPr>
          <w:trHeight w:val="47"/>
        </w:trPr>
        <w:tc>
          <w:tcPr>
            <w:tcW w:w="2337" w:type="dxa"/>
            <w:tcBorders>
              <w:top w:val="single" w:sz="4" w:space="0" w:color="auto"/>
              <w:left w:val="nil"/>
              <w:bottom w:val="nil"/>
              <w:right w:val="nil"/>
            </w:tcBorders>
          </w:tcPr>
          <w:p w:rsidR="00683CF6" w:rsidRPr="000D6527" w:rsidRDefault="00683CF6" w:rsidP="00046B75">
            <w:pPr>
              <w:spacing w:after="0" w:line="80" w:lineRule="exact"/>
            </w:pPr>
          </w:p>
        </w:tc>
        <w:tc>
          <w:tcPr>
            <w:tcW w:w="2337" w:type="dxa"/>
            <w:tcBorders>
              <w:top w:val="single" w:sz="4" w:space="0" w:color="auto"/>
              <w:left w:val="nil"/>
              <w:bottom w:val="nil"/>
              <w:right w:val="nil"/>
            </w:tcBorders>
          </w:tcPr>
          <w:p w:rsidR="00683CF6" w:rsidRPr="000D6527" w:rsidRDefault="00683CF6" w:rsidP="00046B75">
            <w:pPr>
              <w:spacing w:after="0" w:line="80" w:lineRule="exact"/>
            </w:pPr>
          </w:p>
        </w:tc>
        <w:tc>
          <w:tcPr>
            <w:tcW w:w="2338" w:type="dxa"/>
            <w:tcBorders>
              <w:top w:val="single" w:sz="4" w:space="0" w:color="auto"/>
              <w:left w:val="nil"/>
              <w:bottom w:val="nil"/>
              <w:right w:val="nil"/>
            </w:tcBorders>
          </w:tcPr>
          <w:p w:rsidR="00683CF6" w:rsidRPr="000D6527" w:rsidRDefault="00683CF6" w:rsidP="00046B75">
            <w:pPr>
              <w:spacing w:after="0" w:line="80" w:lineRule="exact"/>
            </w:pPr>
          </w:p>
        </w:tc>
        <w:tc>
          <w:tcPr>
            <w:tcW w:w="2338" w:type="dxa"/>
            <w:tcBorders>
              <w:top w:val="single" w:sz="4" w:space="0" w:color="auto"/>
              <w:left w:val="nil"/>
              <w:bottom w:val="nil"/>
              <w:right w:val="nil"/>
            </w:tcBorders>
          </w:tcPr>
          <w:p w:rsidR="00683CF6" w:rsidRPr="000D6527" w:rsidRDefault="00683CF6" w:rsidP="00046B75">
            <w:pPr>
              <w:spacing w:after="0" w:line="80" w:lineRule="exact"/>
            </w:pPr>
          </w:p>
        </w:tc>
      </w:tr>
    </w:tbl>
    <w:p w:rsidR="00683CF6" w:rsidRPr="000D6527" w:rsidRDefault="00683CF6" w:rsidP="00683CF6">
      <w:r w:rsidRPr="000D6527">
        <w:t>All areas of exploration activities in the summary should be shown on the exploration index map (see Clause 3.1.4).</w:t>
      </w:r>
    </w:p>
    <w:p w:rsidR="00683CF6" w:rsidRPr="000D6527" w:rsidRDefault="00683CF6" w:rsidP="00683CF6">
      <w:pPr>
        <w:ind w:left="1134" w:hanging="425"/>
        <w:rPr>
          <w:b/>
        </w:rPr>
      </w:pPr>
      <w:r w:rsidRPr="000D6527">
        <w:rPr>
          <w:b/>
        </w:rPr>
        <w:t>3.1.4</w:t>
      </w:r>
      <w:r w:rsidRPr="000D6527">
        <w:rPr>
          <w:b/>
        </w:rPr>
        <w:tab/>
        <w:t>Exploration index map</w:t>
      </w:r>
    </w:p>
    <w:p w:rsidR="00683CF6" w:rsidRPr="000D6527" w:rsidRDefault="00683CF6" w:rsidP="00683CF6">
      <w:pPr>
        <w:ind w:left="1134"/>
      </w:pPr>
      <w:r w:rsidRPr="000D6527">
        <w:t>Include an index map, or maps, at an appropriate standard scale to show the areas where the different exploration activities have been carried out during the reporting period.</w:t>
      </w:r>
    </w:p>
    <w:p w:rsidR="00683CF6" w:rsidRPr="000D6527" w:rsidRDefault="00683CF6" w:rsidP="00683CF6">
      <w:pPr>
        <w:ind w:left="1134"/>
      </w:pPr>
      <w:r w:rsidRPr="000D6527">
        <w:t>The exploration index map(s) should show a standard map grid (MGA2020 (GDA2020) preferred) and major landmarks—eg. towns, roads, topographic features, plus the following types of activities as polygons:</w:t>
      </w:r>
    </w:p>
    <w:p w:rsidR="00683CF6" w:rsidRPr="000D6527" w:rsidRDefault="00683CF6" w:rsidP="00683CF6">
      <w:pPr>
        <w:ind w:left="1418" w:hanging="284"/>
      </w:pPr>
      <w:r w:rsidRPr="000D6527">
        <w:t>•</w:t>
      </w:r>
      <w:r w:rsidRPr="000D6527">
        <w:tab/>
        <w:t>Boundaries of tenements (with tenement numbers) covered by the report.</w:t>
      </w:r>
    </w:p>
    <w:p w:rsidR="00683CF6" w:rsidRPr="000D6527" w:rsidRDefault="00683CF6" w:rsidP="00683CF6">
      <w:pPr>
        <w:ind w:left="1418" w:hanging="284"/>
      </w:pPr>
      <w:r w:rsidRPr="000D6527">
        <w:t>•</w:t>
      </w:r>
      <w:r w:rsidRPr="000D6527">
        <w:tab/>
        <w:t>Boundaries of areas covered by:</w:t>
      </w:r>
    </w:p>
    <w:p w:rsidR="00683CF6" w:rsidRPr="000D6527" w:rsidRDefault="00683CF6" w:rsidP="00683CF6">
      <w:pPr>
        <w:ind w:left="1701" w:hanging="283"/>
      </w:pPr>
      <w:r w:rsidRPr="000D6527">
        <w:t>-</w:t>
      </w:r>
      <w:r w:rsidRPr="000D6527">
        <w:tab/>
        <w:t>survey grids—it is not necessary to show individual grid lines</w:t>
      </w:r>
    </w:p>
    <w:p w:rsidR="00683CF6" w:rsidRPr="000D6527" w:rsidRDefault="00683CF6" w:rsidP="00683CF6">
      <w:pPr>
        <w:ind w:left="1701" w:hanging="283"/>
      </w:pPr>
      <w:r w:rsidRPr="000D6527">
        <w:t>-</w:t>
      </w:r>
      <w:r w:rsidRPr="000D6527">
        <w:tab/>
        <w:t>geological mapping—specify the scales used</w:t>
      </w:r>
    </w:p>
    <w:p w:rsidR="00683CF6" w:rsidRPr="000D6527" w:rsidRDefault="00683CF6" w:rsidP="00683CF6">
      <w:pPr>
        <w:ind w:left="1701" w:hanging="283"/>
      </w:pPr>
      <w:r w:rsidRPr="000D6527">
        <w:t>-</w:t>
      </w:r>
      <w:r w:rsidRPr="000D6527">
        <w:tab/>
        <w:t>drilling programs—specify type of drilling—eg. rotary air blast, reverse circulation, diamond drillhole</w:t>
      </w:r>
    </w:p>
    <w:p w:rsidR="00683CF6" w:rsidRPr="000D6527" w:rsidRDefault="00683CF6" w:rsidP="00683CF6">
      <w:pPr>
        <w:ind w:left="1701" w:hanging="283"/>
      </w:pPr>
      <w:r w:rsidRPr="000D6527">
        <w:t>-</w:t>
      </w:r>
      <w:r w:rsidRPr="000D6527">
        <w:tab/>
        <w:t>geochemical surveys—specify type: soil (A,B,C horizon), stream sediment, rock chip etc</w:t>
      </w:r>
    </w:p>
    <w:p w:rsidR="00683CF6" w:rsidRPr="000D6527" w:rsidRDefault="00683CF6" w:rsidP="00683CF6">
      <w:pPr>
        <w:ind w:left="1701" w:hanging="283"/>
      </w:pPr>
      <w:r w:rsidRPr="000D6527">
        <w:t>-</w:t>
      </w:r>
      <w:r w:rsidRPr="000D6527">
        <w:tab/>
        <w:t>airborne/ground geophysical surveys—specify type: magnetic, gravity, electromagnetic etc</w:t>
      </w:r>
    </w:p>
    <w:p w:rsidR="00683CF6" w:rsidRPr="000D6527" w:rsidRDefault="00683CF6" w:rsidP="00683CF6">
      <w:pPr>
        <w:ind w:left="1701" w:hanging="283"/>
      </w:pPr>
      <w:r w:rsidRPr="000D6527">
        <w:t>-</w:t>
      </w:r>
      <w:r w:rsidRPr="000D6527">
        <w:tab/>
        <w:t>aerial photography, satellite imagery or airborne remote sensing imagery.</w:t>
      </w:r>
    </w:p>
    <w:p w:rsidR="00683CF6" w:rsidRPr="000D6527" w:rsidRDefault="00683CF6" w:rsidP="00683CF6">
      <w:pPr>
        <w:ind w:left="1418" w:hanging="284"/>
      </w:pPr>
      <w:r w:rsidRPr="000D6527">
        <w:t>•</w:t>
      </w:r>
      <w:r w:rsidRPr="000D6527">
        <w:tab/>
        <w:t>Position of identified mineral resources or pre-resource mineralisation.</w:t>
      </w:r>
    </w:p>
    <w:p w:rsidR="00683CF6" w:rsidRPr="000D6527" w:rsidRDefault="00683CF6" w:rsidP="00683CF6">
      <w:pPr>
        <w:ind w:left="1134" w:hanging="425"/>
        <w:rPr>
          <w:b/>
        </w:rPr>
      </w:pPr>
      <w:r w:rsidRPr="000D6527">
        <w:rPr>
          <w:b/>
        </w:rPr>
        <w:t>3.1.5</w:t>
      </w:r>
      <w:r w:rsidRPr="000D6527">
        <w:rPr>
          <w:b/>
        </w:rPr>
        <w:tab/>
        <w:t>Keywords</w:t>
      </w:r>
    </w:p>
    <w:p w:rsidR="00683CF6" w:rsidRPr="000D6527" w:rsidRDefault="00683CF6" w:rsidP="00683CF6">
      <w:pPr>
        <w:ind w:left="1134"/>
      </w:pPr>
      <w:r w:rsidRPr="000D6527">
        <w:t xml:space="preserve">Provide relevant bibliographic indexing keywords, such as map sheet names, location names, commodity sought, exploration methods, geological units targeted, prospect name, geological province, geological age and any other relevant earth science and related terms, to identify the main points of the reports and so assist any future computer searches. Use the </w:t>
      </w:r>
      <w:hyperlink r:id="rId136" w:history="1">
        <w:r w:rsidRPr="000D6527">
          <w:rPr>
            <w:color w:val="0000FF"/>
            <w:u w:val="single"/>
          </w:rPr>
          <w:t>Geoscience, mineral and petroleum thesaurus (GeMPeT)</w:t>
        </w:r>
      </w:hyperlink>
      <w:r w:rsidRPr="000D6527">
        <w:t xml:space="preserve"> as a guide.</w:t>
      </w:r>
    </w:p>
    <w:p w:rsidR="00683CF6" w:rsidRPr="000D6527" w:rsidRDefault="00683CF6" w:rsidP="00683CF6">
      <w:pPr>
        <w:ind w:left="709" w:hanging="425"/>
        <w:rPr>
          <w:b/>
        </w:rPr>
      </w:pPr>
      <w:r w:rsidRPr="000D6527">
        <w:rPr>
          <w:b/>
        </w:rPr>
        <w:t>3.2</w:t>
      </w:r>
      <w:r w:rsidRPr="000D6527">
        <w:rPr>
          <w:b/>
        </w:rPr>
        <w:tab/>
        <w:t>Body of report</w:t>
      </w:r>
    </w:p>
    <w:p w:rsidR="00683CF6" w:rsidRPr="000D6527" w:rsidRDefault="00683CF6" w:rsidP="00683CF6">
      <w:pPr>
        <w:ind w:left="709"/>
      </w:pPr>
      <w:r w:rsidRPr="000D6527">
        <w:t>The body of the report should be structured using the headings given below and may be in the form of either:</w:t>
      </w:r>
    </w:p>
    <w:p w:rsidR="00683CF6" w:rsidRPr="000D6527" w:rsidRDefault="00683CF6" w:rsidP="00683CF6">
      <w:pPr>
        <w:ind w:left="993" w:hanging="284"/>
      </w:pPr>
      <w:r w:rsidRPr="000D6527">
        <w:t>•</w:t>
      </w:r>
      <w:r w:rsidRPr="000D6527">
        <w:tab/>
        <w:t>a series of topic-related sections—eg. geology or geophysics, each of which contains relevant information for all locations or prospects within the licence area</w:t>
      </w:r>
    </w:p>
    <w:p w:rsidR="00683CF6" w:rsidRPr="000D6527" w:rsidRDefault="00683CF6" w:rsidP="00683CF6">
      <w:pPr>
        <w:ind w:left="993" w:hanging="284"/>
      </w:pPr>
      <w:r w:rsidRPr="000D6527">
        <w:t>•</w:t>
      </w:r>
      <w:r w:rsidRPr="000D6527">
        <w:tab/>
        <w:t>a series of region or prospect-related sections in which all topics are covered.</w:t>
      </w:r>
    </w:p>
    <w:p w:rsidR="00683CF6" w:rsidRPr="000D6527" w:rsidRDefault="00683CF6" w:rsidP="00683CF6">
      <w:pPr>
        <w:ind w:left="1134" w:hanging="425"/>
        <w:rPr>
          <w:b/>
        </w:rPr>
      </w:pPr>
      <w:r w:rsidRPr="000D6527">
        <w:rPr>
          <w:b/>
        </w:rPr>
        <w:t>3.2.1</w:t>
      </w:r>
      <w:r w:rsidRPr="000D6527">
        <w:rPr>
          <w:b/>
        </w:rPr>
        <w:tab/>
        <w:t>Introduction, history and exploration rationale</w:t>
      </w:r>
    </w:p>
    <w:p w:rsidR="00683CF6" w:rsidRPr="000D6527" w:rsidRDefault="00683CF6" w:rsidP="00683CF6">
      <w:pPr>
        <w:ind w:left="1418" w:hanging="284"/>
      </w:pPr>
      <w:r w:rsidRPr="000D6527">
        <w:t>•</w:t>
      </w:r>
      <w:r w:rsidRPr="000D6527">
        <w:tab/>
        <w:t>Summarise the tenure details ie. EL number(s), grant date(s), term(s), project name, operator/joint venture status.</w:t>
      </w:r>
    </w:p>
    <w:p w:rsidR="00683CF6" w:rsidRPr="000D6527" w:rsidRDefault="00683CF6" w:rsidP="00683CF6">
      <w:pPr>
        <w:ind w:left="1418" w:hanging="284"/>
      </w:pPr>
      <w:r w:rsidRPr="000D6527">
        <w:t>•</w:t>
      </w:r>
      <w:r w:rsidRPr="000D6527">
        <w:tab/>
        <w:t>Give a general description of the location. Include a simple map showing the location of the tenement(s) within South Australia.</w:t>
      </w:r>
    </w:p>
    <w:p w:rsidR="00683CF6" w:rsidRPr="000D6527" w:rsidRDefault="00683CF6" w:rsidP="00683CF6">
      <w:pPr>
        <w:ind w:left="1418" w:hanging="284"/>
      </w:pPr>
      <w:r w:rsidRPr="000D6527">
        <w:t>•</w:t>
      </w:r>
      <w:r w:rsidRPr="000D6527">
        <w:tab/>
        <w:t>Provide results of literature searches.</w:t>
      </w:r>
    </w:p>
    <w:p w:rsidR="00683CF6" w:rsidRPr="000D6527" w:rsidRDefault="00683CF6" w:rsidP="00683CF6">
      <w:pPr>
        <w:ind w:left="1418" w:hanging="284"/>
      </w:pPr>
      <w:r w:rsidRPr="000D6527">
        <w:t>•</w:t>
      </w:r>
      <w:r w:rsidRPr="000D6527">
        <w:tab/>
        <w:t>Include a brief summary of the exploration/mining history of the area.</w:t>
      </w:r>
    </w:p>
    <w:p w:rsidR="00683CF6" w:rsidRPr="000D6527" w:rsidRDefault="00683CF6" w:rsidP="00683CF6">
      <w:pPr>
        <w:ind w:left="1418" w:hanging="284"/>
      </w:pPr>
      <w:r w:rsidRPr="000D6527">
        <w:t>•</w:t>
      </w:r>
      <w:r w:rsidRPr="000D6527">
        <w:tab/>
        <w:t>Describe exploration targets, objectives and rationale.</w:t>
      </w:r>
    </w:p>
    <w:p w:rsidR="00683CF6" w:rsidRDefault="00683CF6" w:rsidP="00683CF6">
      <w:pPr>
        <w:rPr>
          <w:b/>
        </w:rPr>
      </w:pPr>
      <w:r>
        <w:rPr>
          <w:b/>
        </w:rPr>
        <w:br w:type="page"/>
      </w:r>
    </w:p>
    <w:p w:rsidR="00683CF6" w:rsidRPr="000D6527" w:rsidRDefault="00683CF6" w:rsidP="00683CF6">
      <w:pPr>
        <w:ind w:left="1134" w:hanging="425"/>
        <w:rPr>
          <w:b/>
        </w:rPr>
      </w:pPr>
      <w:r w:rsidRPr="000D6527">
        <w:rPr>
          <w:b/>
        </w:rPr>
        <w:t>3.2.2</w:t>
      </w:r>
      <w:r w:rsidRPr="000D6527">
        <w:rPr>
          <w:b/>
        </w:rPr>
        <w:tab/>
        <w:t>Geology</w:t>
      </w:r>
    </w:p>
    <w:p w:rsidR="00683CF6" w:rsidRPr="000D6527" w:rsidRDefault="00683CF6" w:rsidP="00683CF6">
      <w:pPr>
        <w:ind w:left="1418" w:hanging="284"/>
      </w:pPr>
      <w:r w:rsidRPr="000D6527">
        <w:t>•</w:t>
      </w:r>
      <w:r w:rsidRPr="000D6527">
        <w:tab/>
        <w:t>Describe the regional setting and the results of geological mapping.</w:t>
      </w:r>
    </w:p>
    <w:p w:rsidR="00683CF6" w:rsidRPr="000D6527" w:rsidRDefault="00683CF6" w:rsidP="00683CF6">
      <w:pPr>
        <w:ind w:left="1418" w:hanging="284"/>
      </w:pPr>
      <w:r w:rsidRPr="000D6527">
        <w:t>•</w:t>
      </w:r>
      <w:r w:rsidRPr="000D6527">
        <w:tab/>
        <w:t>Report on models of structural interpretation and/or mineralisation.</w:t>
      </w:r>
    </w:p>
    <w:p w:rsidR="00683CF6" w:rsidRPr="000D6527" w:rsidRDefault="00683CF6" w:rsidP="00683CF6">
      <w:pPr>
        <w:ind w:left="1418" w:hanging="284"/>
      </w:pPr>
      <w:r w:rsidRPr="000D6527">
        <w:t>•</w:t>
      </w:r>
      <w:r w:rsidRPr="000D6527">
        <w:tab/>
        <w:t>Include appropriate geological maps and cross-sections (see Clause 3.3.2).</w:t>
      </w:r>
    </w:p>
    <w:p w:rsidR="00683CF6" w:rsidRPr="000D6527" w:rsidRDefault="00683CF6" w:rsidP="00683CF6">
      <w:pPr>
        <w:ind w:left="1418" w:hanging="284"/>
      </w:pPr>
      <w:r w:rsidRPr="000D6527">
        <w:t>•</w:t>
      </w:r>
      <w:r w:rsidRPr="000D6527">
        <w:tab/>
        <w:t>Provide results and a summary of any mineralogy, petrology, palaeontology or geochronology studies on surface or sub-surface (drilling) samples. Append detailed descriptions to the report, with sample locations provided in a nationally recognised coordinate system—eg. MGA2020 (GDA2020, and shown on appropriate plans or drilling logs.</w:t>
      </w:r>
    </w:p>
    <w:p w:rsidR="00683CF6" w:rsidRPr="000D6527" w:rsidRDefault="00683CF6" w:rsidP="00683CF6">
      <w:pPr>
        <w:ind w:left="1418" w:hanging="284"/>
      </w:pPr>
      <w:r w:rsidRPr="000D6527">
        <w:t>•</w:t>
      </w:r>
      <w:r w:rsidRPr="000D6527">
        <w:tab/>
        <w:t>Include results of any spectral analyses and interpretation conducted.</w:t>
      </w:r>
    </w:p>
    <w:p w:rsidR="00683CF6" w:rsidRPr="000D6527" w:rsidRDefault="00683CF6" w:rsidP="00683CF6">
      <w:pPr>
        <w:ind w:left="1134" w:hanging="425"/>
        <w:rPr>
          <w:b/>
        </w:rPr>
      </w:pPr>
      <w:r w:rsidRPr="000D6527">
        <w:rPr>
          <w:b/>
        </w:rPr>
        <w:t>3.2.3</w:t>
      </w:r>
      <w:r w:rsidRPr="000D6527">
        <w:rPr>
          <w:b/>
        </w:rPr>
        <w:tab/>
        <w:t>Geophysics</w:t>
      </w:r>
    </w:p>
    <w:p w:rsidR="00683CF6" w:rsidRPr="000D6527" w:rsidRDefault="00683CF6" w:rsidP="00683CF6">
      <w:pPr>
        <w:ind w:left="1134"/>
      </w:pPr>
      <w:r w:rsidRPr="000D6527">
        <w:t>Describe the airborne and ground-based geophysical exploration, excluding downhole surveys, which should be addressed under drilling (see Clause 3.2.6). Where appropriate the following should be included:</w:t>
      </w:r>
    </w:p>
    <w:p w:rsidR="00683CF6" w:rsidRPr="000D6527" w:rsidRDefault="00683CF6" w:rsidP="00683CF6">
      <w:pPr>
        <w:ind w:left="1701" w:hanging="566"/>
        <w:rPr>
          <w:b/>
          <w:i/>
        </w:rPr>
      </w:pPr>
      <w:r w:rsidRPr="000D6527">
        <w:rPr>
          <w:b/>
          <w:i/>
        </w:rPr>
        <w:t>3.2.3.1</w:t>
      </w:r>
      <w:r w:rsidRPr="000D6527">
        <w:rPr>
          <w:b/>
          <w:i/>
        </w:rPr>
        <w:tab/>
        <w:t>Airborne surveys (excluding remote sensing)</w:t>
      </w:r>
    </w:p>
    <w:p w:rsidR="00683CF6" w:rsidRPr="000D6527" w:rsidRDefault="00683CF6" w:rsidP="00683CF6">
      <w:pPr>
        <w:ind w:left="1701"/>
      </w:pPr>
      <w:r w:rsidRPr="000D6527">
        <w:t>Within the text/appendixes of the report include:</w:t>
      </w:r>
    </w:p>
    <w:p w:rsidR="00683CF6" w:rsidRPr="000D6527" w:rsidRDefault="00683CF6" w:rsidP="00683CF6">
      <w:pPr>
        <w:ind w:left="1985" w:hanging="284"/>
      </w:pPr>
      <w:r w:rsidRPr="000D6527">
        <w:t>•</w:t>
      </w:r>
      <w:r w:rsidRPr="000D6527">
        <w:tab/>
        <w:t>standard scale maps (as per Clause 3.3.2) showing survey locations and flight lines, together with any cultural features which may affect results—eg. power lines</w:t>
      </w:r>
    </w:p>
    <w:p w:rsidR="00683CF6" w:rsidRPr="000D6527" w:rsidRDefault="00683CF6" w:rsidP="00683CF6">
      <w:pPr>
        <w:ind w:left="1985" w:hanging="284"/>
      </w:pPr>
      <w:r w:rsidRPr="000D6527">
        <w:t>•</w:t>
      </w:r>
      <w:r w:rsidRPr="000D6527">
        <w:tab/>
        <w:t>processed data map(s) tied to a nationally recognised map grid (MGA2020 (GDA2020) is preferred) and at the same scales as other presented maps—eg. geological map—to enable easy comparison</w:t>
      </w:r>
    </w:p>
    <w:p w:rsidR="00683CF6" w:rsidRPr="000D6527" w:rsidRDefault="00683CF6" w:rsidP="00683CF6">
      <w:pPr>
        <w:ind w:left="1985" w:hanging="284"/>
      </w:pPr>
      <w:r w:rsidRPr="000D6527">
        <w:t>•</w:t>
      </w:r>
      <w:r w:rsidRPr="000D6527">
        <w:tab/>
        <w:t>details of data processing techniques used</w:t>
      </w:r>
    </w:p>
    <w:p w:rsidR="00683CF6" w:rsidRPr="000D6527" w:rsidRDefault="00683CF6" w:rsidP="00683CF6">
      <w:pPr>
        <w:ind w:left="1985" w:hanging="284"/>
      </w:pPr>
      <w:r w:rsidRPr="000D6527">
        <w:t>•</w:t>
      </w:r>
      <w:r w:rsidRPr="000D6527">
        <w:tab/>
        <w:t>interpretations of results—discussions of what constitutes an anomaly, and the relation of anomalies to geochemistry, geology and drilling results</w:t>
      </w:r>
    </w:p>
    <w:p w:rsidR="00683CF6" w:rsidRPr="000D6527" w:rsidRDefault="00683CF6" w:rsidP="00683CF6">
      <w:pPr>
        <w:ind w:left="1985" w:hanging="284"/>
      </w:pPr>
      <w:r w:rsidRPr="000D6527">
        <w:t>•</w:t>
      </w:r>
      <w:r w:rsidRPr="000D6527">
        <w:tab/>
        <w:t>separate reports on the results and interpretations of surveys as an appendix</w:t>
      </w:r>
    </w:p>
    <w:p w:rsidR="00683CF6" w:rsidRPr="000D6527" w:rsidRDefault="00683CF6" w:rsidP="00683CF6">
      <w:pPr>
        <w:ind w:left="1985" w:hanging="284"/>
      </w:pPr>
      <w:r w:rsidRPr="000D6527">
        <w:t>•</w:t>
      </w:r>
      <w:r w:rsidRPr="000D6527">
        <w:tab/>
        <w:t>specifications of surveys and instruments (as below) so that another operator can extend or reinterpret the survey:</w:t>
      </w:r>
    </w:p>
    <w:p w:rsidR="00683CF6" w:rsidRPr="000D6527" w:rsidRDefault="00683CF6" w:rsidP="00683CF6">
      <w:pPr>
        <w:ind w:left="2268" w:hanging="283"/>
      </w:pPr>
      <w:r w:rsidRPr="000D6527">
        <w:t>-</w:t>
      </w:r>
      <w:r w:rsidRPr="000D6527">
        <w:tab/>
        <w:t>survey specifications—survey type, date, contractor, parameters recorded, instruments used, line orientation, line and tie spacing and, where applicable, mean terrain clearance and aircraft type</w:t>
      </w:r>
    </w:p>
    <w:p w:rsidR="00683CF6" w:rsidRPr="000D6527" w:rsidRDefault="00683CF6" w:rsidP="00683CF6">
      <w:pPr>
        <w:ind w:left="2268" w:hanging="283"/>
      </w:pPr>
      <w:r w:rsidRPr="000D6527">
        <w:t>-</w:t>
      </w:r>
      <w:r w:rsidRPr="000D6527">
        <w:tab/>
        <w:t>instrument specifications—instrument type, design, power, units of measurement (preferably SI), order of accuracy and mode of recording data ie. analogue or digital</w:t>
      </w:r>
    </w:p>
    <w:p w:rsidR="00683CF6" w:rsidRPr="000D6527" w:rsidRDefault="00683CF6" w:rsidP="00683CF6">
      <w:pPr>
        <w:ind w:left="2268" w:hanging="283"/>
      </w:pPr>
      <w:r w:rsidRPr="000D6527">
        <w:t>-</w:t>
      </w:r>
      <w:r w:rsidRPr="000D6527">
        <w:tab/>
        <w:t>other information—conversion factors for units outside the SI system, data on terrain conditions, nature of the ground, quality of electrical contacts, and extent of drifts, to aid in any extension or reinterpretation of the survey</w:t>
      </w:r>
    </w:p>
    <w:p w:rsidR="00683CF6" w:rsidRPr="000D6527" w:rsidRDefault="00683CF6" w:rsidP="00683CF6">
      <w:pPr>
        <w:ind w:left="1985" w:hanging="284"/>
      </w:pPr>
      <w:r w:rsidRPr="000D6527">
        <w:t>•</w:t>
      </w:r>
      <w:r w:rsidRPr="000D6527">
        <w:tab/>
        <w:t>survey company logistics report detailing data acquisition operations and processing</w:t>
      </w:r>
    </w:p>
    <w:p w:rsidR="00683CF6" w:rsidRPr="000D6527" w:rsidRDefault="00683CF6" w:rsidP="00683CF6">
      <w:pPr>
        <w:ind w:left="1985" w:hanging="284"/>
      </w:pPr>
      <w:r w:rsidRPr="000D6527">
        <w:t>•</w:t>
      </w:r>
      <w:r w:rsidRPr="000D6527">
        <w:tab/>
        <w:t>all drift/diurnal/tie corrections applied, and calibration constants and null values defined</w:t>
      </w:r>
    </w:p>
    <w:p w:rsidR="00683CF6" w:rsidRPr="000D6527" w:rsidRDefault="00683CF6" w:rsidP="00683CF6">
      <w:pPr>
        <w:ind w:left="1985" w:hanging="284"/>
      </w:pPr>
      <w:r w:rsidRPr="000D6527">
        <w:t>•</w:t>
      </w:r>
      <w:r w:rsidRPr="000D6527">
        <w:tab/>
        <w:t>calibration parameters and procedures, and any quality control data.</w:t>
      </w:r>
    </w:p>
    <w:p w:rsidR="00683CF6" w:rsidRPr="000D6527" w:rsidRDefault="00683CF6" w:rsidP="00683CF6">
      <w:pPr>
        <w:ind w:left="1701"/>
      </w:pPr>
      <w:r w:rsidRPr="000D6527">
        <w:t xml:space="preserve">Include as digital files accompanying the report, as per the </w:t>
      </w:r>
      <w:hyperlink r:id="rId137" w:history="1">
        <w:r w:rsidRPr="000D6527">
          <w:rPr>
            <w:color w:val="0000FF"/>
            <w:u w:val="single"/>
          </w:rPr>
          <w:t>Australian requirements for the submission of digital exploration data</w:t>
        </w:r>
      </w:hyperlink>
      <w:r w:rsidRPr="000D6527">
        <w:t>:</w:t>
      </w:r>
    </w:p>
    <w:p w:rsidR="00683CF6" w:rsidRPr="000D6527" w:rsidRDefault="00683CF6" w:rsidP="00683CF6">
      <w:pPr>
        <w:ind w:left="1985" w:hanging="284"/>
      </w:pPr>
      <w:r w:rsidRPr="000D6527">
        <w:t>•</w:t>
      </w:r>
      <w:r w:rsidRPr="000D6527">
        <w:tab/>
        <w:t>field data (ASEG GDF2 format or fixed column ASCII with a header)</w:t>
      </w:r>
    </w:p>
    <w:p w:rsidR="00683CF6" w:rsidRPr="000D6527" w:rsidRDefault="00683CF6" w:rsidP="00683CF6">
      <w:pPr>
        <w:ind w:left="1985" w:hanging="284"/>
      </w:pPr>
      <w:r w:rsidRPr="000D6527">
        <w:t>•</w:t>
      </w:r>
      <w:r w:rsidRPr="000D6527">
        <w:tab/>
        <w:t>gridded data (ER Mapper format)</w:t>
      </w:r>
    </w:p>
    <w:p w:rsidR="00683CF6" w:rsidRPr="000D6527" w:rsidRDefault="00683CF6" w:rsidP="00683CF6">
      <w:pPr>
        <w:ind w:left="1985" w:hanging="284"/>
      </w:pPr>
      <w:r w:rsidRPr="000D6527">
        <w:t>•</w:t>
      </w:r>
      <w:r w:rsidRPr="000D6527">
        <w:tab/>
        <w:t>final located data (ASEG GDF2 format or fixed column ASCII with a header)</w:t>
      </w:r>
    </w:p>
    <w:p w:rsidR="00683CF6" w:rsidRPr="000D6527" w:rsidRDefault="00683CF6" w:rsidP="00683CF6">
      <w:pPr>
        <w:ind w:left="1985" w:hanging="284"/>
      </w:pPr>
      <w:r w:rsidRPr="000D6527">
        <w:t>•</w:t>
      </w:r>
      <w:r w:rsidRPr="000D6527">
        <w:tab/>
        <w:t>survey company logistics report detailing data acquisition operations and processing</w:t>
      </w:r>
    </w:p>
    <w:p w:rsidR="00683CF6" w:rsidRPr="000D6527" w:rsidRDefault="00683CF6" w:rsidP="00683CF6">
      <w:pPr>
        <w:ind w:left="1985" w:hanging="284"/>
      </w:pPr>
      <w:r w:rsidRPr="000D6527">
        <w:t>•</w:t>
      </w:r>
      <w:r w:rsidRPr="000D6527">
        <w:tab/>
        <w:t>256 channel radiometrics data where acquired.</w:t>
      </w:r>
    </w:p>
    <w:p w:rsidR="00683CF6" w:rsidRPr="000D6527" w:rsidRDefault="00683CF6" w:rsidP="00683CF6">
      <w:pPr>
        <w:ind w:left="1701"/>
      </w:pPr>
      <w:r w:rsidRPr="000D6527">
        <w:t>Airborne surveys that cover more than one tenement must be submitted as one complete survey, including original raw data as received from the survey company and survey company logistics report. Attach a covering letter stating all tenement numbers the survey covers.</w:t>
      </w:r>
    </w:p>
    <w:p w:rsidR="00683CF6" w:rsidRPr="000D6527" w:rsidRDefault="00683CF6" w:rsidP="00683CF6">
      <w:pPr>
        <w:ind w:left="1701" w:hanging="566"/>
        <w:rPr>
          <w:b/>
          <w:i/>
        </w:rPr>
      </w:pPr>
      <w:r w:rsidRPr="000D6527">
        <w:rPr>
          <w:b/>
          <w:i/>
        </w:rPr>
        <w:t>3.2.3.2</w:t>
      </w:r>
      <w:r w:rsidRPr="000D6527">
        <w:rPr>
          <w:b/>
          <w:i/>
        </w:rPr>
        <w:tab/>
        <w:t>Gravity surveys</w:t>
      </w:r>
    </w:p>
    <w:p w:rsidR="00683CF6" w:rsidRPr="000D6527" w:rsidRDefault="00683CF6" w:rsidP="00683CF6">
      <w:pPr>
        <w:ind w:left="1701"/>
      </w:pPr>
      <w:r w:rsidRPr="000D6527">
        <w:t>Include:</w:t>
      </w:r>
    </w:p>
    <w:p w:rsidR="00683CF6" w:rsidRPr="000D6527" w:rsidRDefault="00683CF6" w:rsidP="00683CF6">
      <w:pPr>
        <w:ind w:left="1985" w:hanging="284"/>
      </w:pPr>
      <w:r w:rsidRPr="000D6527">
        <w:t>•</w:t>
      </w:r>
      <w:r w:rsidRPr="000D6527">
        <w:tab/>
        <w:t>located basic data (tabulated or as line profiles), including station number, latitude/longitude or MGA2020 position (specify datum—GDA2020 preferred), AHD elevation, observed gravity (specify datum) and terrain correction (if calculated)</w:t>
      </w:r>
    </w:p>
    <w:p w:rsidR="00683CF6" w:rsidRPr="000D6527" w:rsidRDefault="00683CF6" w:rsidP="00683CF6">
      <w:pPr>
        <w:ind w:left="1985" w:hanging="284"/>
      </w:pPr>
      <w:r w:rsidRPr="000D6527">
        <w:t>•</w:t>
      </w:r>
      <w:r w:rsidRPr="000D6527">
        <w:tab/>
        <w:t>processed data map(s) tied to a nationally recognised map grid (MGA2020 (GDA2020) is preferred) and at the same scales as other presented maps—eg. geological map, to enable easy comparison</w:t>
      </w:r>
    </w:p>
    <w:p w:rsidR="00683CF6" w:rsidRPr="000D6527" w:rsidRDefault="00683CF6" w:rsidP="00683CF6">
      <w:pPr>
        <w:ind w:left="1985" w:hanging="284"/>
      </w:pPr>
      <w:r w:rsidRPr="000D6527">
        <w:t>•</w:t>
      </w:r>
      <w:r w:rsidRPr="000D6527">
        <w:tab/>
        <w:t>standard scale maps (as per Clause 3.3.2) showing survey location, gravity station position and base station position</w:t>
      </w:r>
    </w:p>
    <w:p w:rsidR="00683CF6" w:rsidRPr="000D6527" w:rsidRDefault="00683CF6" w:rsidP="00683CF6">
      <w:pPr>
        <w:ind w:left="1985" w:hanging="284"/>
      </w:pPr>
      <w:r w:rsidRPr="000D6527">
        <w:t>•</w:t>
      </w:r>
      <w:r w:rsidRPr="000D6527">
        <w:tab/>
        <w:t>survey company logistics report detailing data acquisition operations and processing</w:t>
      </w:r>
    </w:p>
    <w:p w:rsidR="00683CF6" w:rsidRPr="000D6527" w:rsidRDefault="00683CF6" w:rsidP="00683CF6">
      <w:pPr>
        <w:ind w:left="1985" w:hanging="284"/>
      </w:pPr>
      <w:r w:rsidRPr="000D6527">
        <w:t>•</w:t>
      </w:r>
      <w:r w:rsidRPr="000D6527">
        <w:tab/>
        <w:t>base station information—details of base stations established/used should include:</w:t>
      </w:r>
    </w:p>
    <w:p w:rsidR="00683CF6" w:rsidRPr="000D6527" w:rsidRDefault="00683CF6" w:rsidP="00683CF6">
      <w:pPr>
        <w:ind w:left="2268" w:hanging="283"/>
      </w:pPr>
      <w:r w:rsidRPr="000D6527">
        <w:t>-</w:t>
      </w:r>
      <w:r w:rsidRPr="000D6527">
        <w:tab/>
        <w:t>name—eg. isogal station</w:t>
      </w:r>
    </w:p>
    <w:p w:rsidR="00683CF6" w:rsidRPr="000D6527" w:rsidRDefault="00683CF6" w:rsidP="00683CF6">
      <w:pPr>
        <w:ind w:left="2268" w:hanging="283"/>
      </w:pPr>
      <w:r w:rsidRPr="000D6527">
        <w:t>-</w:t>
      </w:r>
      <w:r w:rsidRPr="000D6527">
        <w:tab/>
        <w:t>location ie. latitude/longitude or easting/northing; specify datum—GDA2020 preferred</w:t>
      </w:r>
    </w:p>
    <w:p w:rsidR="00683CF6" w:rsidRPr="000D6527" w:rsidRDefault="00683CF6" w:rsidP="00683CF6">
      <w:pPr>
        <w:ind w:left="2268" w:hanging="283"/>
      </w:pPr>
      <w:r w:rsidRPr="000D6527">
        <w:t>-</w:t>
      </w:r>
      <w:r w:rsidRPr="000D6527">
        <w:tab/>
        <w:t>observed gravity value used to tie into national gravity network (specify datum)</w:t>
      </w:r>
    </w:p>
    <w:p w:rsidR="00683CF6" w:rsidRPr="000D6527" w:rsidRDefault="00683CF6" w:rsidP="00683CF6">
      <w:pPr>
        <w:ind w:left="2268" w:hanging="283"/>
      </w:pPr>
      <w:r w:rsidRPr="000D6527">
        <w:t>-</w:t>
      </w:r>
      <w:r w:rsidRPr="000D6527">
        <w:tab/>
        <w:t>method of tie to control ie. ‘ABABA’</w:t>
      </w:r>
    </w:p>
    <w:p w:rsidR="00683CF6" w:rsidRPr="000D6527" w:rsidRDefault="00683CF6" w:rsidP="00683CF6">
      <w:pPr>
        <w:ind w:left="2268" w:hanging="283"/>
      </w:pPr>
      <w:r w:rsidRPr="000D6527">
        <w:t>-</w:t>
      </w:r>
      <w:r w:rsidRPr="000D6527">
        <w:tab/>
        <w:t>description of locality, including sketch map and description of monumentation (photos are often useful).</w:t>
      </w:r>
    </w:p>
    <w:p w:rsidR="00683CF6" w:rsidRPr="000D6527" w:rsidRDefault="00683CF6" w:rsidP="00683CF6">
      <w:pPr>
        <w:ind w:left="1985" w:hanging="284"/>
      </w:pPr>
      <w:r w:rsidRPr="000D6527">
        <w:t>•</w:t>
      </w:r>
      <w:r w:rsidRPr="000D6527">
        <w:tab/>
        <w:t>if a floating grid, ie. not tied into the national network, then provide:</w:t>
      </w:r>
    </w:p>
    <w:p w:rsidR="00683CF6" w:rsidRPr="000D6527" w:rsidRDefault="00683CF6" w:rsidP="00683CF6">
      <w:pPr>
        <w:ind w:left="2268" w:hanging="283"/>
      </w:pPr>
      <w:r w:rsidRPr="000D6527">
        <w:t>-</w:t>
      </w:r>
      <w:r w:rsidRPr="000D6527">
        <w:tab/>
        <w:t>base station assumed gravity value</w:t>
      </w:r>
    </w:p>
    <w:p w:rsidR="00683CF6" w:rsidRPr="000D6527" w:rsidRDefault="00683CF6" w:rsidP="00683CF6">
      <w:pPr>
        <w:ind w:left="2268" w:hanging="283"/>
      </w:pPr>
      <w:r w:rsidRPr="000D6527">
        <w:t>-</w:t>
      </w:r>
      <w:r w:rsidRPr="000D6527">
        <w:tab/>
        <w:t>description of locality, including sketch map and description of monumentation (photos are often useful).</w:t>
      </w:r>
    </w:p>
    <w:p w:rsidR="00683CF6" w:rsidRPr="000D6527" w:rsidRDefault="00683CF6" w:rsidP="00683CF6">
      <w:pPr>
        <w:ind w:left="1701" w:hanging="566"/>
        <w:rPr>
          <w:b/>
          <w:i/>
        </w:rPr>
      </w:pPr>
      <w:r w:rsidRPr="000D6527">
        <w:rPr>
          <w:b/>
          <w:i/>
        </w:rPr>
        <w:t>3.2.3.3</w:t>
      </w:r>
      <w:r w:rsidRPr="000D6527">
        <w:rPr>
          <w:b/>
          <w:i/>
        </w:rPr>
        <w:tab/>
        <w:t>Other geophysical surveys</w:t>
      </w:r>
    </w:p>
    <w:p w:rsidR="00683CF6" w:rsidRPr="000D6527" w:rsidRDefault="00683CF6" w:rsidP="00683CF6">
      <w:pPr>
        <w:ind w:left="1701"/>
      </w:pPr>
      <w:r w:rsidRPr="000D6527">
        <w:t>Within the text/appendixes of the report include:</w:t>
      </w:r>
    </w:p>
    <w:p w:rsidR="00683CF6" w:rsidRPr="000D6527" w:rsidRDefault="00683CF6" w:rsidP="00683CF6">
      <w:pPr>
        <w:ind w:left="1985" w:hanging="284"/>
      </w:pPr>
      <w:r w:rsidRPr="000D6527">
        <w:t>•</w:t>
      </w:r>
      <w:r w:rsidRPr="000D6527">
        <w:tab/>
        <w:t>standard scale maps (as per Clause 3.3.2) showing survey locations, traverse lines and/or stations and any cultural features that may affect results</w:t>
      </w:r>
    </w:p>
    <w:p w:rsidR="00683CF6" w:rsidRPr="000D6527" w:rsidRDefault="00683CF6" w:rsidP="00683CF6">
      <w:pPr>
        <w:ind w:left="1985" w:hanging="284"/>
      </w:pPr>
      <w:r w:rsidRPr="000D6527">
        <w:t>•</w:t>
      </w:r>
      <w:r w:rsidRPr="000D6527">
        <w:tab/>
        <w:t>processed data map(s) tied to a nationally recognised map grid (MGA2020 (GDA2020) is preferred) and at the same scales as other presented maps—eg. geological map to enable easy comparison</w:t>
      </w:r>
    </w:p>
    <w:p w:rsidR="00683CF6" w:rsidRPr="000D6527" w:rsidRDefault="00683CF6" w:rsidP="00683CF6">
      <w:pPr>
        <w:ind w:left="1985" w:hanging="284"/>
      </w:pPr>
      <w:r w:rsidRPr="000D6527">
        <w:t>•</w:t>
      </w:r>
      <w:r w:rsidRPr="000D6527">
        <w:tab/>
        <w:t>details of data processing techniques used</w:t>
      </w:r>
    </w:p>
    <w:p w:rsidR="00683CF6" w:rsidRPr="000D6527" w:rsidRDefault="00683CF6" w:rsidP="00683CF6">
      <w:pPr>
        <w:ind w:left="1985" w:hanging="284"/>
      </w:pPr>
      <w:r w:rsidRPr="000D6527">
        <w:t>•</w:t>
      </w:r>
      <w:r w:rsidRPr="000D6527">
        <w:tab/>
        <w:t>interpretations of results—discussions of what constitutes an anomaly, and the relation of anomalies to geochemistry, geology and drilling results</w:t>
      </w:r>
    </w:p>
    <w:p w:rsidR="00683CF6" w:rsidRPr="000D6527" w:rsidRDefault="00683CF6" w:rsidP="00683CF6">
      <w:pPr>
        <w:ind w:left="1985" w:hanging="284"/>
      </w:pPr>
      <w:r w:rsidRPr="000D6527">
        <w:t>•</w:t>
      </w:r>
      <w:r w:rsidRPr="000D6527">
        <w:tab/>
        <w:t>separate reports on the results and interpretations of surveys as an appendix</w:t>
      </w:r>
    </w:p>
    <w:p w:rsidR="00683CF6" w:rsidRPr="000D6527" w:rsidRDefault="00683CF6" w:rsidP="00683CF6">
      <w:pPr>
        <w:ind w:left="1985" w:hanging="284"/>
      </w:pPr>
      <w:r w:rsidRPr="000D6527">
        <w:t>•</w:t>
      </w:r>
      <w:r w:rsidRPr="000D6527">
        <w:tab/>
        <w:t>specifications of surveys and instruments (as below) so that another operator can extend or reinterpret the survey:</w:t>
      </w:r>
    </w:p>
    <w:p w:rsidR="00683CF6" w:rsidRPr="000D6527" w:rsidRDefault="00683CF6" w:rsidP="00683CF6">
      <w:pPr>
        <w:ind w:left="2268" w:hanging="283"/>
      </w:pPr>
      <w:r w:rsidRPr="000D6527">
        <w:t>-</w:t>
      </w:r>
      <w:r w:rsidRPr="000D6527">
        <w:tab/>
        <w:t>survey specifications—survey type, date, contractor, parameters recorded, instruments used, line orientation, line and tie spacing, and station spacing</w:t>
      </w:r>
    </w:p>
    <w:p w:rsidR="00683CF6" w:rsidRPr="000D6527" w:rsidRDefault="00683CF6" w:rsidP="00683CF6">
      <w:pPr>
        <w:ind w:left="2268" w:hanging="283"/>
      </w:pPr>
      <w:r w:rsidRPr="000D6527">
        <w:t>-</w:t>
      </w:r>
      <w:r w:rsidRPr="000D6527">
        <w:tab/>
        <w:t>instrument specifications—instrument type, design, power, units of measurement (preferably SI), order of accuracy and mode of recording data ie. analogue or digital</w:t>
      </w:r>
    </w:p>
    <w:p w:rsidR="00683CF6" w:rsidRPr="000D6527" w:rsidRDefault="00683CF6" w:rsidP="00683CF6">
      <w:pPr>
        <w:ind w:left="2268" w:hanging="283"/>
      </w:pPr>
      <w:r w:rsidRPr="000D6527">
        <w:t>-</w:t>
      </w:r>
      <w:r w:rsidRPr="000D6527">
        <w:tab/>
        <w:t>other information—conversion factors for units outside the SI system, data on terrain conditions, nature of the ground, quality of electrical contacts, and extent of drifts, to aid in any extension or reinterpretation of the survey</w:t>
      </w:r>
    </w:p>
    <w:p w:rsidR="00683CF6" w:rsidRPr="000D6527" w:rsidRDefault="00683CF6" w:rsidP="00683CF6">
      <w:pPr>
        <w:ind w:left="1985" w:hanging="284"/>
      </w:pPr>
      <w:r w:rsidRPr="000D6527">
        <w:t>•</w:t>
      </w:r>
      <w:r w:rsidRPr="000D6527">
        <w:tab/>
        <w:t>survey company logistics report detailing data acquisition operations and processing</w:t>
      </w:r>
    </w:p>
    <w:p w:rsidR="00683CF6" w:rsidRPr="000D6527" w:rsidRDefault="00683CF6" w:rsidP="00683CF6">
      <w:pPr>
        <w:ind w:left="1985" w:hanging="284"/>
      </w:pPr>
      <w:r w:rsidRPr="000D6527">
        <w:t>•</w:t>
      </w:r>
      <w:r w:rsidRPr="000D6527">
        <w:tab/>
        <w:t>all corrections applied, and calibration constants and null values defined</w:t>
      </w:r>
    </w:p>
    <w:p w:rsidR="00683CF6" w:rsidRPr="000D6527" w:rsidRDefault="00683CF6" w:rsidP="00683CF6">
      <w:pPr>
        <w:ind w:left="1985" w:hanging="284"/>
      </w:pPr>
      <w:r w:rsidRPr="000D6527">
        <w:t>•</w:t>
      </w:r>
      <w:r w:rsidRPr="000D6527">
        <w:tab/>
        <w:t>calibration parameters and procedures, and any quality control data.</w:t>
      </w:r>
    </w:p>
    <w:p w:rsidR="00683CF6" w:rsidRPr="000D6527" w:rsidRDefault="00683CF6" w:rsidP="00683CF6">
      <w:pPr>
        <w:ind w:left="1701"/>
      </w:pPr>
      <w:r w:rsidRPr="000D6527">
        <w:t xml:space="preserve">Include as digital files accompanying the report, as per the </w:t>
      </w:r>
      <w:hyperlink r:id="rId138" w:history="1">
        <w:r w:rsidRPr="000D6527">
          <w:rPr>
            <w:color w:val="0000FF"/>
            <w:u w:val="single"/>
          </w:rPr>
          <w:t>Australian requirements for the submission of digital exploration data</w:t>
        </w:r>
      </w:hyperlink>
      <w:r w:rsidRPr="000D6527">
        <w:t>:</w:t>
      </w:r>
    </w:p>
    <w:p w:rsidR="00683CF6" w:rsidRPr="000D6527" w:rsidRDefault="00683CF6" w:rsidP="00683CF6">
      <w:pPr>
        <w:ind w:left="1985" w:hanging="284"/>
      </w:pPr>
      <w:r w:rsidRPr="000D6527">
        <w:t>•</w:t>
      </w:r>
      <w:r w:rsidRPr="000D6527">
        <w:tab/>
        <w:t>field data (ASEG GDF2 format or fixed column ASCII with a header)</w:t>
      </w:r>
    </w:p>
    <w:p w:rsidR="00683CF6" w:rsidRPr="000D6527" w:rsidRDefault="00683CF6" w:rsidP="00683CF6">
      <w:pPr>
        <w:ind w:left="1985" w:hanging="284"/>
      </w:pPr>
      <w:r w:rsidRPr="000D6527">
        <w:t>•</w:t>
      </w:r>
      <w:r w:rsidRPr="000D6527">
        <w:tab/>
        <w:t>gridded data (ER Mapper format)</w:t>
      </w:r>
    </w:p>
    <w:p w:rsidR="00683CF6" w:rsidRPr="000D6527" w:rsidRDefault="00683CF6" w:rsidP="00683CF6">
      <w:pPr>
        <w:ind w:left="1985" w:hanging="284"/>
      </w:pPr>
      <w:r w:rsidRPr="000D6527">
        <w:t>•</w:t>
      </w:r>
      <w:r w:rsidRPr="000D6527">
        <w:tab/>
        <w:t>final located data (ASEG GDF2 format or fixed column ASCII with a header).</w:t>
      </w:r>
    </w:p>
    <w:p w:rsidR="00683CF6" w:rsidRPr="000D6527" w:rsidRDefault="00683CF6" w:rsidP="00683CF6">
      <w:pPr>
        <w:ind w:left="1701"/>
      </w:pPr>
      <w:r w:rsidRPr="000D6527">
        <w:t xml:space="preserve">All geophysical survey data, including airborne surveys, should be submitted with the technical exploration report. Digital data must conform with requirements as outlined by the </w:t>
      </w:r>
      <w:hyperlink r:id="rId139" w:history="1">
        <w:r w:rsidRPr="000D6527">
          <w:rPr>
            <w:color w:val="0000FF"/>
            <w:u w:val="single"/>
          </w:rPr>
          <w:t>Australian requirements for the submission of digital exploration data</w:t>
        </w:r>
      </w:hyperlink>
      <w:r w:rsidRPr="000D6527">
        <w:t>.</w:t>
      </w:r>
    </w:p>
    <w:p w:rsidR="00683CF6" w:rsidRPr="000D6527" w:rsidRDefault="00683CF6" w:rsidP="00683CF6">
      <w:pPr>
        <w:ind w:left="1134" w:hanging="425"/>
        <w:rPr>
          <w:b/>
        </w:rPr>
      </w:pPr>
      <w:r w:rsidRPr="000D6527">
        <w:rPr>
          <w:b/>
        </w:rPr>
        <w:t>3.2.4</w:t>
      </w:r>
      <w:r w:rsidRPr="000D6527">
        <w:rPr>
          <w:b/>
        </w:rPr>
        <w:tab/>
        <w:t>Remote sensing data</w:t>
      </w:r>
    </w:p>
    <w:p w:rsidR="00683CF6" w:rsidRPr="000D6527" w:rsidRDefault="00683CF6" w:rsidP="00683CF6">
      <w:pPr>
        <w:ind w:left="1134"/>
      </w:pPr>
      <w:r w:rsidRPr="000D6527">
        <w:t>Describe the remote sensing survey, including the following where applicable:</w:t>
      </w:r>
    </w:p>
    <w:p w:rsidR="00683CF6" w:rsidRPr="000D6527" w:rsidRDefault="00683CF6" w:rsidP="00683CF6">
      <w:pPr>
        <w:ind w:left="1418" w:hanging="284"/>
      </w:pPr>
      <w:r w:rsidRPr="000D6527">
        <w:t>•</w:t>
      </w:r>
      <w:r w:rsidRPr="000D6527">
        <w:tab/>
        <w:t>standard scale maps (as per Clause 3.3.2) showing survey locations and flight lines</w:t>
      </w:r>
    </w:p>
    <w:p w:rsidR="00683CF6" w:rsidRPr="000D6527" w:rsidRDefault="00683CF6" w:rsidP="00683CF6">
      <w:pPr>
        <w:ind w:left="1418" w:hanging="284"/>
      </w:pPr>
      <w:r w:rsidRPr="000D6527">
        <w:t>•</w:t>
      </w:r>
      <w:r w:rsidRPr="000D6527">
        <w:tab/>
        <w:t>specifications of surveys and instruments (as below) so that another operator can extend or reinterpret the survey:</w:t>
      </w:r>
    </w:p>
    <w:p w:rsidR="00683CF6" w:rsidRPr="000D6527" w:rsidRDefault="00683CF6" w:rsidP="00683CF6">
      <w:pPr>
        <w:ind w:left="1701" w:hanging="283"/>
      </w:pPr>
      <w:r w:rsidRPr="000D6527">
        <w:t>-</w:t>
      </w:r>
      <w:r w:rsidRPr="000D6527">
        <w:tab/>
        <w:t>survey specifications—survey type, date, contractor, parameters recorded, instruments used, line orientation, line spacing and, where applicable, mean terrain clearance and aircraft type</w:t>
      </w:r>
    </w:p>
    <w:p w:rsidR="00683CF6" w:rsidRPr="000D6527" w:rsidRDefault="00683CF6" w:rsidP="00683CF6">
      <w:pPr>
        <w:ind w:left="1701" w:hanging="283"/>
      </w:pPr>
      <w:r w:rsidRPr="000D6527">
        <w:t>-</w:t>
      </w:r>
      <w:r w:rsidRPr="000D6527">
        <w:tab/>
        <w:t>instrument specifications—instrument type, design, power, units of measurement (preferably SI), order of accuracy and mode of recording data ie. analogue or digital</w:t>
      </w:r>
    </w:p>
    <w:p w:rsidR="00683CF6" w:rsidRPr="000D6527" w:rsidRDefault="00683CF6" w:rsidP="00683CF6">
      <w:pPr>
        <w:ind w:left="1701" w:hanging="283"/>
      </w:pPr>
      <w:r w:rsidRPr="000D6527">
        <w:t>-</w:t>
      </w:r>
      <w:r w:rsidRPr="000D6527">
        <w:tab/>
        <w:t>other information—conversion factors for units outside the SI system, data on terrain conditions and nature of the ground</w:t>
      </w:r>
    </w:p>
    <w:p w:rsidR="00683CF6" w:rsidRPr="000D6527" w:rsidRDefault="00683CF6" w:rsidP="00683CF6">
      <w:pPr>
        <w:ind w:left="1701" w:hanging="283"/>
      </w:pPr>
      <w:r w:rsidRPr="000D6527">
        <w:t>-</w:t>
      </w:r>
      <w:r w:rsidRPr="000D6527">
        <w:tab/>
        <w:t>raw data with associated calibration data—calibration parameters and procedures, and any quality control data.</w:t>
      </w:r>
    </w:p>
    <w:p w:rsidR="00683CF6" w:rsidRPr="000D6527" w:rsidRDefault="00683CF6" w:rsidP="00683CF6">
      <w:pPr>
        <w:ind w:left="1418" w:hanging="284"/>
      </w:pPr>
      <w:r w:rsidRPr="000D6527">
        <w:t>•</w:t>
      </w:r>
      <w:r w:rsidRPr="000D6527">
        <w:tab/>
        <w:t>processed data tied to MGA2020 (GDA2020) and at the same scales as other presented maps—eg. geological map—to enable easy comparison.</w:t>
      </w:r>
    </w:p>
    <w:p w:rsidR="00683CF6" w:rsidRPr="000D6527" w:rsidRDefault="00683CF6" w:rsidP="00683CF6">
      <w:pPr>
        <w:ind w:left="1418" w:hanging="284"/>
      </w:pPr>
      <w:r w:rsidRPr="000D6527">
        <w:t>•</w:t>
      </w:r>
      <w:r w:rsidRPr="000D6527">
        <w:tab/>
        <w:t>survey company logistics report detailing data acquisition operations and processing</w:t>
      </w:r>
    </w:p>
    <w:p w:rsidR="00683CF6" w:rsidRPr="000D6527" w:rsidRDefault="00683CF6" w:rsidP="00683CF6">
      <w:pPr>
        <w:ind w:left="1418" w:hanging="284"/>
      </w:pPr>
      <w:r w:rsidRPr="000D6527">
        <w:t>•</w:t>
      </w:r>
      <w:r w:rsidRPr="000D6527">
        <w:tab/>
        <w:t>details of data processing techniques used</w:t>
      </w:r>
    </w:p>
    <w:p w:rsidR="00683CF6" w:rsidRPr="000D6527" w:rsidRDefault="00683CF6" w:rsidP="00683CF6">
      <w:pPr>
        <w:ind w:left="1418" w:hanging="284"/>
      </w:pPr>
      <w:r w:rsidRPr="000D6527">
        <w:t>•</w:t>
      </w:r>
      <w:r w:rsidRPr="000D6527">
        <w:tab/>
        <w:t>written reports on the results and interpretations of surveys</w:t>
      </w:r>
    </w:p>
    <w:p w:rsidR="00683CF6" w:rsidRPr="000D6527" w:rsidRDefault="00683CF6" w:rsidP="00683CF6">
      <w:pPr>
        <w:ind w:left="1418" w:hanging="284"/>
      </w:pPr>
      <w:r w:rsidRPr="000D6527">
        <w:t>•</w:t>
      </w:r>
      <w:r w:rsidRPr="000D6527">
        <w:tab/>
        <w:t>interpretations of results—discussions of what constitutes an anomaly, and the relation of anomalies to geochemistry, geology and drilling results</w:t>
      </w:r>
    </w:p>
    <w:p w:rsidR="00683CF6" w:rsidRPr="000D6527" w:rsidRDefault="00683CF6" w:rsidP="00683CF6">
      <w:pPr>
        <w:ind w:left="1418" w:hanging="284"/>
      </w:pPr>
      <w:r w:rsidRPr="000D6527">
        <w:t>•</w:t>
      </w:r>
      <w:r w:rsidRPr="000D6527">
        <w:tab/>
        <w:t>flight diagrams and specifications of aerial photography should be supplied ie. scale, black and white or colour, contractor, date flown etc, as well as the location and ownership of prints and negatives</w:t>
      </w:r>
    </w:p>
    <w:p w:rsidR="00683CF6" w:rsidRPr="000D6527" w:rsidRDefault="00683CF6" w:rsidP="00683CF6">
      <w:pPr>
        <w:ind w:left="1418" w:hanging="284"/>
      </w:pPr>
      <w:r w:rsidRPr="000D6527">
        <w:t>•</w:t>
      </w:r>
      <w:r w:rsidRPr="000D6527">
        <w:tab/>
        <w:t>results and specifications from other remote sensing surveys—eg. Landsat, airborne multispectral scanner (Geoscan), spot, radar—must be reported in text of the report, together with the storage location and ownership of any digital data</w:t>
      </w:r>
    </w:p>
    <w:p w:rsidR="00683CF6" w:rsidRPr="000D6527" w:rsidRDefault="00683CF6" w:rsidP="00683CF6">
      <w:pPr>
        <w:ind w:left="1418" w:hanging="284"/>
      </w:pPr>
      <w:r w:rsidRPr="000D6527">
        <w:t>•</w:t>
      </w:r>
      <w:r w:rsidRPr="000D6527">
        <w:tab/>
        <w:t xml:space="preserve">where available, a digital copy of the raw and processed data should be submitted as an image data file (see </w:t>
      </w:r>
      <w:hyperlink r:id="rId140" w:history="1">
        <w:r w:rsidRPr="000D6527">
          <w:rPr>
            <w:color w:val="0000FF"/>
            <w:u w:val="single"/>
          </w:rPr>
          <w:t>Australian requirements for the submission of digital exploration data</w:t>
        </w:r>
      </w:hyperlink>
      <w:r w:rsidRPr="000D6527">
        <w:t xml:space="preserve"> for acceptable formats). Otherwise images produced may be submitted within the report as appropriately labelled 35 mm slides or colour photographs, with a description of each scene and the process used to produce each image</w:t>
      </w:r>
    </w:p>
    <w:p w:rsidR="00683CF6" w:rsidRPr="000D6527" w:rsidRDefault="00683CF6" w:rsidP="00683CF6">
      <w:pPr>
        <w:ind w:left="1418" w:hanging="284"/>
      </w:pPr>
      <w:r w:rsidRPr="000D6527">
        <w:t>•</w:t>
      </w:r>
      <w:r w:rsidRPr="000D6527">
        <w:tab/>
        <w:t>if the data is protected by copyright laws which prevent the inclusion of contour maps or image prints, then a detailed interpretation plan must be submitted</w:t>
      </w:r>
    </w:p>
    <w:p w:rsidR="00683CF6" w:rsidRPr="000D6527" w:rsidRDefault="00683CF6" w:rsidP="00683CF6">
      <w:pPr>
        <w:ind w:left="1418" w:hanging="284"/>
      </w:pPr>
      <w:r w:rsidRPr="000D6527">
        <w:t>•</w:t>
      </w:r>
      <w:r w:rsidRPr="000D6527">
        <w:tab/>
        <w:t>images must have some means of locating the data on the ground—ideally these should be referenced to MGA2020 (GDA2020)</w:t>
      </w:r>
    </w:p>
    <w:p w:rsidR="00683CF6" w:rsidRPr="000D6527" w:rsidRDefault="00683CF6" w:rsidP="00683CF6">
      <w:pPr>
        <w:ind w:left="1418" w:hanging="284"/>
      </w:pPr>
      <w:r w:rsidRPr="000D6527">
        <w:t>•</w:t>
      </w:r>
      <w:r w:rsidRPr="000D6527">
        <w:tab/>
        <w:t>where appropriate, identify the individual bands included in each image and their colour allocation. Provide a brief description of the process used to develop the image (if not proprietary).</w:t>
      </w:r>
    </w:p>
    <w:p w:rsidR="00683CF6" w:rsidRPr="000D6527" w:rsidRDefault="00683CF6" w:rsidP="00683CF6">
      <w:pPr>
        <w:ind w:left="1134"/>
      </w:pPr>
      <w:r w:rsidRPr="000D6527">
        <w:t xml:space="preserve">Remote sensing survey data should be submitted with the </w:t>
      </w:r>
      <w:r w:rsidRPr="000D6527">
        <w:rPr>
          <w:b/>
        </w:rPr>
        <w:t>technical exploration report</w:t>
      </w:r>
      <w:r w:rsidRPr="000D6527">
        <w:t xml:space="preserve">. This data must conform with the requirements as outlined by the </w:t>
      </w:r>
      <w:hyperlink r:id="rId141" w:history="1">
        <w:r w:rsidRPr="000D6527">
          <w:rPr>
            <w:color w:val="0000FF"/>
            <w:u w:val="single"/>
          </w:rPr>
          <w:t>Australian requirements for the submission of digital exploration data</w:t>
        </w:r>
      </w:hyperlink>
      <w:r w:rsidRPr="000D6527">
        <w:t>.</w:t>
      </w:r>
    </w:p>
    <w:p w:rsidR="00683CF6" w:rsidRPr="000D6527" w:rsidRDefault="00683CF6" w:rsidP="00683CF6">
      <w:pPr>
        <w:ind w:left="1134" w:hanging="425"/>
        <w:rPr>
          <w:b/>
        </w:rPr>
      </w:pPr>
      <w:r w:rsidRPr="000D6527">
        <w:rPr>
          <w:b/>
        </w:rPr>
        <w:t>3.2.5</w:t>
      </w:r>
      <w:r w:rsidRPr="000D6527">
        <w:rPr>
          <w:b/>
        </w:rPr>
        <w:tab/>
        <w:t>Surface geochemistry</w:t>
      </w:r>
    </w:p>
    <w:p w:rsidR="00683CF6" w:rsidRPr="000D6527" w:rsidRDefault="00683CF6" w:rsidP="00683CF6">
      <w:pPr>
        <w:ind w:left="1134"/>
      </w:pPr>
      <w:r w:rsidRPr="000D6527">
        <w:t>Describe geochemical surveys undertaken (excluding drill assays which should be described under Clause 3.2.6.2), their results, and their relationship to other components of the exploration program. Describe geochemical surveys in sufficient detail to allow them to be reproduced or reinterpreted.</w:t>
      </w:r>
    </w:p>
    <w:p w:rsidR="00683CF6" w:rsidRPr="000D6527" w:rsidRDefault="00683CF6" w:rsidP="00683CF6">
      <w:pPr>
        <w:ind w:left="1134"/>
      </w:pPr>
      <w:r w:rsidRPr="000D6527">
        <w:t>The following information should be provided:</w:t>
      </w:r>
    </w:p>
    <w:p w:rsidR="00683CF6" w:rsidRPr="000D6527" w:rsidRDefault="00683CF6" w:rsidP="00683CF6">
      <w:pPr>
        <w:ind w:left="1418" w:hanging="284"/>
      </w:pPr>
      <w:r w:rsidRPr="000D6527">
        <w:t>•</w:t>
      </w:r>
      <w:r w:rsidRPr="000D6527">
        <w:tab/>
        <w:t>A map of the surveyed area (as per Clause 3.3.2) showing:</w:t>
      </w:r>
    </w:p>
    <w:p w:rsidR="00683CF6" w:rsidRPr="000D6527" w:rsidRDefault="00683CF6" w:rsidP="00683CF6">
      <w:pPr>
        <w:ind w:left="1701" w:hanging="283"/>
      </w:pPr>
      <w:r w:rsidRPr="000D6527">
        <w:t>-</w:t>
      </w:r>
      <w:r w:rsidRPr="000D6527">
        <w:tab/>
        <w:t>sample locations with sample number and type—rock chip, soil, stream sediment etc</w:t>
      </w:r>
    </w:p>
    <w:p w:rsidR="00683CF6" w:rsidRPr="000D6527" w:rsidRDefault="00683CF6" w:rsidP="00683CF6">
      <w:pPr>
        <w:ind w:left="1701" w:hanging="283"/>
      </w:pPr>
      <w:r w:rsidRPr="000D6527">
        <w:t>-</w:t>
      </w:r>
      <w:r w:rsidRPr="000D6527">
        <w:tab/>
        <w:t>relevant geographic features, including drainage lines and topographic contours, or the general gradient along traverses</w:t>
      </w:r>
    </w:p>
    <w:p w:rsidR="00683CF6" w:rsidRPr="000D6527" w:rsidRDefault="00683CF6" w:rsidP="00683CF6">
      <w:pPr>
        <w:ind w:left="1701" w:hanging="283"/>
      </w:pPr>
      <w:r w:rsidRPr="000D6527">
        <w:t>-</w:t>
      </w:r>
      <w:r w:rsidRPr="000D6527">
        <w:tab/>
        <w:t>relevant geological features, if appropriate</w:t>
      </w:r>
    </w:p>
    <w:p w:rsidR="00683CF6" w:rsidRPr="000D6527" w:rsidRDefault="00683CF6" w:rsidP="00683CF6">
      <w:pPr>
        <w:ind w:left="1701" w:hanging="283"/>
      </w:pPr>
      <w:r w:rsidRPr="000D6527">
        <w:t>-</w:t>
      </w:r>
      <w:r w:rsidRPr="000D6527">
        <w:tab/>
        <w:t>a standard coordinate grid such as MGA2020 (GDA2020), with datum and projection clearly specified.</w:t>
      </w:r>
    </w:p>
    <w:p w:rsidR="00683CF6" w:rsidRPr="000D6527" w:rsidRDefault="00683CF6" w:rsidP="00683CF6">
      <w:pPr>
        <w:ind w:left="1418" w:hanging="284"/>
      </w:pPr>
      <w:r w:rsidRPr="000D6527">
        <w:t>•</w:t>
      </w:r>
      <w:r w:rsidRPr="000D6527">
        <w:tab/>
        <w:t>Field sampling procedures nominating sample type—eg. rock chip, soil, stream sediment, calcrete, water, gossan or mineralisation, costean, bulk, air, vegetation, material sampled, sample weight, sampled depth (soil horizon, if applicable) and method of collection.</w:t>
      </w:r>
    </w:p>
    <w:p w:rsidR="00683CF6" w:rsidRPr="000D6527" w:rsidRDefault="00683CF6" w:rsidP="00683CF6">
      <w:pPr>
        <w:ind w:left="1418" w:hanging="284"/>
      </w:pPr>
      <w:r w:rsidRPr="000D6527">
        <w:t>•</w:t>
      </w:r>
      <w:r w:rsidRPr="000D6527">
        <w:tab/>
        <w:t>Where important, a description of sample preparation, such as size fraction analysed, and any concentration of samples—eg. heavy mineral separation, fraction, panned concentrate.</w:t>
      </w:r>
    </w:p>
    <w:p w:rsidR="00683CF6" w:rsidRPr="000D6527" w:rsidRDefault="00683CF6" w:rsidP="00683CF6">
      <w:pPr>
        <w:ind w:left="1418" w:hanging="284"/>
      </w:pPr>
      <w:r w:rsidRPr="000D6527">
        <w:t>•</w:t>
      </w:r>
      <w:r w:rsidRPr="000D6527">
        <w:tab/>
        <w:t>Details of analytical procedures including:</w:t>
      </w:r>
    </w:p>
    <w:p w:rsidR="00683CF6" w:rsidRPr="000D6527" w:rsidRDefault="00683CF6" w:rsidP="00683CF6">
      <w:pPr>
        <w:ind w:left="1701" w:hanging="283"/>
      </w:pPr>
      <w:r w:rsidRPr="000D6527">
        <w:t>-</w:t>
      </w:r>
      <w:r w:rsidRPr="000D6527">
        <w:tab/>
        <w:t>name of the analytical laboratory</w:t>
      </w:r>
    </w:p>
    <w:p w:rsidR="00683CF6" w:rsidRPr="000D6527" w:rsidRDefault="00683CF6" w:rsidP="00683CF6">
      <w:pPr>
        <w:ind w:left="1701" w:hanging="283"/>
      </w:pPr>
      <w:r w:rsidRPr="000D6527">
        <w:t>-</w:t>
      </w:r>
      <w:r w:rsidRPr="000D6527">
        <w:tab/>
        <w:t>elements, oxides, isotopes etc analysed</w:t>
      </w:r>
    </w:p>
    <w:p w:rsidR="00683CF6" w:rsidRPr="000D6527" w:rsidRDefault="00683CF6" w:rsidP="00683CF6">
      <w:pPr>
        <w:ind w:left="1701" w:hanging="283"/>
      </w:pPr>
      <w:r w:rsidRPr="000D6527">
        <w:t>-</w:t>
      </w:r>
      <w:r w:rsidRPr="000D6527">
        <w:tab/>
        <w:t>laboratory methods/codes, including description of sample preparation, digestion and determination</w:t>
      </w:r>
    </w:p>
    <w:p w:rsidR="00683CF6" w:rsidRPr="000D6527" w:rsidRDefault="00683CF6" w:rsidP="00683CF6">
      <w:pPr>
        <w:ind w:left="1701" w:hanging="283"/>
      </w:pPr>
      <w:r w:rsidRPr="000D6527">
        <w:t>-</w:t>
      </w:r>
      <w:r w:rsidRPr="000D6527">
        <w:tab/>
        <w:t>analytical methods with detection limits and accuracy.</w:t>
      </w:r>
    </w:p>
    <w:p w:rsidR="00683CF6" w:rsidRPr="000D6527" w:rsidRDefault="00683CF6" w:rsidP="00683CF6">
      <w:pPr>
        <w:ind w:left="1418" w:hanging="284"/>
      </w:pPr>
      <w:r w:rsidRPr="000D6527">
        <w:t>•</w:t>
      </w:r>
      <w:r w:rsidRPr="000D6527">
        <w:tab/>
        <w:t xml:space="preserve">Full assay results in tabular form. Refer to </w:t>
      </w:r>
      <w:hyperlink r:id="rId142" w:history="1">
        <w:r w:rsidRPr="000D6527">
          <w:rPr>
            <w:color w:val="0000FF"/>
            <w:u w:val="single"/>
          </w:rPr>
          <w:t>Australian requirements for the submission of digital exploration data</w:t>
        </w:r>
      </w:hyperlink>
      <w:r w:rsidRPr="000D6527">
        <w:t xml:space="preserve"> for the required digital format.</w:t>
      </w:r>
    </w:p>
    <w:p w:rsidR="00683CF6" w:rsidRPr="000D6527" w:rsidRDefault="00683CF6" w:rsidP="00683CF6">
      <w:pPr>
        <w:ind w:left="1418" w:hanging="284"/>
      </w:pPr>
      <w:r w:rsidRPr="000D6527">
        <w:t>•</w:t>
      </w:r>
      <w:r w:rsidRPr="000D6527">
        <w:tab/>
        <w:t>Processed data (optional)—for example, contour plans, preferably for each of the elements analysed, with individual values and sample numbers plotted. Include interpretations of the results, showing any anomalies encountered and their relationship to geology and geophysical anomalies, where appropriate.</w:t>
      </w:r>
    </w:p>
    <w:p w:rsidR="00683CF6" w:rsidRPr="000D6527" w:rsidRDefault="00683CF6" w:rsidP="00683CF6">
      <w:pPr>
        <w:ind w:left="1418" w:hanging="284"/>
      </w:pPr>
      <w:r w:rsidRPr="000D6527">
        <w:t>•</w:t>
      </w:r>
      <w:r w:rsidRPr="000D6527">
        <w:tab/>
        <w:t>A description of methods used for processing and interpretation of data to determine anomalies, particularly if advanced data processing or statistical methods have been used.</w:t>
      </w:r>
    </w:p>
    <w:p w:rsidR="00683CF6" w:rsidRPr="000D6527" w:rsidRDefault="00683CF6" w:rsidP="00683CF6">
      <w:pPr>
        <w:ind w:left="1418" w:hanging="284"/>
      </w:pPr>
      <w:r w:rsidRPr="000D6527">
        <w:t>•</w:t>
      </w:r>
      <w:r w:rsidRPr="000D6527">
        <w:tab/>
        <w:t>Results of geochemical/mineralogical exploration—eg. for diamonds, heavy mineral sands—should be reported as above but also include the following information:</w:t>
      </w:r>
    </w:p>
    <w:p w:rsidR="00683CF6" w:rsidRPr="000D6527" w:rsidRDefault="00683CF6" w:rsidP="00683CF6">
      <w:pPr>
        <w:ind w:left="1701" w:hanging="283"/>
      </w:pPr>
      <w:r w:rsidRPr="000D6527">
        <w:t>-</w:t>
      </w:r>
      <w:r w:rsidRPr="000D6527">
        <w:tab/>
        <w:t>mineralogy</w:t>
      </w:r>
    </w:p>
    <w:p w:rsidR="00683CF6" w:rsidRPr="000D6527" w:rsidRDefault="00683CF6" w:rsidP="00683CF6">
      <w:pPr>
        <w:ind w:left="1701" w:hanging="283"/>
      </w:pPr>
      <w:r w:rsidRPr="000D6527">
        <w:t>-</w:t>
      </w:r>
      <w:r w:rsidRPr="000D6527">
        <w:tab/>
        <w:t>grain size analyses</w:t>
      </w:r>
    </w:p>
    <w:p w:rsidR="00683CF6" w:rsidRPr="000D6527" w:rsidRDefault="00683CF6" w:rsidP="00683CF6">
      <w:pPr>
        <w:ind w:left="1701" w:hanging="283"/>
      </w:pPr>
      <w:r w:rsidRPr="000D6527">
        <w:t>-</w:t>
      </w:r>
      <w:r w:rsidRPr="000D6527">
        <w:tab/>
        <w:t>analysis of indicator minerals and/or other minerals</w:t>
      </w:r>
    </w:p>
    <w:p w:rsidR="00683CF6" w:rsidRPr="000D6527" w:rsidRDefault="00683CF6" w:rsidP="00683CF6">
      <w:pPr>
        <w:ind w:left="1701" w:hanging="283"/>
      </w:pPr>
      <w:r w:rsidRPr="000D6527">
        <w:t>-</w:t>
      </w:r>
      <w:r w:rsidRPr="000D6527">
        <w:tab/>
        <w:t>results of bulk sampling.</w:t>
      </w:r>
    </w:p>
    <w:p w:rsidR="00683CF6" w:rsidRPr="000D6527" w:rsidRDefault="00683CF6" w:rsidP="00683CF6">
      <w:pPr>
        <w:ind w:left="1418" w:hanging="284"/>
      </w:pPr>
      <w:r w:rsidRPr="000D6527">
        <w:t>•</w:t>
      </w:r>
      <w:r w:rsidRPr="000D6527">
        <w:tab/>
        <w:t>Storage location and the possibility of access to the samples at conclusion of the exploration program.</w:t>
      </w:r>
    </w:p>
    <w:p w:rsidR="00683CF6" w:rsidRPr="000D6527" w:rsidRDefault="00683CF6" w:rsidP="00683CF6">
      <w:pPr>
        <w:ind w:left="1134" w:hanging="425"/>
        <w:rPr>
          <w:b/>
        </w:rPr>
      </w:pPr>
      <w:r w:rsidRPr="000D6527">
        <w:rPr>
          <w:b/>
        </w:rPr>
        <w:t>3.2.6</w:t>
      </w:r>
      <w:r w:rsidRPr="000D6527">
        <w:rPr>
          <w:b/>
        </w:rPr>
        <w:tab/>
        <w:t>Drilling</w:t>
      </w:r>
    </w:p>
    <w:p w:rsidR="00683CF6" w:rsidRPr="000D6527" w:rsidRDefault="00683CF6" w:rsidP="00683CF6">
      <w:pPr>
        <w:ind w:left="1134"/>
      </w:pPr>
      <w:r w:rsidRPr="000D6527">
        <w:t>Discussion of drilling programs should include, in the text of the report:</w:t>
      </w:r>
    </w:p>
    <w:p w:rsidR="00683CF6" w:rsidRPr="000D6527" w:rsidRDefault="00683CF6" w:rsidP="00683CF6">
      <w:pPr>
        <w:ind w:left="1418" w:hanging="284"/>
      </w:pPr>
      <w:r w:rsidRPr="000D6527">
        <w:t>•</w:t>
      </w:r>
      <w:r w:rsidRPr="000D6527">
        <w:tab/>
        <w:t>a statement of the purpose and targets of the program, including project/program/prospect names</w:t>
      </w:r>
    </w:p>
    <w:p w:rsidR="00683CF6" w:rsidRPr="000D6527" w:rsidRDefault="00683CF6" w:rsidP="00683CF6">
      <w:pPr>
        <w:ind w:left="1418" w:hanging="284"/>
      </w:pPr>
      <w:r w:rsidRPr="000D6527">
        <w:t>•</w:t>
      </w:r>
      <w:r w:rsidRPr="000D6527">
        <w:tab/>
        <w:t>a summary of the drilling, describing the type of drilling, number of holes, total metres drilled, hole and line spacing if grid based, method and accuracy of hole location, drilling contractor, rig type, duration of the program, method of sample (for record purposes) and assay, storage of record samples, and a statement on the nature of completion/abandonment of drillholes</w:t>
      </w:r>
    </w:p>
    <w:p w:rsidR="00683CF6" w:rsidRPr="000D6527" w:rsidRDefault="00683CF6" w:rsidP="00683CF6">
      <w:pPr>
        <w:ind w:left="1418" w:hanging="284"/>
      </w:pPr>
      <w:r w:rsidRPr="000D6527">
        <w:t>•</w:t>
      </w:r>
      <w:r w:rsidRPr="000D6527">
        <w:tab/>
        <w:t>a summary table of hole header information, showing hole name, drilling method if not the same for all holes, MGA2020 location (specify datum—GDA2020 preferred), zone, depth, declination and azimuth if not vertical, completion date and sample number range</w:t>
      </w:r>
    </w:p>
    <w:p w:rsidR="00683CF6" w:rsidRPr="000D6527" w:rsidRDefault="00683CF6" w:rsidP="00683CF6">
      <w:pPr>
        <w:ind w:left="1418" w:hanging="284"/>
      </w:pPr>
      <w:r w:rsidRPr="000D6527">
        <w:t>•</w:t>
      </w:r>
      <w:r w:rsidRPr="000D6527">
        <w:tab/>
        <w:t>a statement of geochemical testing carried out, including laboratory, elements/compounds assayed, methods, detection limits, and if appropriate, regarding significant results</w:t>
      </w:r>
    </w:p>
    <w:p w:rsidR="00683CF6" w:rsidRPr="000D6527" w:rsidRDefault="00683CF6" w:rsidP="00683CF6">
      <w:pPr>
        <w:ind w:left="1418" w:hanging="284"/>
      </w:pPr>
      <w:r w:rsidRPr="000D6527">
        <w:t>•</w:t>
      </w:r>
      <w:r w:rsidRPr="000D6527">
        <w:tab/>
        <w:t>a statement of other tests carried out on the samples, such as petrology, palaeontology, mineralogy, geochronology, grain size analysis and petrophysical. Results and interpretation of petrology, palaeontology, mineralogy and geochronology should be discussed under Clause 3.2.2</w:t>
      </w:r>
    </w:p>
    <w:p w:rsidR="00683CF6" w:rsidRPr="000D6527" w:rsidRDefault="00683CF6" w:rsidP="00683CF6">
      <w:pPr>
        <w:ind w:left="1418" w:hanging="284"/>
      </w:pPr>
      <w:r w:rsidRPr="000D6527">
        <w:t>•</w:t>
      </w:r>
      <w:r w:rsidRPr="000D6527">
        <w:tab/>
        <w:t>a statement of any downhole surveys carried out, indicating the nature of the survey and the contractor and, if appropriate, a discussion of the results of the surveys</w:t>
      </w:r>
    </w:p>
    <w:p w:rsidR="00683CF6" w:rsidRPr="000D6527" w:rsidRDefault="00683CF6" w:rsidP="00683CF6">
      <w:pPr>
        <w:ind w:left="1418" w:hanging="284"/>
      </w:pPr>
      <w:r w:rsidRPr="000D6527">
        <w:t>•</w:t>
      </w:r>
      <w:r w:rsidRPr="000D6527">
        <w:tab/>
        <w:t>a summary of any photographs or digital images of core submitted</w:t>
      </w:r>
    </w:p>
    <w:p w:rsidR="00683CF6" w:rsidRPr="000D6527" w:rsidRDefault="00683CF6" w:rsidP="00683CF6">
      <w:pPr>
        <w:ind w:left="1418" w:hanging="284"/>
      </w:pPr>
      <w:r w:rsidRPr="000D6527">
        <w:t>•</w:t>
      </w:r>
      <w:r w:rsidRPr="000D6527">
        <w:tab/>
        <w:t>for surrender reports, an indication of how and when the requirement for submission of samples to the South Australia Drill Core Reference Library will be met.</w:t>
      </w:r>
    </w:p>
    <w:p w:rsidR="00683CF6" w:rsidRDefault="00683CF6" w:rsidP="00683CF6">
      <w:pPr>
        <w:rPr>
          <w:b/>
          <w:i/>
        </w:rPr>
      </w:pPr>
      <w:r>
        <w:rPr>
          <w:b/>
          <w:i/>
        </w:rPr>
        <w:br w:type="page"/>
      </w:r>
    </w:p>
    <w:p w:rsidR="00683CF6" w:rsidRPr="000D6527" w:rsidRDefault="00683CF6" w:rsidP="00683CF6">
      <w:pPr>
        <w:ind w:left="1701" w:hanging="567"/>
        <w:rPr>
          <w:b/>
          <w:i/>
        </w:rPr>
      </w:pPr>
      <w:r w:rsidRPr="000D6527">
        <w:rPr>
          <w:b/>
          <w:i/>
        </w:rPr>
        <w:t>3.2.6.1</w:t>
      </w:r>
      <w:r w:rsidRPr="000D6527">
        <w:rPr>
          <w:b/>
          <w:i/>
        </w:rPr>
        <w:tab/>
        <w:t>Drillhole log data</w:t>
      </w:r>
    </w:p>
    <w:p w:rsidR="00683CF6" w:rsidRPr="000D6527" w:rsidRDefault="00683CF6" w:rsidP="00683CF6">
      <w:pPr>
        <w:ind w:left="1701"/>
      </w:pPr>
      <w:r w:rsidRPr="000D6527">
        <w:t xml:space="preserve">Drillhole log data should be included in digital form, as per the </w:t>
      </w:r>
      <w:hyperlink r:id="rId143" w:history="1">
        <w:r w:rsidRPr="000D6527">
          <w:rPr>
            <w:color w:val="0000FF"/>
            <w:u w:val="single"/>
          </w:rPr>
          <w:t>Australian requirements for the submission of digital exploration data</w:t>
        </w:r>
      </w:hyperlink>
      <w:r w:rsidRPr="000D6527">
        <w:t>, and as logs in an appendix to the report showing:</w:t>
      </w:r>
    </w:p>
    <w:p w:rsidR="00683CF6" w:rsidRPr="000D6527" w:rsidRDefault="00683CF6" w:rsidP="00683CF6">
      <w:pPr>
        <w:ind w:left="1985" w:hanging="284"/>
      </w:pPr>
      <w:r w:rsidRPr="000D6527">
        <w:t>•</w:t>
      </w:r>
      <w:r w:rsidRPr="000D6527">
        <w:tab/>
        <w:t>header information including:</w:t>
      </w:r>
    </w:p>
    <w:p w:rsidR="00683CF6" w:rsidRPr="000D6527" w:rsidRDefault="00683CF6" w:rsidP="00683CF6">
      <w:pPr>
        <w:ind w:left="2268" w:hanging="283"/>
      </w:pPr>
      <w:r w:rsidRPr="000D6527">
        <w:t>-</w:t>
      </w:r>
      <w:r w:rsidRPr="000D6527">
        <w:tab/>
        <w:t>company name</w:t>
      </w:r>
    </w:p>
    <w:p w:rsidR="00683CF6" w:rsidRPr="000D6527" w:rsidRDefault="00683CF6" w:rsidP="00683CF6">
      <w:pPr>
        <w:ind w:left="2268" w:hanging="283"/>
      </w:pPr>
      <w:r w:rsidRPr="000D6527">
        <w:t>-</w:t>
      </w:r>
      <w:r w:rsidRPr="000D6527">
        <w:tab/>
        <w:t>tenement number</w:t>
      </w:r>
    </w:p>
    <w:p w:rsidR="00683CF6" w:rsidRPr="000D6527" w:rsidRDefault="00683CF6" w:rsidP="00683CF6">
      <w:pPr>
        <w:ind w:left="2268" w:hanging="283"/>
      </w:pPr>
      <w:r w:rsidRPr="000D6527">
        <w:t>-</w:t>
      </w:r>
      <w:r w:rsidRPr="000D6527">
        <w:tab/>
        <w:t>project name</w:t>
      </w:r>
    </w:p>
    <w:p w:rsidR="00683CF6" w:rsidRPr="000D6527" w:rsidRDefault="00683CF6" w:rsidP="00683CF6">
      <w:pPr>
        <w:ind w:left="2268" w:hanging="283"/>
      </w:pPr>
      <w:r w:rsidRPr="000D6527">
        <w:t>-</w:t>
      </w:r>
      <w:r w:rsidRPr="000D6527">
        <w:tab/>
        <w:t>hole name</w:t>
      </w:r>
    </w:p>
    <w:p w:rsidR="00683CF6" w:rsidRPr="000D6527" w:rsidRDefault="00683CF6" w:rsidP="00683CF6">
      <w:pPr>
        <w:ind w:left="2268" w:hanging="283"/>
      </w:pPr>
      <w:r w:rsidRPr="000D6527">
        <w:t>-</w:t>
      </w:r>
      <w:r w:rsidRPr="000D6527">
        <w:tab/>
        <w:t>drilling contractor</w:t>
      </w:r>
    </w:p>
    <w:p w:rsidR="00683CF6" w:rsidRPr="000D6527" w:rsidRDefault="00683CF6" w:rsidP="00683CF6">
      <w:pPr>
        <w:ind w:left="2268" w:hanging="283"/>
      </w:pPr>
      <w:r w:rsidRPr="000D6527">
        <w:t>-</w:t>
      </w:r>
      <w:r w:rsidRPr="000D6527">
        <w:tab/>
        <w:t>rig type</w:t>
      </w:r>
    </w:p>
    <w:p w:rsidR="00683CF6" w:rsidRPr="000D6527" w:rsidRDefault="00683CF6" w:rsidP="00683CF6">
      <w:pPr>
        <w:ind w:left="2268" w:hanging="283"/>
      </w:pPr>
      <w:r w:rsidRPr="000D6527">
        <w:t>-</w:t>
      </w:r>
      <w:r w:rsidRPr="000D6527">
        <w:tab/>
        <w:t>drilling method(s)</w:t>
      </w:r>
    </w:p>
    <w:p w:rsidR="00683CF6" w:rsidRPr="000D6527" w:rsidRDefault="00683CF6" w:rsidP="00683CF6">
      <w:pPr>
        <w:ind w:left="2268" w:hanging="283"/>
      </w:pPr>
      <w:r w:rsidRPr="000D6527">
        <w:t>-</w:t>
      </w:r>
      <w:r w:rsidRPr="000D6527">
        <w:tab/>
        <w:t>commencement and completion dates</w:t>
      </w:r>
    </w:p>
    <w:p w:rsidR="00683CF6" w:rsidRPr="000D6527" w:rsidRDefault="00683CF6" w:rsidP="00683CF6">
      <w:pPr>
        <w:ind w:left="2268" w:hanging="283"/>
      </w:pPr>
      <w:r w:rsidRPr="000D6527">
        <w:t>-</w:t>
      </w:r>
      <w:r w:rsidRPr="000D6527">
        <w:tab/>
        <w:t>MGA2020 coordinates, including zone (or latitude/longitude) with datum clearly specified (GDA2020 is preferred), and accuracy of coordinates</w:t>
      </w:r>
    </w:p>
    <w:p w:rsidR="00683CF6" w:rsidRPr="000D6527" w:rsidRDefault="00683CF6" w:rsidP="00683CF6">
      <w:pPr>
        <w:ind w:left="2268" w:hanging="283"/>
      </w:pPr>
      <w:r w:rsidRPr="000D6527">
        <w:t>-</w:t>
      </w:r>
      <w:r w:rsidRPr="000D6527">
        <w:tab/>
        <w:t>declination and azimuth if not vertical</w:t>
      </w:r>
    </w:p>
    <w:p w:rsidR="00683CF6" w:rsidRPr="000D6527" w:rsidRDefault="00683CF6" w:rsidP="00683CF6">
      <w:pPr>
        <w:ind w:left="2268" w:hanging="283"/>
      </w:pPr>
      <w:r w:rsidRPr="000D6527">
        <w:t>-</w:t>
      </w:r>
      <w:r w:rsidRPr="000D6527">
        <w:tab/>
        <w:t>collar elevation, indicating height datum</w:t>
      </w:r>
    </w:p>
    <w:p w:rsidR="00683CF6" w:rsidRPr="000D6527" w:rsidRDefault="00683CF6" w:rsidP="00683CF6">
      <w:pPr>
        <w:ind w:left="2268" w:hanging="283"/>
      </w:pPr>
      <w:r w:rsidRPr="000D6527">
        <w:t>-</w:t>
      </w:r>
      <w:r w:rsidRPr="000D6527">
        <w:tab/>
        <w:t>total depth.</w:t>
      </w:r>
    </w:p>
    <w:p w:rsidR="00683CF6" w:rsidRPr="000D6527" w:rsidRDefault="00683CF6" w:rsidP="00683CF6">
      <w:pPr>
        <w:ind w:left="1985" w:hanging="284"/>
      </w:pPr>
      <w:r w:rsidRPr="000D6527">
        <w:t>•</w:t>
      </w:r>
      <w:r w:rsidRPr="000D6527">
        <w:tab/>
        <w:t>a geological log in full English text (preferred); where codes are used, include a full and complete code descriptor. Logs should detail the lithology and mineralogy of each interval, and include a summary stratigraphic interpretation ie. probable formation or age names</w:t>
      </w:r>
    </w:p>
    <w:p w:rsidR="00683CF6" w:rsidRPr="000D6527" w:rsidRDefault="00683CF6" w:rsidP="00683CF6">
      <w:pPr>
        <w:ind w:left="1985" w:hanging="284"/>
      </w:pPr>
      <w:r w:rsidRPr="000D6527">
        <w:t>•</w:t>
      </w:r>
      <w:r w:rsidRPr="000D6527">
        <w:tab/>
        <w:t>sample recovery, if pertinent—eg. diamond core</w:t>
      </w:r>
    </w:p>
    <w:p w:rsidR="00683CF6" w:rsidRPr="000D6527" w:rsidRDefault="00683CF6" w:rsidP="00683CF6">
      <w:pPr>
        <w:ind w:left="1985" w:hanging="284"/>
      </w:pPr>
      <w:r w:rsidRPr="000D6527">
        <w:t>•</w:t>
      </w:r>
      <w:r w:rsidRPr="000D6527">
        <w:tab/>
        <w:t>sampled intervals and sample numbers</w:t>
      </w:r>
    </w:p>
    <w:p w:rsidR="00683CF6" w:rsidRPr="000D6527" w:rsidRDefault="00683CF6" w:rsidP="00683CF6">
      <w:pPr>
        <w:ind w:left="1985" w:hanging="284"/>
      </w:pPr>
      <w:r w:rsidRPr="000D6527">
        <w:t>•</w:t>
      </w:r>
      <w:r w:rsidRPr="000D6527">
        <w:tab/>
        <w:t>analytical results</w:t>
      </w:r>
    </w:p>
    <w:p w:rsidR="00683CF6" w:rsidRPr="000D6527" w:rsidRDefault="00683CF6" w:rsidP="00683CF6">
      <w:pPr>
        <w:ind w:left="1985" w:hanging="284"/>
      </w:pPr>
      <w:r w:rsidRPr="000D6527">
        <w:t>•</w:t>
      </w:r>
      <w:r w:rsidRPr="000D6527">
        <w:tab/>
        <w:t>petrophysical results when tests were made on samples, including magnetic susceptibility, scintillometer counts, density etc</w:t>
      </w:r>
    </w:p>
    <w:p w:rsidR="00683CF6" w:rsidRPr="000D6527" w:rsidRDefault="00683CF6" w:rsidP="00683CF6">
      <w:pPr>
        <w:ind w:left="1985" w:hanging="284"/>
      </w:pPr>
      <w:r w:rsidRPr="000D6527">
        <w:t>•</w:t>
      </w:r>
      <w:r w:rsidRPr="000D6527">
        <w:tab/>
        <w:t>details of downhole directional surveys, including instrument type</w:t>
      </w:r>
    </w:p>
    <w:p w:rsidR="00683CF6" w:rsidRPr="000D6527" w:rsidRDefault="00683CF6" w:rsidP="00683CF6">
      <w:pPr>
        <w:ind w:left="1985" w:hanging="284"/>
      </w:pPr>
      <w:r w:rsidRPr="000D6527">
        <w:t>•</w:t>
      </w:r>
      <w:r w:rsidRPr="000D6527">
        <w:tab/>
        <w:t xml:space="preserve">where drilling methods permit, record groundwater information on depth water first cut, depth of any samples taken, standing water level and an estimate of the flow rate (L/s) on the logs and in a summary table. Provide a copy of the summary table to the Department for Environment and Water if this has been requested in the letter of approval for a </w:t>
      </w:r>
      <w:hyperlink r:id="rId144" w:history="1">
        <w:r w:rsidRPr="000D6527">
          <w:rPr>
            <w:color w:val="0000FF"/>
            <w:u w:val="single"/>
          </w:rPr>
          <w:t>Notice of use of declared equipment</w:t>
        </w:r>
      </w:hyperlink>
      <w:r w:rsidRPr="000D6527">
        <w:t>.</w:t>
      </w:r>
    </w:p>
    <w:p w:rsidR="00683CF6" w:rsidRPr="000D6527" w:rsidRDefault="00683CF6" w:rsidP="00683CF6">
      <w:pPr>
        <w:ind w:left="1701" w:hanging="567"/>
        <w:rPr>
          <w:b/>
          <w:i/>
        </w:rPr>
      </w:pPr>
      <w:r w:rsidRPr="000D6527">
        <w:rPr>
          <w:b/>
          <w:i/>
        </w:rPr>
        <w:t>3.2.6.2</w:t>
      </w:r>
      <w:r w:rsidRPr="000D6527">
        <w:rPr>
          <w:b/>
          <w:i/>
        </w:rPr>
        <w:tab/>
        <w:t>Analytical results</w:t>
      </w:r>
    </w:p>
    <w:p w:rsidR="00683CF6" w:rsidRPr="000D6527" w:rsidRDefault="00683CF6" w:rsidP="00683CF6">
      <w:pPr>
        <w:ind w:left="1701"/>
      </w:pPr>
      <w:r w:rsidRPr="000D6527">
        <w:t xml:space="preserve">Analytical results should be included in digital form, as per the </w:t>
      </w:r>
      <w:hyperlink r:id="rId145" w:history="1">
        <w:r w:rsidRPr="000D6527">
          <w:rPr>
            <w:color w:val="0000FF"/>
            <w:u w:val="single"/>
          </w:rPr>
          <w:t>Australian requirements for the submission of digital exploration data</w:t>
        </w:r>
      </w:hyperlink>
      <w:r w:rsidRPr="000D6527">
        <w:t>, and as a fully detailed table in an appendix to the report showing:</w:t>
      </w:r>
    </w:p>
    <w:p w:rsidR="00683CF6" w:rsidRPr="000D6527" w:rsidRDefault="00683CF6" w:rsidP="00683CF6">
      <w:pPr>
        <w:ind w:left="1985" w:hanging="284"/>
      </w:pPr>
      <w:r w:rsidRPr="000D6527">
        <w:t>•</w:t>
      </w:r>
      <w:r w:rsidRPr="000D6527">
        <w:tab/>
        <w:t>laboratory</w:t>
      </w:r>
    </w:p>
    <w:p w:rsidR="00683CF6" w:rsidRPr="000D6527" w:rsidRDefault="00683CF6" w:rsidP="00683CF6">
      <w:pPr>
        <w:ind w:left="1985" w:hanging="284"/>
      </w:pPr>
      <w:r w:rsidRPr="000D6527">
        <w:t>•</w:t>
      </w:r>
      <w:r w:rsidRPr="000D6527">
        <w:tab/>
        <w:t>laboratory report number</w:t>
      </w:r>
    </w:p>
    <w:p w:rsidR="00683CF6" w:rsidRPr="000D6527" w:rsidRDefault="00683CF6" w:rsidP="00683CF6">
      <w:pPr>
        <w:ind w:left="1985" w:hanging="284"/>
      </w:pPr>
      <w:r w:rsidRPr="000D6527">
        <w:t>•</w:t>
      </w:r>
      <w:r w:rsidRPr="000D6527">
        <w:tab/>
        <w:t>hole number</w:t>
      </w:r>
    </w:p>
    <w:p w:rsidR="00683CF6" w:rsidRPr="000D6527" w:rsidRDefault="00683CF6" w:rsidP="00683CF6">
      <w:pPr>
        <w:ind w:left="1985" w:hanging="284"/>
      </w:pPr>
      <w:r w:rsidRPr="000D6527">
        <w:t>•</w:t>
      </w:r>
      <w:r w:rsidRPr="000D6527">
        <w:tab/>
        <w:t>sample number</w:t>
      </w:r>
    </w:p>
    <w:p w:rsidR="00683CF6" w:rsidRPr="000D6527" w:rsidRDefault="00683CF6" w:rsidP="00683CF6">
      <w:pPr>
        <w:ind w:left="1985" w:hanging="284"/>
      </w:pPr>
      <w:r w:rsidRPr="000D6527">
        <w:t>•</w:t>
      </w:r>
      <w:r w:rsidRPr="000D6527">
        <w:tab/>
        <w:t>sampled interval</w:t>
      </w:r>
    </w:p>
    <w:p w:rsidR="00683CF6" w:rsidRPr="000D6527" w:rsidRDefault="00683CF6" w:rsidP="00683CF6">
      <w:pPr>
        <w:ind w:left="1985" w:hanging="284"/>
      </w:pPr>
      <w:r w:rsidRPr="000D6527">
        <w:t>•</w:t>
      </w:r>
      <w:r w:rsidRPr="000D6527">
        <w:tab/>
        <w:t>elements/compounds assayed</w:t>
      </w:r>
    </w:p>
    <w:p w:rsidR="00683CF6" w:rsidRPr="000D6527" w:rsidRDefault="00683CF6" w:rsidP="00683CF6">
      <w:pPr>
        <w:ind w:left="1985" w:hanging="284"/>
      </w:pPr>
      <w:r w:rsidRPr="000D6527">
        <w:t>•</w:t>
      </w:r>
      <w:r w:rsidRPr="000D6527">
        <w:tab/>
        <w:t>laboratory method code with sample preparation and analytical method description as for surface samples</w:t>
      </w:r>
    </w:p>
    <w:p w:rsidR="00683CF6" w:rsidRPr="000D6527" w:rsidRDefault="00683CF6" w:rsidP="00683CF6">
      <w:pPr>
        <w:ind w:left="1985" w:hanging="284"/>
      </w:pPr>
      <w:r w:rsidRPr="000D6527">
        <w:t>•</w:t>
      </w:r>
      <w:r w:rsidRPr="000D6527">
        <w:tab/>
        <w:t>units, detection limits.</w:t>
      </w:r>
    </w:p>
    <w:p w:rsidR="00683CF6" w:rsidRPr="000D6527" w:rsidRDefault="00683CF6" w:rsidP="00683CF6">
      <w:pPr>
        <w:ind w:left="1701"/>
      </w:pPr>
      <w:r w:rsidRPr="000D6527">
        <w:t>Copies of laboratory reports are acceptable provided they have been annotated to show hole and sample details or a separate table is provided showing these details.</w:t>
      </w:r>
    </w:p>
    <w:p w:rsidR="00683CF6" w:rsidRPr="000D6527" w:rsidRDefault="00683CF6" w:rsidP="00683CF6">
      <w:pPr>
        <w:ind w:left="1701" w:hanging="567"/>
        <w:rPr>
          <w:b/>
          <w:i/>
        </w:rPr>
      </w:pPr>
      <w:r w:rsidRPr="000D6527">
        <w:rPr>
          <w:b/>
          <w:i/>
        </w:rPr>
        <w:t>3.2.6.3</w:t>
      </w:r>
      <w:r w:rsidRPr="000D6527">
        <w:rPr>
          <w:b/>
          <w:i/>
        </w:rPr>
        <w:tab/>
        <w:t>Downhole geophysical survey results</w:t>
      </w:r>
    </w:p>
    <w:p w:rsidR="00683CF6" w:rsidRPr="000D6527" w:rsidRDefault="00683CF6" w:rsidP="00683CF6">
      <w:pPr>
        <w:ind w:left="1701"/>
      </w:pPr>
      <w:r w:rsidRPr="000D6527">
        <w:t>Downhole geophysical survey results should be included in digital form, as per the Australian requirements for the submission of digital exploration data, and as an appendix of the report including:</w:t>
      </w:r>
    </w:p>
    <w:p w:rsidR="00683CF6" w:rsidRPr="000D6527" w:rsidRDefault="00683CF6" w:rsidP="00683CF6">
      <w:pPr>
        <w:ind w:left="1985" w:hanging="284"/>
      </w:pPr>
      <w:r w:rsidRPr="000D6527">
        <w:t>•</w:t>
      </w:r>
      <w:r w:rsidRPr="000D6527">
        <w:tab/>
        <w:t>a statement describing the type of logs run, the name of the contractor, a description of the techniques and equipment used, and the dates and duration of the surveys if not concurrent with the drilling</w:t>
      </w:r>
    </w:p>
    <w:p w:rsidR="00683CF6" w:rsidRPr="000D6527" w:rsidRDefault="00683CF6" w:rsidP="00683CF6">
      <w:pPr>
        <w:ind w:left="1985" w:hanging="284"/>
      </w:pPr>
      <w:r w:rsidRPr="000D6527">
        <w:t>•</w:t>
      </w:r>
      <w:r w:rsidRPr="000D6527">
        <w:tab/>
        <w:t>a copy of each log with detailed header information, including hole name, prospect name, tenement number, date logged, relevant operating parameters and, if possible, a geological interpretation</w:t>
      </w:r>
    </w:p>
    <w:p w:rsidR="00683CF6" w:rsidRPr="000D6527" w:rsidRDefault="00683CF6" w:rsidP="00683CF6">
      <w:pPr>
        <w:ind w:left="1985" w:hanging="284"/>
      </w:pPr>
      <w:r w:rsidRPr="000D6527">
        <w:t>•</w:t>
      </w:r>
      <w:r w:rsidRPr="000D6527">
        <w:tab/>
        <w:t>a discussion of the results of the geophysical surveys in so far as they relate to the objectives and targets of the drilling program.</w:t>
      </w:r>
    </w:p>
    <w:p w:rsidR="00683CF6" w:rsidRPr="000D6527" w:rsidRDefault="00683CF6" w:rsidP="00683CF6">
      <w:pPr>
        <w:ind w:left="1701" w:hanging="567"/>
        <w:rPr>
          <w:b/>
          <w:i/>
        </w:rPr>
      </w:pPr>
      <w:r w:rsidRPr="000D6527">
        <w:rPr>
          <w:b/>
          <w:i/>
        </w:rPr>
        <w:t>3.2.6.4</w:t>
      </w:r>
      <w:r w:rsidRPr="000D6527">
        <w:rPr>
          <w:b/>
          <w:i/>
        </w:rPr>
        <w:tab/>
        <w:t>Core photographs/images</w:t>
      </w:r>
    </w:p>
    <w:p w:rsidR="00683CF6" w:rsidRPr="000D6527" w:rsidRDefault="00683CF6" w:rsidP="00683CF6">
      <w:pPr>
        <w:ind w:left="1701"/>
      </w:pPr>
      <w:r w:rsidRPr="000D6527">
        <w:t xml:space="preserve">Core photographs/images—where available in digital form these should be included in the digital report, as per the </w:t>
      </w:r>
      <w:hyperlink r:id="rId146" w:history="1">
        <w:r w:rsidRPr="000D6527">
          <w:rPr>
            <w:color w:val="0000FF"/>
            <w:u w:val="single"/>
          </w:rPr>
          <w:t>Australian requirements for the submission of digital exploration data</w:t>
        </w:r>
      </w:hyperlink>
    </w:p>
    <w:p w:rsidR="00683CF6" w:rsidRPr="000D6527" w:rsidRDefault="00683CF6" w:rsidP="00683CF6">
      <w:pPr>
        <w:ind w:left="1701" w:hanging="567"/>
        <w:rPr>
          <w:b/>
          <w:i/>
        </w:rPr>
      </w:pPr>
      <w:r w:rsidRPr="000D6527">
        <w:rPr>
          <w:b/>
          <w:i/>
        </w:rPr>
        <w:t>3.2.6.5</w:t>
      </w:r>
      <w:r w:rsidRPr="000D6527">
        <w:rPr>
          <w:b/>
          <w:i/>
        </w:rPr>
        <w:tab/>
        <w:t>Other tests</w:t>
      </w:r>
    </w:p>
    <w:p w:rsidR="00683CF6" w:rsidRPr="000D6527" w:rsidRDefault="00683CF6" w:rsidP="00683CF6">
      <w:pPr>
        <w:ind w:left="1701"/>
      </w:pPr>
      <w:r w:rsidRPr="000D6527">
        <w:t>Report other tests undertaken on drilling samples in detail in appendices. It is preferable that petrological and mineralogical investigation of samples be presented as full copies of the consultant’s report(s), including any discussion and/or interpretation, and annotation or an accompanying table referencing the sample to the appropriate drillhole. Discussions of the results of mineralogical, petrological and paleontological work (in relation to the geological understanding of the area) should be included under Clause 3.2.2.</w:t>
      </w:r>
    </w:p>
    <w:p w:rsidR="00683CF6" w:rsidRDefault="00683CF6" w:rsidP="00683CF6">
      <w:pPr>
        <w:rPr>
          <w:b/>
          <w:i/>
        </w:rPr>
      </w:pPr>
      <w:r>
        <w:rPr>
          <w:b/>
          <w:i/>
        </w:rPr>
        <w:br w:type="page"/>
      </w:r>
    </w:p>
    <w:p w:rsidR="00683CF6" w:rsidRPr="000D6527" w:rsidRDefault="00683CF6" w:rsidP="00683CF6">
      <w:pPr>
        <w:ind w:left="1701" w:hanging="567"/>
        <w:rPr>
          <w:b/>
          <w:i/>
        </w:rPr>
      </w:pPr>
      <w:r w:rsidRPr="000D6527">
        <w:rPr>
          <w:b/>
          <w:i/>
        </w:rPr>
        <w:t>3.2.6.6</w:t>
      </w:r>
      <w:r w:rsidRPr="000D6527">
        <w:rPr>
          <w:b/>
          <w:i/>
        </w:rPr>
        <w:tab/>
        <w:t>Maps</w:t>
      </w:r>
    </w:p>
    <w:p w:rsidR="00683CF6" w:rsidRPr="000D6527" w:rsidRDefault="00683CF6" w:rsidP="00683CF6">
      <w:pPr>
        <w:ind w:left="1701"/>
      </w:pPr>
      <w:r w:rsidRPr="000D6527">
        <w:t>Maps must be provided as per Clause 3.3.2 and show:</w:t>
      </w:r>
    </w:p>
    <w:p w:rsidR="00683CF6" w:rsidRPr="000D6527" w:rsidRDefault="00683CF6" w:rsidP="00683CF6">
      <w:pPr>
        <w:ind w:left="1985" w:hanging="284"/>
      </w:pPr>
      <w:r w:rsidRPr="000D6527">
        <w:t>•</w:t>
      </w:r>
      <w:r w:rsidRPr="000D6527">
        <w:tab/>
        <w:t>individual drillhole locations identified by drillhole name, without confusion due to overwrite. Maps should be at a scale or scales appropriate to show this</w:t>
      </w:r>
    </w:p>
    <w:p w:rsidR="00683CF6" w:rsidRPr="000D6527" w:rsidRDefault="00683CF6" w:rsidP="00683CF6">
      <w:pPr>
        <w:ind w:left="1985" w:hanging="284"/>
      </w:pPr>
      <w:r w:rsidRPr="000D6527">
        <w:t>•</w:t>
      </w:r>
      <w:r w:rsidRPr="000D6527">
        <w:tab/>
        <w:t>the location and orientation of any drillhole sections.</w:t>
      </w:r>
    </w:p>
    <w:p w:rsidR="00683CF6" w:rsidRPr="000D6527" w:rsidRDefault="00683CF6" w:rsidP="00683CF6">
      <w:pPr>
        <w:ind w:left="1134" w:hanging="425"/>
        <w:rPr>
          <w:b/>
        </w:rPr>
      </w:pPr>
      <w:r w:rsidRPr="000D6527">
        <w:rPr>
          <w:b/>
        </w:rPr>
        <w:t>3.2.7</w:t>
      </w:r>
      <w:r w:rsidRPr="000D6527">
        <w:rPr>
          <w:b/>
        </w:rPr>
        <w:tab/>
        <w:t>Other studies or work</w:t>
      </w:r>
    </w:p>
    <w:p w:rsidR="00683CF6" w:rsidRPr="000D6527" w:rsidRDefault="00683CF6" w:rsidP="00683CF6">
      <w:pPr>
        <w:ind w:left="1134"/>
      </w:pPr>
      <w:r w:rsidRPr="000D6527">
        <w:t>Any other studies or work, such as metallurgical and mineral processing studies, mining feasibility studies, and hydrogeological studies, should be reported and summarised in the text under this heading. Where separate consultant reports or study reports have been produced these can be added as appendixes to the main technical report.</w:t>
      </w:r>
    </w:p>
    <w:p w:rsidR="00683CF6" w:rsidRPr="000D6527" w:rsidRDefault="00683CF6" w:rsidP="00683CF6">
      <w:pPr>
        <w:ind w:left="1134"/>
      </w:pPr>
      <w:r w:rsidRPr="000D6527">
        <w:t>Where a survey grid has been established as a location control for exploration activities on the ground, a grid plan should be included. The plan should show the grid orientation, the grid origin, and its relationship to a nationally recognised grid such as MGA2020 (GDA2020).</w:t>
      </w:r>
    </w:p>
    <w:p w:rsidR="00683CF6" w:rsidRPr="000D6527" w:rsidRDefault="00683CF6" w:rsidP="00683CF6">
      <w:pPr>
        <w:ind w:left="1134" w:hanging="425"/>
        <w:rPr>
          <w:b/>
        </w:rPr>
      </w:pPr>
      <w:r w:rsidRPr="000D6527">
        <w:rPr>
          <w:b/>
        </w:rPr>
        <w:t>3.2.8</w:t>
      </w:r>
      <w:r w:rsidRPr="000D6527">
        <w:rPr>
          <w:b/>
        </w:rPr>
        <w:tab/>
        <w:t>Reporting on ore reserves and resources</w:t>
      </w:r>
    </w:p>
    <w:p w:rsidR="00683CF6" w:rsidRPr="000D6527" w:rsidRDefault="00683CF6" w:rsidP="00683CF6">
      <w:pPr>
        <w:ind w:left="1134"/>
      </w:pPr>
      <w:r w:rsidRPr="000D6527">
        <w:t>Statements of any resources or reserves identified must be reported.</w:t>
      </w:r>
    </w:p>
    <w:p w:rsidR="00683CF6" w:rsidRPr="000D6527" w:rsidRDefault="00683CF6" w:rsidP="00683CF6">
      <w:pPr>
        <w:ind w:left="1134"/>
      </w:pPr>
      <w:r w:rsidRPr="000D6527">
        <w:t>Statements must be reported in accordance with most recent version of:</w:t>
      </w:r>
    </w:p>
    <w:p w:rsidR="00683CF6" w:rsidRPr="000D6527" w:rsidRDefault="00683CF6" w:rsidP="00683CF6">
      <w:pPr>
        <w:ind w:left="1418" w:hanging="284"/>
      </w:pPr>
      <w:r w:rsidRPr="000D6527">
        <w:t>•</w:t>
      </w:r>
      <w:r w:rsidRPr="000D6527">
        <w:tab/>
      </w:r>
      <w:hyperlink r:id="rId147" w:history="1">
        <w:r w:rsidRPr="000D6527">
          <w:rPr>
            <w:color w:val="0000FF"/>
            <w:spacing w:val="-2"/>
            <w:u w:val="single"/>
          </w:rPr>
          <w:t>The JORC code: Australasian code for reporting of exploration results, mineral resources</w:t>
        </w:r>
      </w:hyperlink>
      <w:r w:rsidRPr="000D6527">
        <w:rPr>
          <w:spacing w:val="-2"/>
        </w:rPr>
        <w:t xml:space="preserve"> and ore reserves (Australasian Joint Ore Reserves Committee, JORC).</w:t>
      </w:r>
    </w:p>
    <w:p w:rsidR="00683CF6" w:rsidRPr="000D6527" w:rsidRDefault="00683CF6" w:rsidP="00683CF6">
      <w:pPr>
        <w:ind w:left="1418" w:hanging="284"/>
      </w:pPr>
      <w:r w:rsidRPr="000D6527">
        <w:t>•</w:t>
      </w:r>
      <w:r w:rsidRPr="000D6527">
        <w:tab/>
      </w:r>
      <w:hyperlink r:id="rId148" w:history="1">
        <w:r w:rsidRPr="000D6527">
          <w:rPr>
            <w:color w:val="0000FF"/>
            <w:u w:val="single"/>
          </w:rPr>
          <w:t>Australian guidelines for the estimation and classification of coal resources</w:t>
        </w:r>
      </w:hyperlink>
      <w:r w:rsidRPr="000D6527">
        <w:t>.</w:t>
      </w:r>
    </w:p>
    <w:p w:rsidR="00683CF6" w:rsidRPr="000D6527" w:rsidRDefault="00683CF6" w:rsidP="00683CF6">
      <w:pPr>
        <w:ind w:left="1134"/>
      </w:pPr>
      <w:r w:rsidRPr="000D6527">
        <w:t>If pre-resource mineralisation, identified mineral resources or ore reserves were identified during the reporting period, then report full details of these as a separate appendix or volume including:</w:t>
      </w:r>
    </w:p>
    <w:p w:rsidR="00683CF6" w:rsidRPr="000D6527" w:rsidRDefault="00683CF6" w:rsidP="00683CF6">
      <w:pPr>
        <w:ind w:left="1418" w:hanging="284"/>
      </w:pPr>
      <w:r w:rsidRPr="000D6527">
        <w:t>•</w:t>
      </w:r>
      <w:r w:rsidRPr="000D6527">
        <w:tab/>
        <w:t>plans and sections showing significant results and ore blocks and ore outlines</w:t>
      </w:r>
    </w:p>
    <w:p w:rsidR="00683CF6" w:rsidRPr="000D6527" w:rsidRDefault="00683CF6" w:rsidP="00683CF6">
      <w:pPr>
        <w:ind w:left="1418" w:hanging="284"/>
      </w:pPr>
      <w:r w:rsidRPr="000D6527">
        <w:t>•</w:t>
      </w:r>
      <w:r w:rsidRPr="000D6527">
        <w:tab/>
        <w:t>summary table of significant results</w:t>
      </w:r>
    </w:p>
    <w:p w:rsidR="00683CF6" w:rsidRPr="000D6527" w:rsidRDefault="00683CF6" w:rsidP="00683CF6">
      <w:pPr>
        <w:ind w:left="1418" w:hanging="284"/>
      </w:pPr>
      <w:r w:rsidRPr="000D6527">
        <w:t>•</w:t>
      </w:r>
      <w:r w:rsidRPr="000D6527">
        <w:tab/>
        <w:t>description of the method(s) used for calculating ore reserves.</w:t>
      </w:r>
    </w:p>
    <w:p w:rsidR="00683CF6" w:rsidRPr="000D6527" w:rsidRDefault="00683CF6" w:rsidP="00683CF6">
      <w:pPr>
        <w:ind w:left="1134"/>
      </w:pPr>
      <w:r w:rsidRPr="000D6527">
        <w:t xml:space="preserve">Later annual updates and revisions of resource or reserve estimates should be provided only in summary form, based on the recommendations of the </w:t>
      </w:r>
      <w:r w:rsidRPr="000D6527">
        <w:rPr>
          <w:i/>
        </w:rPr>
        <w:t xml:space="preserve">JORC code </w:t>
      </w:r>
      <w:r w:rsidRPr="000D6527">
        <w:t>on the reporting of mineral resources and ore reserves.</w:t>
      </w:r>
    </w:p>
    <w:p w:rsidR="00683CF6" w:rsidRPr="000D6527" w:rsidRDefault="00683CF6" w:rsidP="00683CF6">
      <w:pPr>
        <w:ind w:left="1134"/>
      </w:pPr>
      <w:r w:rsidRPr="000D6527">
        <w:t>Reporting of pre-resource mineralisation, or identified resources in the category of inferred mineral resources, may be prepared by a qualified geoscientist who need not be a ‘competent person’ as specified in the code.</w:t>
      </w:r>
    </w:p>
    <w:p w:rsidR="00683CF6" w:rsidRPr="000D6527" w:rsidRDefault="00683CF6" w:rsidP="00683CF6">
      <w:pPr>
        <w:ind w:left="1134" w:hanging="425"/>
        <w:rPr>
          <w:b/>
        </w:rPr>
      </w:pPr>
      <w:r w:rsidRPr="000D6527">
        <w:rPr>
          <w:b/>
        </w:rPr>
        <w:t>3.2.9</w:t>
      </w:r>
      <w:r w:rsidRPr="000D6527">
        <w:rPr>
          <w:b/>
        </w:rPr>
        <w:tab/>
        <w:t>Conclusion</w:t>
      </w:r>
    </w:p>
    <w:p w:rsidR="00683CF6" w:rsidRPr="000D6527" w:rsidRDefault="00683CF6" w:rsidP="00683CF6">
      <w:pPr>
        <w:ind w:left="1134"/>
      </w:pPr>
      <w:r w:rsidRPr="000D6527">
        <w:t>Summarise the main results and conclusions drawn from the work completed over the reporting period. Reference to summarised geological interpretations such as maps and drillhole cross-sections (showing significant results) would be useful.</w:t>
      </w:r>
    </w:p>
    <w:p w:rsidR="00683CF6" w:rsidRPr="000D6527" w:rsidRDefault="00683CF6" w:rsidP="00683CF6">
      <w:pPr>
        <w:ind w:left="1134"/>
      </w:pPr>
      <w:r w:rsidRPr="000D6527">
        <w:t>In the case of expiry or surrender of the tenement, give reasons for this.</w:t>
      </w:r>
    </w:p>
    <w:p w:rsidR="00683CF6" w:rsidRPr="000D6527" w:rsidRDefault="00683CF6" w:rsidP="00683CF6">
      <w:pPr>
        <w:ind w:left="1134" w:hanging="567"/>
        <w:rPr>
          <w:b/>
        </w:rPr>
      </w:pPr>
      <w:r w:rsidRPr="000D6527">
        <w:rPr>
          <w:b/>
        </w:rPr>
        <w:t>   3.2.10</w:t>
      </w:r>
      <w:r w:rsidRPr="000D6527">
        <w:rPr>
          <w:b/>
        </w:rPr>
        <w:tab/>
        <w:t>References</w:t>
      </w:r>
    </w:p>
    <w:p w:rsidR="00683CF6" w:rsidRPr="000D6527" w:rsidRDefault="00683CF6" w:rsidP="00683CF6">
      <w:pPr>
        <w:ind w:left="1134"/>
      </w:pPr>
      <w:r w:rsidRPr="000D6527">
        <w:t>List references to other reports used in compiling the technical report.</w:t>
      </w:r>
    </w:p>
    <w:p w:rsidR="00683CF6" w:rsidRPr="000D6527" w:rsidRDefault="00683CF6" w:rsidP="00683CF6">
      <w:pPr>
        <w:ind w:left="709" w:hanging="425"/>
        <w:rPr>
          <w:b/>
        </w:rPr>
      </w:pPr>
      <w:r w:rsidRPr="000D6527">
        <w:rPr>
          <w:b/>
        </w:rPr>
        <w:t>3.3</w:t>
      </w:r>
      <w:r w:rsidRPr="000D6527">
        <w:rPr>
          <w:b/>
        </w:rPr>
        <w:tab/>
        <w:t>End matter</w:t>
      </w:r>
    </w:p>
    <w:p w:rsidR="00683CF6" w:rsidRPr="000D6527" w:rsidRDefault="00683CF6" w:rsidP="00683CF6">
      <w:pPr>
        <w:ind w:left="709"/>
      </w:pPr>
      <w:r w:rsidRPr="000D6527">
        <w:t>The end matter of the report should include items separate from the main body of the report such as maps, plans, images, sections and appendixes.</w:t>
      </w:r>
    </w:p>
    <w:p w:rsidR="00683CF6" w:rsidRPr="000D6527" w:rsidRDefault="00683CF6" w:rsidP="00683CF6">
      <w:pPr>
        <w:ind w:left="709"/>
      </w:pPr>
      <w:r w:rsidRPr="000D6527">
        <w:t>All appendixes and attachments should have a separate title/contents page.</w:t>
      </w:r>
    </w:p>
    <w:p w:rsidR="00683CF6" w:rsidRPr="000D6527" w:rsidRDefault="00683CF6" w:rsidP="00683CF6">
      <w:pPr>
        <w:ind w:left="1134" w:hanging="425"/>
        <w:rPr>
          <w:b/>
        </w:rPr>
      </w:pPr>
      <w:r w:rsidRPr="000D6527">
        <w:rPr>
          <w:b/>
        </w:rPr>
        <w:t>3.3.1</w:t>
      </w:r>
      <w:r w:rsidRPr="000D6527">
        <w:rPr>
          <w:b/>
        </w:rPr>
        <w:tab/>
        <w:t>Appendices</w:t>
      </w:r>
    </w:p>
    <w:p w:rsidR="00683CF6" w:rsidRPr="000D6527" w:rsidRDefault="00683CF6" w:rsidP="00683CF6">
      <w:pPr>
        <w:ind w:left="1134"/>
      </w:pPr>
      <w:r w:rsidRPr="000D6527">
        <w:t>Appendices may contain a variety of information, including consultant studies and reports, and various tabular data such as drill logs and assay results.</w:t>
      </w:r>
    </w:p>
    <w:p w:rsidR="00683CF6" w:rsidRPr="000D6527" w:rsidRDefault="00683CF6" w:rsidP="00683CF6">
      <w:pPr>
        <w:ind w:left="1134" w:hanging="425"/>
        <w:rPr>
          <w:b/>
        </w:rPr>
      </w:pPr>
      <w:r w:rsidRPr="000D6527">
        <w:rPr>
          <w:b/>
        </w:rPr>
        <w:t>3.3.2</w:t>
      </w:r>
      <w:r w:rsidRPr="000D6527">
        <w:rPr>
          <w:b/>
        </w:rPr>
        <w:tab/>
        <w:t>Maps, plans, images and cross-sections</w:t>
      </w:r>
    </w:p>
    <w:p w:rsidR="00683CF6" w:rsidRPr="000D6527" w:rsidRDefault="00683CF6" w:rsidP="00683CF6">
      <w:pPr>
        <w:ind w:left="1134"/>
      </w:pPr>
      <w:r w:rsidRPr="000D6527">
        <w:t>Maps, plans, figures, images and sections should:</w:t>
      </w:r>
    </w:p>
    <w:p w:rsidR="00683CF6" w:rsidRPr="000D6527" w:rsidRDefault="00683CF6" w:rsidP="00683CF6">
      <w:pPr>
        <w:ind w:left="1418" w:hanging="284"/>
      </w:pPr>
      <w:r w:rsidRPr="000D6527">
        <w:t>•</w:t>
      </w:r>
      <w:r w:rsidRPr="000D6527">
        <w:tab/>
        <w:t>be at a standard metric map series scale, i.e. 1:250,000, 1:100,000, 1:50,000, 1:25,000, 1:10,000, 1:5,000, 1:2,000, 1:1,000 or 1:500</w:t>
      </w:r>
    </w:p>
    <w:p w:rsidR="00683CF6" w:rsidRPr="000D6527" w:rsidRDefault="00683CF6" w:rsidP="00683CF6">
      <w:pPr>
        <w:ind w:left="1418" w:hanging="284"/>
      </w:pPr>
      <w:r w:rsidRPr="000D6527">
        <w:t>•</w:t>
      </w:r>
      <w:r w:rsidRPr="000D6527">
        <w:tab/>
        <w:t>use metric measurements throughout</w:t>
      </w:r>
    </w:p>
    <w:p w:rsidR="00683CF6" w:rsidRPr="000D6527" w:rsidRDefault="00683CF6" w:rsidP="00683CF6">
      <w:pPr>
        <w:ind w:left="1418" w:hanging="284"/>
      </w:pPr>
      <w:r w:rsidRPr="000D6527">
        <w:t>•</w:t>
      </w:r>
      <w:r w:rsidRPr="000D6527">
        <w:tab/>
        <w:t>show a graphic bar scale to allow for digital image manipulation</w:t>
      </w:r>
    </w:p>
    <w:p w:rsidR="00683CF6" w:rsidRPr="000D6527" w:rsidRDefault="00683CF6" w:rsidP="00683CF6">
      <w:pPr>
        <w:ind w:left="1418" w:hanging="284"/>
      </w:pPr>
      <w:r w:rsidRPr="000D6527">
        <w:t>•</w:t>
      </w:r>
      <w:r w:rsidRPr="000D6527">
        <w:tab/>
        <w:t>have a north point (grid, true and magnetic north)</w:t>
      </w:r>
    </w:p>
    <w:p w:rsidR="00683CF6" w:rsidRPr="000D6527" w:rsidRDefault="00683CF6" w:rsidP="00683CF6">
      <w:pPr>
        <w:ind w:left="1418" w:hanging="284"/>
      </w:pPr>
      <w:r w:rsidRPr="000D6527">
        <w:t>•</w:t>
      </w:r>
      <w:r w:rsidRPr="000D6527">
        <w:tab/>
        <w:t>be clearly annotated and labelled, including tenement boundaries and number(s), author, plan/figure number, date of drafting and date of any revisions</w:t>
      </w:r>
    </w:p>
    <w:p w:rsidR="00683CF6" w:rsidRPr="000D6527" w:rsidRDefault="00683CF6" w:rsidP="00683CF6">
      <w:pPr>
        <w:ind w:left="1418" w:hanging="284"/>
      </w:pPr>
      <w:r w:rsidRPr="000D6527">
        <w:t>•</w:t>
      </w:r>
      <w:r w:rsidRPr="000D6527">
        <w:tab/>
        <w:t>show a standard coordinate grid with datum and projection clearly specified (MGA2020 (GDA2020) is preferred), or show any local grid lines indicating their relationship to a standard coordinate grid such as MGA2020 (GDA2020)</w:t>
      </w:r>
    </w:p>
    <w:p w:rsidR="00683CF6" w:rsidRPr="000D6527" w:rsidRDefault="00683CF6" w:rsidP="00683CF6">
      <w:pPr>
        <w:ind w:left="1418" w:hanging="284"/>
      </w:pPr>
      <w:r w:rsidRPr="000D6527">
        <w:t>•</w:t>
      </w:r>
      <w:r w:rsidRPr="000D6527">
        <w:tab/>
        <w:t>show sufficient base information to relate the map to standard topographic maps—eg. homesteads, mine workings, prospects, bores, roads, peaks, names of streams, datum points, drill sites</w:t>
      </w:r>
    </w:p>
    <w:p w:rsidR="00683CF6" w:rsidRPr="000D6527" w:rsidRDefault="00683CF6" w:rsidP="00683CF6">
      <w:pPr>
        <w:ind w:left="1418" w:hanging="284"/>
      </w:pPr>
      <w:r w:rsidRPr="000D6527">
        <w:t>•</w:t>
      </w:r>
      <w:r w:rsidRPr="000D6527">
        <w:tab/>
        <w:t>clearly distinguish between ‘fact’ and interpretation—eg. for geological maps</w:t>
      </w:r>
    </w:p>
    <w:p w:rsidR="00683CF6" w:rsidRPr="000D6527" w:rsidRDefault="00683CF6" w:rsidP="00683CF6">
      <w:pPr>
        <w:ind w:left="1418" w:hanging="284"/>
      </w:pPr>
      <w:r w:rsidRPr="000D6527">
        <w:t>•</w:t>
      </w:r>
      <w:r w:rsidRPr="000D6527">
        <w:tab/>
        <w:t>geological maps be presented as line drawings with graphical and/or alphabetical symbols for rock units. Make use of an abbreviations index in the report where a complicated system of abbreviations is used</w:t>
      </w:r>
    </w:p>
    <w:p w:rsidR="00683CF6" w:rsidRPr="000D6527" w:rsidRDefault="00683CF6" w:rsidP="00683CF6">
      <w:pPr>
        <w:ind w:left="1418" w:hanging="284"/>
      </w:pPr>
      <w:r w:rsidRPr="000D6527">
        <w:t>•</w:t>
      </w:r>
      <w:r w:rsidRPr="000D6527">
        <w:tab/>
        <w:t xml:space="preserve">have a clear and comprehensive legend. </w:t>
      </w:r>
      <w:hyperlink r:id="rId149" w:anchor="/metadata/21883" w:history="1">
        <w:r w:rsidRPr="000D6527">
          <w:rPr>
            <w:color w:val="0000FF"/>
            <w:u w:val="single"/>
          </w:rPr>
          <w:t>Symbols used on geological maps</w:t>
        </w:r>
      </w:hyperlink>
      <w:r w:rsidRPr="000D6527">
        <w:t xml:space="preserve"> provide a useful standard</w:t>
      </w:r>
    </w:p>
    <w:p w:rsidR="00683CF6" w:rsidRPr="000D6527" w:rsidRDefault="00683CF6" w:rsidP="00683CF6">
      <w:pPr>
        <w:ind w:left="1418" w:hanging="284"/>
      </w:pPr>
      <w:r w:rsidRPr="000D6527">
        <w:t>•</w:t>
      </w:r>
      <w:r w:rsidRPr="000D6527">
        <w:tab/>
        <w:t>acknowledge sources of information shown that are not the result of original work.</w:t>
      </w:r>
    </w:p>
    <w:p w:rsidR="00683CF6" w:rsidRDefault="00683CF6" w:rsidP="00683CF6">
      <w:r>
        <w:br w:type="page"/>
      </w:r>
    </w:p>
    <w:p w:rsidR="00683CF6" w:rsidRPr="000D6527" w:rsidRDefault="00683CF6" w:rsidP="00683CF6">
      <w:pPr>
        <w:ind w:left="1134"/>
      </w:pPr>
      <w:r w:rsidRPr="000D6527">
        <w:t>Plans and maps compiled from aerial photographs should state full details ie. photo number, run number, survey number, date etc.</w:t>
      </w:r>
    </w:p>
    <w:p w:rsidR="00683CF6" w:rsidRPr="000D6527" w:rsidRDefault="00683CF6" w:rsidP="00683CF6">
      <w:pPr>
        <w:ind w:left="1134"/>
      </w:pPr>
      <w:r w:rsidRPr="000D6527">
        <w:t>Use an exploration index map to show the relationship of all plans to each other.</w:t>
      </w:r>
    </w:p>
    <w:p w:rsidR="00683CF6" w:rsidRPr="000D6527" w:rsidRDefault="00683CF6" w:rsidP="00683CF6">
      <w:pPr>
        <w:spacing w:after="0"/>
      </w:pPr>
      <w:r w:rsidRPr="000D6527">
        <w:t>Dated: 11 December 2020</w:t>
      </w:r>
    </w:p>
    <w:p w:rsidR="00683CF6" w:rsidRPr="000D6527" w:rsidRDefault="00683CF6" w:rsidP="00683CF6">
      <w:pPr>
        <w:spacing w:after="0"/>
        <w:jc w:val="right"/>
        <w:rPr>
          <w:smallCaps/>
          <w:szCs w:val="20"/>
        </w:rPr>
      </w:pPr>
      <w:r w:rsidRPr="000D6527">
        <w:rPr>
          <w:smallCaps/>
          <w:szCs w:val="20"/>
        </w:rPr>
        <w:t>Hon. Daniel van Holst Pellekaan</w:t>
      </w:r>
    </w:p>
    <w:p w:rsidR="00683CF6" w:rsidRPr="000D6527" w:rsidRDefault="00683CF6" w:rsidP="00683CF6">
      <w:pPr>
        <w:spacing w:after="0"/>
        <w:jc w:val="right"/>
      </w:pPr>
      <w:r w:rsidRPr="000D6527">
        <w:t>Minister for Energy and Minister</w:t>
      </w:r>
    </w:p>
    <w:p w:rsidR="00683CF6" w:rsidRPr="000D6527" w:rsidRDefault="00683CF6" w:rsidP="00683CF6">
      <w:pPr>
        <w:pBdr>
          <w:top w:val="single" w:sz="4" w:space="1" w:color="auto"/>
        </w:pBdr>
        <w:spacing w:before="100" w:after="0" w:line="14" w:lineRule="exact"/>
        <w:jc w:val="center"/>
      </w:pPr>
    </w:p>
    <w:p w:rsidR="00683CF6" w:rsidRPr="000D6527" w:rsidRDefault="00683CF6" w:rsidP="00683CF6">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rsidR="00683CF6" w:rsidRPr="002C7933" w:rsidRDefault="00683CF6" w:rsidP="00683CF6">
      <w:pPr>
        <w:pStyle w:val="GG-Title1"/>
      </w:pPr>
      <w:r w:rsidRPr="002C7933">
        <w:t>Mining Regulations 2020</w:t>
      </w:r>
    </w:p>
    <w:p w:rsidR="00683CF6" w:rsidRDefault="00683CF6" w:rsidP="00683CF6">
      <w:pPr>
        <w:pStyle w:val="GG-Title2"/>
        <w:rPr>
          <w:lang w:eastAsia="en-AU"/>
        </w:rPr>
      </w:pPr>
      <w:r w:rsidRPr="002C7933">
        <w:rPr>
          <w:lang w:eastAsia="en-AU"/>
        </w:rPr>
        <w:t>Regulation 80</w:t>
      </w:r>
    </w:p>
    <w:p w:rsidR="00683CF6" w:rsidRPr="00B577AC" w:rsidRDefault="00683CF6" w:rsidP="00683CF6">
      <w:pPr>
        <w:pStyle w:val="GG-Title3"/>
        <w:rPr>
          <w:rFonts w:ascii="Segoe UI" w:hAnsi="Segoe UI" w:cs="Segoe UI"/>
          <w:sz w:val="18"/>
          <w:szCs w:val="18"/>
          <w:lang w:eastAsia="en-AU"/>
        </w:rPr>
      </w:pPr>
      <w:r w:rsidRPr="002C7933">
        <w:rPr>
          <w:lang w:eastAsia="en-AU"/>
        </w:rPr>
        <w:t>Not</w:t>
      </w:r>
      <w:r>
        <w:rPr>
          <w:lang w:eastAsia="en-AU"/>
        </w:rPr>
        <w:t xml:space="preserve">ification of an Airborne Survey </w:t>
      </w:r>
      <w:r w:rsidRPr="002C7933">
        <w:rPr>
          <w:lang w:eastAsia="en-AU"/>
        </w:rPr>
        <w:t>Template</w:t>
      </w:r>
    </w:p>
    <w:p w:rsidR="00683CF6" w:rsidRDefault="00683CF6" w:rsidP="00683CF6">
      <w:pPr>
        <w:pStyle w:val="GG-body"/>
        <w:rPr>
          <w:lang w:eastAsia="en-AU"/>
        </w:rPr>
      </w:pPr>
      <w:r>
        <w:rPr>
          <w:lang w:eastAsia="en-AU"/>
        </w:rPr>
        <w:t>For the purpose of R</w:t>
      </w:r>
      <w:r w:rsidRPr="002C7933">
        <w:rPr>
          <w:lang w:eastAsia="en-AU"/>
        </w:rPr>
        <w:t>egulation 80</w:t>
      </w:r>
      <w:r>
        <w:rPr>
          <w:lang w:eastAsia="en-AU"/>
        </w:rPr>
        <w:t> </w:t>
      </w:r>
      <w:r w:rsidRPr="002C7933">
        <w:rPr>
          <w:lang w:eastAsia="en-AU"/>
        </w:rPr>
        <w:t>(2) of the</w:t>
      </w:r>
      <w:r>
        <w:rPr>
          <w:lang w:eastAsia="en-AU"/>
        </w:rPr>
        <w:t xml:space="preserve"> </w:t>
      </w:r>
      <w:r w:rsidRPr="00F818EE">
        <w:rPr>
          <w:i/>
          <w:lang w:eastAsia="en-AU"/>
        </w:rPr>
        <w:t>Mining Regulations 2020</w:t>
      </w:r>
      <w:r w:rsidRPr="002C7933">
        <w:rPr>
          <w:lang w:eastAsia="en-AU"/>
        </w:rPr>
        <w:t>, the Minister for Energy and Mining determines that a notification of an airborne survey must be provided to the Minister in the manner and form and contain such informatio</w:t>
      </w:r>
      <w:r>
        <w:rPr>
          <w:lang w:eastAsia="en-AU"/>
        </w:rPr>
        <w:t>n as set out in this template.</w:t>
      </w:r>
    </w:p>
    <w:p w:rsidR="00683CF6" w:rsidRPr="00F818EE" w:rsidRDefault="00683CF6" w:rsidP="00683CF6">
      <w:pPr>
        <w:pStyle w:val="GG-body"/>
        <w:rPr>
          <w:lang w:eastAsia="en-AU"/>
        </w:rPr>
      </w:pPr>
      <w:r w:rsidRPr="1BB530F9">
        <w:rPr>
          <w:lang w:eastAsia="en-AU"/>
        </w:rPr>
        <w:t xml:space="preserve">In accordance with Regulation 80 (2) of the </w:t>
      </w:r>
      <w:r w:rsidRPr="00F818EE">
        <w:rPr>
          <w:i/>
          <w:lang w:eastAsia="en-AU"/>
        </w:rPr>
        <w:t>Mining Regulations 2020 </w:t>
      </w:r>
      <w:r w:rsidRPr="1BB530F9">
        <w:rPr>
          <w:lang w:eastAsia="en-AU"/>
        </w:rPr>
        <w:t>this notice will hav</w:t>
      </w:r>
      <w:r>
        <w:rPr>
          <w:lang w:eastAsia="en-AU"/>
        </w:rPr>
        <w:t>e effect from 1 January 2021.</w:t>
      </w:r>
    </w:p>
    <w:p w:rsidR="00683CF6" w:rsidRPr="002C7933" w:rsidRDefault="00683CF6" w:rsidP="00683CF6">
      <w:pPr>
        <w:pStyle w:val="GG-Title3"/>
        <w:rPr>
          <w:rFonts w:ascii="Segoe UI" w:hAnsi="Segoe UI" w:cs="Segoe UI"/>
          <w:sz w:val="18"/>
          <w:szCs w:val="18"/>
          <w:lang w:eastAsia="en-AU"/>
        </w:rPr>
      </w:pPr>
      <w:r w:rsidRPr="002C7933">
        <w:rPr>
          <w:lang w:eastAsia="en-AU"/>
        </w:rPr>
        <w:t>Instructions</w:t>
      </w:r>
    </w:p>
    <w:p w:rsidR="00683CF6" w:rsidRPr="002C7933" w:rsidRDefault="00683CF6" w:rsidP="00683CF6">
      <w:pPr>
        <w:pStyle w:val="GG-body"/>
        <w:ind w:left="284" w:hanging="284"/>
        <w:rPr>
          <w:lang w:eastAsia="en-AU"/>
        </w:rPr>
      </w:pPr>
      <w:r>
        <w:rPr>
          <w:lang w:eastAsia="en-AU"/>
        </w:rPr>
        <w:t>1.</w:t>
      </w:r>
      <w:r>
        <w:rPr>
          <w:lang w:eastAsia="en-AU"/>
        </w:rPr>
        <w:tab/>
      </w:r>
      <w:r w:rsidRPr="002C7933">
        <w:rPr>
          <w:lang w:eastAsia="en-AU"/>
        </w:rPr>
        <w:t xml:space="preserve">This form should be completed accurately with as much detail as is </w:t>
      </w:r>
      <w:r>
        <w:rPr>
          <w:lang w:eastAsia="en-AU"/>
        </w:rPr>
        <w:t>available.</w:t>
      </w:r>
    </w:p>
    <w:p w:rsidR="00683CF6" w:rsidRPr="002C7933" w:rsidRDefault="00683CF6" w:rsidP="00683CF6">
      <w:pPr>
        <w:pStyle w:val="GG-body"/>
        <w:ind w:left="284" w:hanging="284"/>
        <w:rPr>
          <w:lang w:eastAsia="en-AU"/>
        </w:rPr>
      </w:pPr>
      <w:r>
        <w:rPr>
          <w:lang w:eastAsia="en-AU"/>
        </w:rPr>
        <w:t>2.</w:t>
      </w:r>
      <w:r>
        <w:rPr>
          <w:lang w:eastAsia="en-AU"/>
        </w:rPr>
        <w:tab/>
      </w:r>
      <w:r w:rsidRPr="002C7933">
        <w:rPr>
          <w:lang w:eastAsia="en-AU"/>
        </w:rPr>
        <w:t>Submit this completed form online to the Department for Energy and Mining (DEM) website</w:t>
      </w:r>
      <w:r>
        <w:rPr>
          <w:lang w:eastAsia="en-AU"/>
        </w:rPr>
        <w:t xml:space="preserve"> via </w:t>
      </w:r>
      <w:hyperlink r:id="rId150" w:history="1">
        <w:r w:rsidRPr="00846EA1">
          <w:rPr>
            <w:rStyle w:val="Hyperlink"/>
            <w:lang w:eastAsia="en-AU"/>
          </w:rPr>
          <w:t>sa.gov.au</w:t>
        </w:r>
      </w:hyperlink>
      <w:r w:rsidRPr="002C7933">
        <w:rPr>
          <w:lang w:eastAsia="en-AU"/>
        </w:rPr>
        <w:t>.</w:t>
      </w:r>
    </w:p>
    <w:p w:rsidR="00683CF6" w:rsidRPr="002C7933" w:rsidRDefault="00683CF6" w:rsidP="00683CF6">
      <w:pPr>
        <w:pStyle w:val="GG-body"/>
        <w:ind w:left="284" w:hanging="284"/>
        <w:rPr>
          <w:lang w:eastAsia="en-AU"/>
        </w:rPr>
      </w:pPr>
      <w:r>
        <w:rPr>
          <w:lang w:eastAsia="en-AU"/>
        </w:rPr>
        <w:t>3.</w:t>
      </w:r>
      <w:r>
        <w:rPr>
          <w:lang w:eastAsia="en-AU"/>
        </w:rPr>
        <w:tab/>
      </w:r>
      <w:r w:rsidRPr="002C7933">
        <w:rPr>
          <w:lang w:eastAsia="en-AU"/>
        </w:rPr>
        <w:t xml:space="preserve">The template can be </w:t>
      </w:r>
      <w:r>
        <w:rPr>
          <w:lang w:eastAsia="en-AU"/>
        </w:rPr>
        <w:t>downloaded via the DEM website.</w:t>
      </w:r>
    </w:p>
    <w:p w:rsidR="00683CF6" w:rsidRPr="002C7933" w:rsidRDefault="00683CF6" w:rsidP="00683CF6">
      <w:pPr>
        <w:pStyle w:val="GG-body"/>
        <w:ind w:left="284" w:hanging="284"/>
        <w:rPr>
          <w:lang w:eastAsia="en-AU"/>
        </w:rPr>
      </w:pPr>
      <w:r>
        <w:rPr>
          <w:lang w:eastAsia="en-AU"/>
        </w:rPr>
        <w:t>4.</w:t>
      </w:r>
      <w:r>
        <w:rPr>
          <w:lang w:eastAsia="en-AU"/>
        </w:rPr>
        <w:tab/>
      </w:r>
      <w:r w:rsidRPr="002C7933">
        <w:rPr>
          <w:lang w:eastAsia="en-AU"/>
        </w:rPr>
        <w:t>Detailed survey specifications and all airborne survey data must be submitted in accordance with departmental guide</w:t>
      </w:r>
      <w:r>
        <w:rPr>
          <w:lang w:eastAsia="en-AU"/>
        </w:rPr>
        <w:t>lines on exploration reporting.</w:t>
      </w:r>
    </w:p>
    <w:p w:rsidR="00683CF6" w:rsidRPr="002C7933" w:rsidRDefault="00683CF6" w:rsidP="00683CF6">
      <w:pPr>
        <w:pStyle w:val="GG-Title2"/>
        <w:spacing w:after="240"/>
        <w:rPr>
          <w:rFonts w:ascii="Segoe UI" w:hAnsi="Segoe UI" w:cs="Segoe UI"/>
          <w:sz w:val="18"/>
          <w:szCs w:val="18"/>
          <w:lang w:eastAsia="en-AU"/>
        </w:rPr>
      </w:pPr>
      <w:r w:rsidRPr="002C7933">
        <w:rPr>
          <w:lang w:eastAsia="en-AU"/>
        </w:rPr>
        <w:t>Notice</w:t>
      </w: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50"/>
        <w:gridCol w:w="7994"/>
      </w:tblGrid>
      <w:tr w:rsidR="00683CF6" w:rsidRPr="002C7933" w:rsidTr="00046B75">
        <w:trPr>
          <w:trHeight w:val="465"/>
        </w:trPr>
        <w:tc>
          <w:tcPr>
            <w:tcW w:w="9344" w:type="dxa"/>
            <w:gridSpan w:val="2"/>
            <w:tcBorders>
              <w:top w:val="single" w:sz="6" w:space="0" w:color="auto"/>
              <w:left w:val="single" w:sz="6" w:space="0" w:color="auto"/>
              <w:bottom w:val="nil"/>
              <w:right w:val="single" w:sz="6" w:space="0" w:color="auto"/>
            </w:tcBorders>
            <w:shd w:val="clear" w:color="auto" w:fill="auto"/>
            <w:vAlign w:val="center"/>
            <w:hideMark/>
          </w:tcPr>
          <w:p w:rsidR="00683CF6" w:rsidRPr="002C7933" w:rsidRDefault="00683CF6" w:rsidP="00046B75">
            <w:pPr>
              <w:spacing w:after="0" w:line="240" w:lineRule="auto"/>
              <w:jc w:val="left"/>
              <w:textAlignment w:val="baseline"/>
              <w:rPr>
                <w:sz w:val="24"/>
                <w:szCs w:val="24"/>
              </w:rPr>
            </w:pPr>
            <w:r w:rsidRPr="002C7933">
              <w:rPr>
                <w:rFonts w:ascii="Arial" w:hAnsi="Arial" w:cs="Arial"/>
                <w:b/>
                <w:bCs/>
                <w:sz w:val="22"/>
              </w:rPr>
              <w:t>TENURE INFORMATION</w:t>
            </w:r>
            <w:r w:rsidRPr="002C7933">
              <w:rPr>
                <w:rFonts w:ascii="Arial" w:hAnsi="Arial" w:cs="Arial"/>
                <w:sz w:val="22"/>
              </w:rPr>
              <w:t> </w:t>
            </w:r>
          </w:p>
        </w:tc>
      </w:tr>
      <w:tr w:rsidR="00683CF6" w:rsidRPr="002C7933" w:rsidTr="00046B75">
        <w:tc>
          <w:tcPr>
            <w:tcW w:w="1350" w:type="dxa"/>
            <w:tcBorders>
              <w:top w:val="nil"/>
              <w:left w:val="single" w:sz="6" w:space="0" w:color="auto"/>
              <w:bottom w:val="nil"/>
              <w:right w:val="nil"/>
            </w:tcBorders>
            <w:shd w:val="clear" w:color="auto" w:fill="auto"/>
            <w:vAlign w:val="bottom"/>
            <w:hideMark/>
          </w:tcPr>
          <w:p w:rsidR="00683CF6" w:rsidRPr="002C7933" w:rsidRDefault="00683CF6" w:rsidP="00046B75">
            <w:pPr>
              <w:spacing w:after="0" w:line="240" w:lineRule="auto"/>
              <w:jc w:val="left"/>
              <w:textAlignment w:val="baseline"/>
              <w:rPr>
                <w:sz w:val="24"/>
                <w:szCs w:val="24"/>
              </w:rPr>
            </w:pPr>
            <w:r w:rsidRPr="002C7933">
              <w:rPr>
                <w:rFonts w:ascii="Arial" w:hAnsi="Arial" w:cs="Arial"/>
                <w:sz w:val="22"/>
              </w:rPr>
              <w:t>Tenement(s) </w:t>
            </w:r>
          </w:p>
        </w:tc>
        <w:tc>
          <w:tcPr>
            <w:tcW w:w="7994" w:type="dxa"/>
            <w:tcBorders>
              <w:top w:val="nil"/>
              <w:left w:val="nil"/>
              <w:bottom w:val="dotted" w:sz="6" w:space="0" w:color="auto"/>
              <w:right w:val="single" w:sz="6" w:space="0" w:color="auto"/>
            </w:tcBorders>
            <w:shd w:val="clear" w:color="auto" w:fill="auto"/>
            <w:vAlign w:val="bottom"/>
            <w:hideMark/>
          </w:tcPr>
          <w:p w:rsidR="00683CF6" w:rsidRPr="002C7933" w:rsidRDefault="00683CF6" w:rsidP="00046B75">
            <w:pPr>
              <w:spacing w:after="0" w:line="240" w:lineRule="auto"/>
              <w:jc w:val="left"/>
              <w:textAlignment w:val="baseline"/>
              <w:rPr>
                <w:sz w:val="24"/>
                <w:szCs w:val="24"/>
              </w:rPr>
            </w:pPr>
            <w:r w:rsidRPr="002C7933">
              <w:rPr>
                <w:rFonts w:ascii="Arial" w:hAnsi="Arial" w:cs="Arial"/>
                <w:sz w:val="22"/>
              </w:rPr>
              <w:t> </w:t>
            </w:r>
          </w:p>
        </w:tc>
      </w:tr>
      <w:tr w:rsidR="00683CF6" w:rsidRPr="002C7933" w:rsidTr="00046B75">
        <w:tc>
          <w:tcPr>
            <w:tcW w:w="1350" w:type="dxa"/>
            <w:tcBorders>
              <w:top w:val="nil"/>
              <w:left w:val="single" w:sz="6" w:space="0" w:color="auto"/>
              <w:bottom w:val="nil"/>
              <w:right w:val="nil"/>
            </w:tcBorders>
            <w:shd w:val="clear" w:color="auto" w:fill="auto"/>
            <w:vAlign w:val="bottom"/>
            <w:hideMark/>
          </w:tcPr>
          <w:p w:rsidR="00683CF6" w:rsidRPr="002C7933" w:rsidRDefault="00683CF6" w:rsidP="00046B75">
            <w:pPr>
              <w:spacing w:after="0" w:line="240" w:lineRule="auto"/>
              <w:jc w:val="left"/>
              <w:textAlignment w:val="baseline"/>
              <w:rPr>
                <w:sz w:val="24"/>
                <w:szCs w:val="24"/>
              </w:rPr>
            </w:pPr>
            <w:r w:rsidRPr="002C7933">
              <w:rPr>
                <w:rFonts w:ascii="Arial" w:hAnsi="Arial" w:cs="Arial"/>
                <w:sz w:val="22"/>
              </w:rPr>
              <w:t>Operator </w:t>
            </w:r>
          </w:p>
        </w:tc>
        <w:tc>
          <w:tcPr>
            <w:tcW w:w="7994" w:type="dxa"/>
            <w:tcBorders>
              <w:top w:val="dotted" w:sz="6" w:space="0" w:color="auto"/>
              <w:left w:val="nil"/>
              <w:bottom w:val="dotted" w:sz="6" w:space="0" w:color="auto"/>
              <w:right w:val="single" w:sz="6" w:space="0" w:color="auto"/>
            </w:tcBorders>
            <w:shd w:val="clear" w:color="auto" w:fill="auto"/>
            <w:vAlign w:val="bottom"/>
            <w:hideMark/>
          </w:tcPr>
          <w:p w:rsidR="00683CF6" w:rsidRPr="002C7933" w:rsidRDefault="00683CF6" w:rsidP="00046B75">
            <w:pPr>
              <w:spacing w:after="0" w:line="240" w:lineRule="auto"/>
              <w:jc w:val="left"/>
              <w:textAlignment w:val="baseline"/>
              <w:rPr>
                <w:sz w:val="24"/>
                <w:szCs w:val="24"/>
              </w:rPr>
            </w:pPr>
            <w:r w:rsidRPr="002C7933">
              <w:rPr>
                <w:rFonts w:ascii="Arial" w:hAnsi="Arial" w:cs="Arial"/>
                <w:sz w:val="22"/>
              </w:rPr>
              <w:t> </w:t>
            </w:r>
          </w:p>
        </w:tc>
      </w:tr>
      <w:tr w:rsidR="00683CF6" w:rsidRPr="002C7933" w:rsidTr="00046B75">
        <w:trPr>
          <w:trHeight w:val="300"/>
        </w:trPr>
        <w:tc>
          <w:tcPr>
            <w:tcW w:w="1350" w:type="dxa"/>
            <w:tcBorders>
              <w:top w:val="nil"/>
              <w:left w:val="single" w:sz="6" w:space="0" w:color="auto"/>
              <w:bottom w:val="single" w:sz="6" w:space="0" w:color="auto"/>
              <w:right w:val="nil"/>
            </w:tcBorders>
            <w:shd w:val="clear" w:color="auto" w:fill="auto"/>
            <w:vAlign w:val="center"/>
            <w:hideMark/>
          </w:tcPr>
          <w:p w:rsidR="00683CF6" w:rsidRPr="002C7933" w:rsidRDefault="00683CF6" w:rsidP="00046B75">
            <w:pPr>
              <w:spacing w:after="0" w:line="240" w:lineRule="auto"/>
              <w:jc w:val="left"/>
              <w:textAlignment w:val="baseline"/>
              <w:rPr>
                <w:sz w:val="24"/>
                <w:szCs w:val="24"/>
              </w:rPr>
            </w:pPr>
            <w:r w:rsidRPr="002C7933">
              <w:rPr>
                <w:rFonts w:ascii="Arial" w:hAnsi="Arial" w:cs="Arial"/>
                <w:sz w:val="22"/>
              </w:rPr>
              <w:t> </w:t>
            </w:r>
          </w:p>
        </w:tc>
        <w:tc>
          <w:tcPr>
            <w:tcW w:w="7994" w:type="dxa"/>
            <w:tcBorders>
              <w:top w:val="dotted" w:sz="6" w:space="0" w:color="auto"/>
              <w:left w:val="nil"/>
              <w:bottom w:val="single" w:sz="6" w:space="0" w:color="auto"/>
              <w:right w:val="single" w:sz="6" w:space="0" w:color="auto"/>
            </w:tcBorders>
            <w:shd w:val="clear" w:color="auto" w:fill="auto"/>
            <w:vAlign w:val="center"/>
            <w:hideMark/>
          </w:tcPr>
          <w:p w:rsidR="00683CF6" w:rsidRPr="002C7933" w:rsidRDefault="00683CF6" w:rsidP="00046B75">
            <w:pPr>
              <w:spacing w:after="0" w:line="240" w:lineRule="auto"/>
              <w:jc w:val="left"/>
              <w:textAlignment w:val="baseline"/>
              <w:rPr>
                <w:sz w:val="24"/>
                <w:szCs w:val="24"/>
              </w:rPr>
            </w:pPr>
            <w:r w:rsidRPr="002C7933">
              <w:rPr>
                <w:rFonts w:ascii="Arial" w:hAnsi="Arial" w:cs="Arial"/>
                <w:sz w:val="22"/>
              </w:rPr>
              <w:t> </w:t>
            </w:r>
          </w:p>
        </w:tc>
      </w:tr>
    </w:tbl>
    <w:p w:rsidR="00683CF6" w:rsidRPr="002C7933" w:rsidRDefault="00683CF6" w:rsidP="00683CF6">
      <w:pPr>
        <w:spacing w:after="0" w:line="240" w:lineRule="auto"/>
        <w:jc w:val="left"/>
        <w:textAlignment w:val="baseline"/>
        <w:rPr>
          <w:rFonts w:ascii="Segoe UI" w:hAnsi="Segoe UI" w:cs="Segoe UI"/>
          <w:sz w:val="18"/>
          <w:szCs w:val="18"/>
        </w:rPr>
      </w:pPr>
      <w:r w:rsidRPr="002C7933">
        <w:rPr>
          <w:rFonts w:ascii="Arial" w:hAnsi="Arial" w:cs="Arial"/>
          <w:sz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82"/>
        <w:gridCol w:w="1125"/>
        <w:gridCol w:w="6331"/>
      </w:tblGrid>
      <w:tr w:rsidR="00683CF6" w:rsidRPr="002C7933" w:rsidTr="00046B75">
        <w:trPr>
          <w:trHeight w:val="435"/>
        </w:trPr>
        <w:tc>
          <w:tcPr>
            <w:tcW w:w="9975" w:type="dxa"/>
            <w:gridSpan w:val="3"/>
            <w:tcBorders>
              <w:top w:val="single" w:sz="6" w:space="0" w:color="auto"/>
              <w:left w:val="single" w:sz="6" w:space="0" w:color="auto"/>
              <w:bottom w:val="nil"/>
              <w:right w:val="single" w:sz="6" w:space="0" w:color="auto"/>
            </w:tcBorders>
            <w:shd w:val="clear" w:color="auto" w:fill="auto"/>
            <w:vAlign w:val="center"/>
            <w:hideMark/>
          </w:tcPr>
          <w:p w:rsidR="00683CF6" w:rsidRPr="002C7933" w:rsidRDefault="00683CF6" w:rsidP="00046B75">
            <w:pPr>
              <w:spacing w:after="0" w:line="240" w:lineRule="auto"/>
              <w:jc w:val="left"/>
              <w:textAlignment w:val="baseline"/>
              <w:rPr>
                <w:sz w:val="24"/>
                <w:szCs w:val="24"/>
              </w:rPr>
            </w:pPr>
            <w:r w:rsidRPr="002C7933">
              <w:rPr>
                <w:rFonts w:ascii="Arial" w:hAnsi="Arial" w:cs="Arial"/>
                <w:b/>
                <w:bCs/>
                <w:sz w:val="22"/>
              </w:rPr>
              <w:t>SURVEY INFORMATION</w:t>
            </w:r>
            <w:r w:rsidRPr="002C7933">
              <w:rPr>
                <w:rFonts w:ascii="Arial" w:hAnsi="Arial" w:cs="Arial"/>
                <w:sz w:val="22"/>
              </w:rPr>
              <w:t> </w:t>
            </w:r>
          </w:p>
        </w:tc>
      </w:tr>
      <w:tr w:rsidR="00683CF6" w:rsidRPr="002C7933" w:rsidTr="00046B75">
        <w:tc>
          <w:tcPr>
            <w:tcW w:w="2040" w:type="dxa"/>
            <w:tcBorders>
              <w:top w:val="nil"/>
              <w:left w:val="single" w:sz="6" w:space="0" w:color="auto"/>
              <w:bottom w:val="nil"/>
              <w:right w:val="nil"/>
            </w:tcBorders>
            <w:shd w:val="clear" w:color="auto" w:fill="auto"/>
            <w:hideMark/>
          </w:tcPr>
          <w:p w:rsidR="00683CF6" w:rsidRPr="002C7933" w:rsidRDefault="00683CF6" w:rsidP="00046B75">
            <w:pPr>
              <w:spacing w:after="0" w:line="240" w:lineRule="auto"/>
              <w:jc w:val="left"/>
              <w:textAlignment w:val="baseline"/>
              <w:rPr>
                <w:sz w:val="24"/>
                <w:szCs w:val="24"/>
              </w:rPr>
            </w:pPr>
            <w:r w:rsidRPr="002C7933">
              <w:rPr>
                <w:rFonts w:ascii="Arial" w:hAnsi="Arial" w:cs="Arial"/>
                <w:b/>
                <w:bCs/>
                <w:i/>
                <w:iCs/>
                <w:sz w:val="22"/>
              </w:rPr>
              <w:t>Type of survey:</w:t>
            </w:r>
            <w:r w:rsidRPr="002C7933">
              <w:rPr>
                <w:rFonts w:ascii="Arial" w:hAnsi="Arial" w:cs="Arial"/>
                <w:sz w:val="22"/>
              </w:rPr>
              <w:t> </w:t>
            </w:r>
          </w:p>
          <w:p w:rsidR="00683CF6" w:rsidRPr="002C7933" w:rsidRDefault="00683CF6" w:rsidP="00046B75">
            <w:pPr>
              <w:spacing w:after="0" w:line="240" w:lineRule="auto"/>
              <w:jc w:val="left"/>
              <w:textAlignment w:val="baseline"/>
              <w:rPr>
                <w:sz w:val="24"/>
                <w:szCs w:val="24"/>
              </w:rPr>
            </w:pPr>
            <w:r w:rsidRPr="002C7933">
              <w:rPr>
                <w:rFonts w:ascii="Arial" w:hAnsi="Arial" w:cs="Arial"/>
                <w:sz w:val="22"/>
              </w:rPr>
              <w:t>(tick appropriate) </w:t>
            </w:r>
          </w:p>
        </w:tc>
        <w:tc>
          <w:tcPr>
            <w:tcW w:w="7935" w:type="dxa"/>
            <w:gridSpan w:val="2"/>
            <w:tcBorders>
              <w:top w:val="nil"/>
              <w:left w:val="nil"/>
              <w:bottom w:val="nil"/>
              <w:right w:val="single" w:sz="6" w:space="0" w:color="auto"/>
            </w:tcBorders>
            <w:shd w:val="clear" w:color="auto" w:fill="auto"/>
            <w:hideMark/>
          </w:tcPr>
          <w:p w:rsidR="00683CF6" w:rsidRDefault="00683CF6" w:rsidP="00046B75">
            <w:pPr>
              <w:spacing w:after="60" w:line="240" w:lineRule="auto"/>
              <w:jc w:val="left"/>
              <w:textAlignment w:val="baseline"/>
              <w:rPr>
                <w:rFonts w:ascii="Arial" w:hAnsi="Arial" w:cs="Arial"/>
                <w:b/>
                <w:bCs/>
                <w:sz w:val="22"/>
              </w:rPr>
            </w:pPr>
            <w:r w:rsidRPr="002C7933">
              <w:rPr>
                <w:rFonts w:ascii="Wingdings" w:hAnsi="Wingdings"/>
                <w:b/>
                <w:bCs/>
                <w:sz w:val="24"/>
                <w:szCs w:val="24"/>
              </w:rPr>
              <w:t></w:t>
            </w:r>
            <w:r w:rsidRPr="002C7933">
              <w:rPr>
                <w:rFonts w:ascii="Arial" w:hAnsi="Arial" w:cs="Arial"/>
                <w:b/>
                <w:bCs/>
                <w:sz w:val="22"/>
              </w:rPr>
              <w:t> Magnetic      </w:t>
            </w:r>
            <w:r w:rsidRPr="002C7933">
              <w:rPr>
                <w:rFonts w:ascii="Wingdings" w:hAnsi="Wingdings"/>
                <w:b/>
                <w:bCs/>
                <w:sz w:val="24"/>
                <w:szCs w:val="24"/>
              </w:rPr>
              <w:t></w:t>
            </w:r>
            <w:r w:rsidRPr="002C7933">
              <w:rPr>
                <w:rFonts w:ascii="Arial" w:hAnsi="Arial" w:cs="Arial"/>
                <w:b/>
                <w:bCs/>
                <w:sz w:val="22"/>
              </w:rPr>
              <w:t> Radiometric      </w:t>
            </w:r>
            <w:r w:rsidRPr="002C7933">
              <w:rPr>
                <w:rFonts w:ascii="Wingdings" w:hAnsi="Wingdings"/>
                <w:b/>
                <w:bCs/>
                <w:sz w:val="24"/>
                <w:szCs w:val="24"/>
              </w:rPr>
              <w:t></w:t>
            </w:r>
            <w:r w:rsidRPr="002C7933">
              <w:rPr>
                <w:rFonts w:ascii="Arial" w:hAnsi="Arial" w:cs="Arial"/>
                <w:b/>
                <w:bCs/>
                <w:sz w:val="22"/>
              </w:rPr>
              <w:t> EM      </w:t>
            </w:r>
            <w:r w:rsidRPr="002C7933">
              <w:rPr>
                <w:rFonts w:ascii="Wingdings" w:hAnsi="Wingdings"/>
                <w:b/>
                <w:bCs/>
                <w:sz w:val="24"/>
                <w:szCs w:val="24"/>
              </w:rPr>
              <w:t></w:t>
            </w:r>
            <w:r w:rsidRPr="002C7933">
              <w:rPr>
                <w:rFonts w:ascii="Arial" w:hAnsi="Arial" w:cs="Arial"/>
                <w:b/>
                <w:bCs/>
                <w:sz w:val="22"/>
              </w:rPr>
              <w:t> Gravity      </w:t>
            </w:r>
          </w:p>
          <w:p w:rsidR="00683CF6" w:rsidRPr="002C7933" w:rsidRDefault="00683CF6" w:rsidP="00046B75">
            <w:pPr>
              <w:spacing w:after="120" w:line="240" w:lineRule="auto"/>
              <w:jc w:val="left"/>
              <w:textAlignment w:val="baseline"/>
              <w:rPr>
                <w:sz w:val="24"/>
                <w:szCs w:val="24"/>
              </w:rPr>
            </w:pPr>
            <w:r w:rsidRPr="002C7933">
              <w:rPr>
                <w:rFonts w:ascii="Wingdings" w:hAnsi="Wingdings"/>
                <w:b/>
                <w:bCs/>
                <w:sz w:val="24"/>
                <w:szCs w:val="24"/>
              </w:rPr>
              <w:t></w:t>
            </w:r>
            <w:r w:rsidRPr="002C7933">
              <w:rPr>
                <w:rFonts w:ascii="Arial" w:hAnsi="Arial" w:cs="Arial"/>
                <w:b/>
                <w:bCs/>
                <w:sz w:val="22"/>
              </w:rPr>
              <w:t> Remote sensing</w:t>
            </w:r>
            <w:r w:rsidRPr="002C7933">
              <w:rPr>
                <w:rFonts w:ascii="Wingdings" w:hAnsi="Wingdings"/>
                <w:b/>
                <w:bCs/>
                <w:sz w:val="22"/>
              </w:rPr>
              <w:t></w:t>
            </w:r>
            <w:r>
              <w:rPr>
                <w:rFonts w:ascii="Wingdings" w:hAnsi="Wingdings"/>
                <w:b/>
                <w:bCs/>
                <w:sz w:val="22"/>
              </w:rPr>
              <w:t></w:t>
            </w:r>
            <w:r w:rsidRPr="002C7933">
              <w:rPr>
                <w:rFonts w:ascii="Wingdings" w:hAnsi="Wingdings"/>
                <w:b/>
                <w:bCs/>
                <w:sz w:val="24"/>
                <w:szCs w:val="24"/>
              </w:rPr>
              <w:t></w:t>
            </w:r>
            <w:r w:rsidRPr="002C7933">
              <w:rPr>
                <w:rFonts w:ascii="Arial" w:hAnsi="Arial" w:cs="Arial"/>
                <w:b/>
                <w:bCs/>
                <w:sz w:val="22"/>
              </w:rPr>
              <w:t> Drone</w:t>
            </w:r>
            <w:r w:rsidRPr="002C7933">
              <w:rPr>
                <w:rFonts w:ascii="Arial" w:hAnsi="Arial" w:cs="Arial"/>
                <w:sz w:val="22"/>
              </w:rPr>
              <w:t> </w:t>
            </w:r>
            <w:r w:rsidRPr="002C7933">
              <w:rPr>
                <w:rFonts w:ascii="Arial" w:hAnsi="Arial" w:cs="Arial"/>
                <w:b/>
                <w:bCs/>
                <w:sz w:val="22"/>
              </w:rPr>
              <w:t>(UAV)</w:t>
            </w:r>
            <w:r w:rsidRPr="002C7933">
              <w:rPr>
                <w:rFonts w:ascii="Arial" w:hAnsi="Arial" w:cs="Arial"/>
                <w:sz w:val="22"/>
              </w:rPr>
              <w:t>         </w:t>
            </w:r>
            <w:r w:rsidRPr="002C7933">
              <w:rPr>
                <w:rFonts w:ascii="Wingdings" w:hAnsi="Wingdings"/>
                <w:b/>
                <w:bCs/>
                <w:sz w:val="24"/>
                <w:szCs w:val="24"/>
              </w:rPr>
              <w:t></w:t>
            </w:r>
            <w:r w:rsidRPr="002C7933">
              <w:rPr>
                <w:rFonts w:ascii="Arial" w:hAnsi="Arial" w:cs="Arial"/>
                <w:b/>
                <w:bCs/>
                <w:sz w:val="22"/>
              </w:rPr>
              <w:t> Other </w:t>
            </w:r>
            <w:r w:rsidRPr="002C7933">
              <w:rPr>
                <w:rFonts w:ascii="Arial" w:hAnsi="Arial" w:cs="Arial"/>
                <w:sz w:val="22"/>
              </w:rPr>
              <w:t>(specify): </w:t>
            </w:r>
          </w:p>
        </w:tc>
      </w:tr>
      <w:tr w:rsidR="00683CF6" w:rsidRPr="002C7933" w:rsidTr="00046B75">
        <w:tc>
          <w:tcPr>
            <w:tcW w:w="3165" w:type="dxa"/>
            <w:gridSpan w:val="2"/>
            <w:tcBorders>
              <w:top w:val="nil"/>
              <w:left w:val="single" w:sz="6" w:space="0" w:color="auto"/>
              <w:bottom w:val="nil"/>
              <w:right w:val="nil"/>
            </w:tcBorders>
            <w:shd w:val="clear" w:color="auto" w:fill="auto"/>
            <w:vAlign w:val="bottom"/>
            <w:hideMark/>
          </w:tcPr>
          <w:p w:rsidR="00683CF6" w:rsidRPr="002C7933" w:rsidRDefault="00683CF6" w:rsidP="00046B75">
            <w:pPr>
              <w:spacing w:after="0" w:line="240" w:lineRule="auto"/>
              <w:jc w:val="left"/>
              <w:textAlignment w:val="baseline"/>
              <w:rPr>
                <w:sz w:val="24"/>
                <w:szCs w:val="24"/>
              </w:rPr>
            </w:pPr>
            <w:r w:rsidRPr="002C7933">
              <w:rPr>
                <w:rFonts w:ascii="Arial" w:hAnsi="Arial" w:cs="Arial"/>
                <w:sz w:val="22"/>
              </w:rPr>
              <w:t>Survey name </w:t>
            </w:r>
          </w:p>
        </w:tc>
        <w:tc>
          <w:tcPr>
            <w:tcW w:w="6795" w:type="dxa"/>
            <w:tcBorders>
              <w:top w:val="dotted" w:sz="6" w:space="0" w:color="auto"/>
              <w:left w:val="nil"/>
              <w:bottom w:val="dotted" w:sz="6" w:space="0" w:color="auto"/>
              <w:right w:val="single" w:sz="6" w:space="0" w:color="auto"/>
            </w:tcBorders>
            <w:shd w:val="clear" w:color="auto" w:fill="auto"/>
            <w:vAlign w:val="bottom"/>
            <w:hideMark/>
          </w:tcPr>
          <w:p w:rsidR="00683CF6" w:rsidRPr="002C7933" w:rsidRDefault="00683CF6" w:rsidP="00046B75">
            <w:pPr>
              <w:spacing w:after="0" w:line="240" w:lineRule="auto"/>
              <w:jc w:val="left"/>
              <w:textAlignment w:val="baseline"/>
              <w:rPr>
                <w:sz w:val="24"/>
                <w:szCs w:val="24"/>
              </w:rPr>
            </w:pPr>
            <w:r w:rsidRPr="002C7933">
              <w:rPr>
                <w:rFonts w:ascii="Arial" w:hAnsi="Arial" w:cs="Arial"/>
                <w:sz w:val="22"/>
              </w:rPr>
              <w:t> </w:t>
            </w:r>
          </w:p>
        </w:tc>
      </w:tr>
      <w:tr w:rsidR="00683CF6" w:rsidRPr="002C7933" w:rsidTr="00046B75">
        <w:tc>
          <w:tcPr>
            <w:tcW w:w="3165" w:type="dxa"/>
            <w:gridSpan w:val="2"/>
            <w:tcBorders>
              <w:top w:val="nil"/>
              <w:left w:val="single" w:sz="6" w:space="0" w:color="auto"/>
              <w:bottom w:val="nil"/>
              <w:right w:val="nil"/>
            </w:tcBorders>
            <w:shd w:val="clear" w:color="auto" w:fill="auto"/>
            <w:vAlign w:val="bottom"/>
            <w:hideMark/>
          </w:tcPr>
          <w:p w:rsidR="00683CF6" w:rsidRPr="002C7933" w:rsidRDefault="00683CF6" w:rsidP="00046B75">
            <w:pPr>
              <w:spacing w:after="0" w:line="240" w:lineRule="auto"/>
              <w:jc w:val="left"/>
              <w:textAlignment w:val="baseline"/>
              <w:rPr>
                <w:sz w:val="24"/>
                <w:szCs w:val="24"/>
              </w:rPr>
            </w:pPr>
            <w:r w:rsidRPr="002C7933">
              <w:rPr>
                <w:rFonts w:ascii="Arial" w:hAnsi="Arial" w:cs="Arial"/>
                <w:sz w:val="22"/>
              </w:rPr>
              <w:t>Contractor </w:t>
            </w:r>
          </w:p>
        </w:tc>
        <w:tc>
          <w:tcPr>
            <w:tcW w:w="6795" w:type="dxa"/>
            <w:tcBorders>
              <w:top w:val="dotted" w:sz="6" w:space="0" w:color="auto"/>
              <w:left w:val="nil"/>
              <w:bottom w:val="dotted" w:sz="6" w:space="0" w:color="auto"/>
              <w:right w:val="single" w:sz="6" w:space="0" w:color="auto"/>
            </w:tcBorders>
            <w:shd w:val="clear" w:color="auto" w:fill="auto"/>
            <w:vAlign w:val="bottom"/>
            <w:hideMark/>
          </w:tcPr>
          <w:p w:rsidR="00683CF6" w:rsidRPr="002C7933" w:rsidRDefault="00683CF6" w:rsidP="00046B75">
            <w:pPr>
              <w:spacing w:after="0" w:line="240" w:lineRule="auto"/>
              <w:jc w:val="left"/>
              <w:textAlignment w:val="baseline"/>
              <w:rPr>
                <w:sz w:val="24"/>
                <w:szCs w:val="24"/>
              </w:rPr>
            </w:pPr>
            <w:r w:rsidRPr="002C7933">
              <w:rPr>
                <w:rFonts w:ascii="Arial" w:hAnsi="Arial" w:cs="Arial"/>
                <w:sz w:val="22"/>
              </w:rPr>
              <w:t> </w:t>
            </w:r>
          </w:p>
        </w:tc>
      </w:tr>
      <w:tr w:rsidR="00683CF6" w:rsidRPr="002C7933" w:rsidTr="00046B75">
        <w:tc>
          <w:tcPr>
            <w:tcW w:w="3165" w:type="dxa"/>
            <w:gridSpan w:val="2"/>
            <w:tcBorders>
              <w:top w:val="nil"/>
              <w:left w:val="single" w:sz="6" w:space="0" w:color="auto"/>
              <w:bottom w:val="nil"/>
              <w:right w:val="nil"/>
            </w:tcBorders>
            <w:shd w:val="clear" w:color="auto" w:fill="auto"/>
            <w:vAlign w:val="bottom"/>
            <w:hideMark/>
          </w:tcPr>
          <w:p w:rsidR="00683CF6" w:rsidRPr="002C7933" w:rsidRDefault="00683CF6" w:rsidP="00046B75">
            <w:pPr>
              <w:spacing w:after="0" w:line="240" w:lineRule="auto"/>
              <w:jc w:val="left"/>
              <w:textAlignment w:val="baseline"/>
              <w:rPr>
                <w:sz w:val="24"/>
                <w:szCs w:val="24"/>
              </w:rPr>
            </w:pPr>
            <w:r w:rsidRPr="002C7933">
              <w:rPr>
                <w:rFonts w:ascii="Arial" w:hAnsi="Arial" w:cs="Arial"/>
                <w:sz w:val="22"/>
              </w:rPr>
              <w:t>Total line km </w:t>
            </w:r>
          </w:p>
        </w:tc>
        <w:tc>
          <w:tcPr>
            <w:tcW w:w="6795" w:type="dxa"/>
            <w:tcBorders>
              <w:top w:val="dotted" w:sz="6" w:space="0" w:color="auto"/>
              <w:left w:val="nil"/>
              <w:bottom w:val="dotted" w:sz="6" w:space="0" w:color="auto"/>
              <w:right w:val="single" w:sz="6" w:space="0" w:color="auto"/>
            </w:tcBorders>
            <w:shd w:val="clear" w:color="auto" w:fill="auto"/>
            <w:vAlign w:val="bottom"/>
            <w:hideMark/>
          </w:tcPr>
          <w:p w:rsidR="00683CF6" w:rsidRPr="002C7933" w:rsidRDefault="00683CF6" w:rsidP="00046B75">
            <w:pPr>
              <w:spacing w:after="0" w:line="240" w:lineRule="auto"/>
              <w:jc w:val="left"/>
              <w:textAlignment w:val="baseline"/>
              <w:rPr>
                <w:sz w:val="24"/>
                <w:szCs w:val="24"/>
              </w:rPr>
            </w:pPr>
            <w:r w:rsidRPr="002C7933">
              <w:rPr>
                <w:rFonts w:ascii="Arial" w:hAnsi="Arial" w:cs="Arial"/>
                <w:sz w:val="22"/>
              </w:rPr>
              <w:t> </w:t>
            </w:r>
          </w:p>
        </w:tc>
      </w:tr>
      <w:tr w:rsidR="00683CF6" w:rsidRPr="002C7933" w:rsidTr="00046B75">
        <w:tc>
          <w:tcPr>
            <w:tcW w:w="3165" w:type="dxa"/>
            <w:gridSpan w:val="2"/>
            <w:tcBorders>
              <w:top w:val="nil"/>
              <w:left w:val="single" w:sz="6" w:space="0" w:color="auto"/>
              <w:bottom w:val="nil"/>
              <w:right w:val="nil"/>
            </w:tcBorders>
            <w:shd w:val="clear" w:color="auto" w:fill="auto"/>
            <w:vAlign w:val="bottom"/>
            <w:hideMark/>
          </w:tcPr>
          <w:p w:rsidR="00683CF6" w:rsidRPr="002C7933" w:rsidRDefault="00683CF6" w:rsidP="00046B75">
            <w:pPr>
              <w:spacing w:after="0" w:line="240" w:lineRule="auto"/>
              <w:jc w:val="left"/>
              <w:textAlignment w:val="baseline"/>
              <w:rPr>
                <w:sz w:val="24"/>
                <w:szCs w:val="24"/>
              </w:rPr>
            </w:pPr>
            <w:r w:rsidRPr="002C7933">
              <w:rPr>
                <w:rFonts w:ascii="Arial" w:hAnsi="Arial" w:cs="Arial"/>
                <w:sz w:val="22"/>
              </w:rPr>
              <w:t>Line orientation </w:t>
            </w:r>
          </w:p>
        </w:tc>
        <w:tc>
          <w:tcPr>
            <w:tcW w:w="6795" w:type="dxa"/>
            <w:tcBorders>
              <w:top w:val="dotted" w:sz="6" w:space="0" w:color="auto"/>
              <w:left w:val="nil"/>
              <w:bottom w:val="dotted" w:sz="6" w:space="0" w:color="auto"/>
              <w:right w:val="single" w:sz="6" w:space="0" w:color="auto"/>
            </w:tcBorders>
            <w:shd w:val="clear" w:color="auto" w:fill="auto"/>
            <w:vAlign w:val="bottom"/>
            <w:hideMark/>
          </w:tcPr>
          <w:p w:rsidR="00683CF6" w:rsidRPr="002C7933" w:rsidRDefault="00683CF6" w:rsidP="00046B75">
            <w:pPr>
              <w:spacing w:after="0" w:line="240" w:lineRule="auto"/>
              <w:jc w:val="left"/>
              <w:textAlignment w:val="baseline"/>
              <w:rPr>
                <w:sz w:val="24"/>
                <w:szCs w:val="24"/>
              </w:rPr>
            </w:pPr>
            <w:r w:rsidRPr="002C7933">
              <w:rPr>
                <w:rFonts w:ascii="Arial" w:hAnsi="Arial" w:cs="Arial"/>
                <w:sz w:val="22"/>
              </w:rPr>
              <w:t> </w:t>
            </w:r>
          </w:p>
        </w:tc>
      </w:tr>
      <w:tr w:rsidR="00683CF6" w:rsidRPr="002C7933" w:rsidTr="00046B75">
        <w:tc>
          <w:tcPr>
            <w:tcW w:w="3165" w:type="dxa"/>
            <w:gridSpan w:val="2"/>
            <w:tcBorders>
              <w:top w:val="nil"/>
              <w:left w:val="single" w:sz="6" w:space="0" w:color="auto"/>
              <w:bottom w:val="nil"/>
              <w:right w:val="nil"/>
            </w:tcBorders>
            <w:shd w:val="clear" w:color="auto" w:fill="auto"/>
            <w:vAlign w:val="bottom"/>
            <w:hideMark/>
          </w:tcPr>
          <w:p w:rsidR="00683CF6" w:rsidRPr="002C7933" w:rsidRDefault="00683CF6" w:rsidP="00046B75">
            <w:pPr>
              <w:spacing w:after="0" w:line="240" w:lineRule="auto"/>
              <w:jc w:val="left"/>
              <w:textAlignment w:val="baseline"/>
              <w:rPr>
                <w:sz w:val="24"/>
                <w:szCs w:val="24"/>
              </w:rPr>
            </w:pPr>
            <w:r w:rsidRPr="002C7933">
              <w:rPr>
                <w:rFonts w:ascii="Arial" w:hAnsi="Arial" w:cs="Arial"/>
                <w:sz w:val="22"/>
              </w:rPr>
              <w:t>Flight line spacing </w:t>
            </w:r>
          </w:p>
        </w:tc>
        <w:tc>
          <w:tcPr>
            <w:tcW w:w="6795" w:type="dxa"/>
            <w:tcBorders>
              <w:top w:val="dotted" w:sz="6" w:space="0" w:color="auto"/>
              <w:left w:val="nil"/>
              <w:bottom w:val="dotted" w:sz="6" w:space="0" w:color="auto"/>
              <w:right w:val="single" w:sz="6" w:space="0" w:color="auto"/>
            </w:tcBorders>
            <w:shd w:val="clear" w:color="auto" w:fill="auto"/>
            <w:vAlign w:val="bottom"/>
            <w:hideMark/>
          </w:tcPr>
          <w:p w:rsidR="00683CF6" w:rsidRPr="002C7933" w:rsidRDefault="00683CF6" w:rsidP="00046B75">
            <w:pPr>
              <w:spacing w:after="0" w:line="240" w:lineRule="auto"/>
              <w:jc w:val="left"/>
              <w:textAlignment w:val="baseline"/>
              <w:rPr>
                <w:sz w:val="24"/>
                <w:szCs w:val="24"/>
              </w:rPr>
            </w:pPr>
            <w:r w:rsidRPr="002C7933">
              <w:rPr>
                <w:rFonts w:ascii="Arial" w:hAnsi="Arial" w:cs="Arial"/>
                <w:sz w:val="22"/>
              </w:rPr>
              <w:t> </w:t>
            </w:r>
          </w:p>
        </w:tc>
      </w:tr>
      <w:tr w:rsidR="00683CF6" w:rsidRPr="002C7933" w:rsidTr="00046B75">
        <w:tc>
          <w:tcPr>
            <w:tcW w:w="3165" w:type="dxa"/>
            <w:gridSpan w:val="2"/>
            <w:tcBorders>
              <w:top w:val="nil"/>
              <w:left w:val="single" w:sz="6" w:space="0" w:color="auto"/>
              <w:bottom w:val="nil"/>
              <w:right w:val="nil"/>
            </w:tcBorders>
            <w:shd w:val="clear" w:color="auto" w:fill="auto"/>
            <w:vAlign w:val="bottom"/>
            <w:hideMark/>
          </w:tcPr>
          <w:p w:rsidR="00683CF6" w:rsidRPr="002C7933" w:rsidRDefault="00683CF6" w:rsidP="00046B75">
            <w:pPr>
              <w:spacing w:after="0" w:line="240" w:lineRule="auto"/>
              <w:jc w:val="left"/>
              <w:textAlignment w:val="baseline"/>
              <w:rPr>
                <w:sz w:val="24"/>
                <w:szCs w:val="24"/>
              </w:rPr>
            </w:pPr>
            <w:r w:rsidRPr="002C7933">
              <w:rPr>
                <w:rFonts w:ascii="Arial" w:hAnsi="Arial" w:cs="Arial"/>
                <w:sz w:val="22"/>
              </w:rPr>
              <w:t>Flight height </w:t>
            </w:r>
          </w:p>
        </w:tc>
        <w:tc>
          <w:tcPr>
            <w:tcW w:w="6795" w:type="dxa"/>
            <w:tcBorders>
              <w:top w:val="dotted" w:sz="6" w:space="0" w:color="auto"/>
              <w:left w:val="nil"/>
              <w:bottom w:val="dotted" w:sz="6" w:space="0" w:color="auto"/>
              <w:right w:val="single" w:sz="6" w:space="0" w:color="auto"/>
            </w:tcBorders>
            <w:shd w:val="clear" w:color="auto" w:fill="auto"/>
            <w:vAlign w:val="bottom"/>
            <w:hideMark/>
          </w:tcPr>
          <w:p w:rsidR="00683CF6" w:rsidRPr="002C7933" w:rsidRDefault="00683CF6" w:rsidP="00046B75">
            <w:pPr>
              <w:spacing w:after="0" w:line="240" w:lineRule="auto"/>
              <w:jc w:val="left"/>
              <w:textAlignment w:val="baseline"/>
              <w:rPr>
                <w:sz w:val="24"/>
                <w:szCs w:val="24"/>
              </w:rPr>
            </w:pPr>
            <w:r w:rsidRPr="002C7933">
              <w:rPr>
                <w:rFonts w:ascii="Arial" w:hAnsi="Arial" w:cs="Arial"/>
                <w:sz w:val="22"/>
              </w:rPr>
              <w:t> </w:t>
            </w:r>
          </w:p>
        </w:tc>
      </w:tr>
      <w:tr w:rsidR="00683CF6" w:rsidRPr="002C7933" w:rsidTr="00046B75">
        <w:tc>
          <w:tcPr>
            <w:tcW w:w="3165" w:type="dxa"/>
            <w:gridSpan w:val="2"/>
            <w:tcBorders>
              <w:top w:val="nil"/>
              <w:left w:val="single" w:sz="6" w:space="0" w:color="auto"/>
              <w:bottom w:val="nil"/>
              <w:right w:val="nil"/>
            </w:tcBorders>
            <w:shd w:val="clear" w:color="auto" w:fill="auto"/>
            <w:vAlign w:val="bottom"/>
            <w:hideMark/>
          </w:tcPr>
          <w:p w:rsidR="00683CF6" w:rsidRPr="002C7933" w:rsidRDefault="00683CF6" w:rsidP="00046B75">
            <w:pPr>
              <w:spacing w:after="0" w:line="240" w:lineRule="auto"/>
              <w:jc w:val="left"/>
              <w:textAlignment w:val="baseline"/>
              <w:rPr>
                <w:sz w:val="24"/>
                <w:szCs w:val="24"/>
              </w:rPr>
            </w:pPr>
            <w:r w:rsidRPr="002C7933">
              <w:rPr>
                <w:rFonts w:ascii="Arial" w:hAnsi="Arial" w:cs="Arial"/>
                <w:sz w:val="22"/>
              </w:rPr>
              <w:t>Planned commencement date </w:t>
            </w:r>
          </w:p>
        </w:tc>
        <w:tc>
          <w:tcPr>
            <w:tcW w:w="6795" w:type="dxa"/>
            <w:tcBorders>
              <w:top w:val="dotted" w:sz="6" w:space="0" w:color="auto"/>
              <w:left w:val="nil"/>
              <w:bottom w:val="dotted" w:sz="6" w:space="0" w:color="auto"/>
              <w:right w:val="single" w:sz="6" w:space="0" w:color="auto"/>
            </w:tcBorders>
            <w:shd w:val="clear" w:color="auto" w:fill="auto"/>
            <w:vAlign w:val="bottom"/>
            <w:hideMark/>
          </w:tcPr>
          <w:p w:rsidR="00683CF6" w:rsidRPr="002C7933" w:rsidRDefault="00683CF6" w:rsidP="00046B75">
            <w:pPr>
              <w:spacing w:after="0" w:line="240" w:lineRule="auto"/>
              <w:jc w:val="left"/>
              <w:textAlignment w:val="baseline"/>
              <w:rPr>
                <w:sz w:val="24"/>
                <w:szCs w:val="24"/>
              </w:rPr>
            </w:pPr>
            <w:r w:rsidRPr="002C7933">
              <w:rPr>
                <w:rFonts w:ascii="Arial" w:hAnsi="Arial" w:cs="Arial"/>
                <w:sz w:val="22"/>
              </w:rPr>
              <w:t> </w:t>
            </w:r>
          </w:p>
        </w:tc>
      </w:tr>
      <w:tr w:rsidR="00683CF6" w:rsidRPr="002C7933" w:rsidTr="00046B75">
        <w:tc>
          <w:tcPr>
            <w:tcW w:w="3165" w:type="dxa"/>
            <w:gridSpan w:val="2"/>
            <w:tcBorders>
              <w:top w:val="nil"/>
              <w:left w:val="single" w:sz="6" w:space="0" w:color="auto"/>
              <w:bottom w:val="nil"/>
              <w:right w:val="nil"/>
            </w:tcBorders>
            <w:shd w:val="clear" w:color="auto" w:fill="auto"/>
            <w:vAlign w:val="bottom"/>
            <w:hideMark/>
          </w:tcPr>
          <w:p w:rsidR="00683CF6" w:rsidRPr="002C7933" w:rsidRDefault="00683CF6" w:rsidP="00046B75">
            <w:pPr>
              <w:spacing w:after="0" w:line="240" w:lineRule="auto"/>
              <w:jc w:val="left"/>
              <w:textAlignment w:val="baseline"/>
              <w:rPr>
                <w:sz w:val="24"/>
                <w:szCs w:val="24"/>
              </w:rPr>
            </w:pPr>
            <w:r w:rsidRPr="002C7933">
              <w:rPr>
                <w:rFonts w:ascii="Arial" w:hAnsi="Arial" w:cs="Arial"/>
                <w:sz w:val="22"/>
              </w:rPr>
              <w:t>Planned completion date </w:t>
            </w:r>
          </w:p>
        </w:tc>
        <w:tc>
          <w:tcPr>
            <w:tcW w:w="6795" w:type="dxa"/>
            <w:tcBorders>
              <w:top w:val="dotted" w:sz="6" w:space="0" w:color="auto"/>
              <w:left w:val="nil"/>
              <w:bottom w:val="dotted" w:sz="6" w:space="0" w:color="auto"/>
              <w:right w:val="single" w:sz="6" w:space="0" w:color="auto"/>
            </w:tcBorders>
            <w:shd w:val="clear" w:color="auto" w:fill="auto"/>
            <w:vAlign w:val="bottom"/>
            <w:hideMark/>
          </w:tcPr>
          <w:p w:rsidR="00683CF6" w:rsidRPr="002C7933" w:rsidRDefault="00683CF6" w:rsidP="00046B75">
            <w:pPr>
              <w:spacing w:after="0" w:line="240" w:lineRule="auto"/>
              <w:jc w:val="left"/>
              <w:textAlignment w:val="baseline"/>
              <w:rPr>
                <w:sz w:val="24"/>
                <w:szCs w:val="24"/>
              </w:rPr>
            </w:pPr>
            <w:r w:rsidRPr="002C7933">
              <w:rPr>
                <w:rFonts w:ascii="Arial" w:hAnsi="Arial" w:cs="Arial"/>
                <w:sz w:val="22"/>
              </w:rPr>
              <w:t> </w:t>
            </w:r>
          </w:p>
        </w:tc>
      </w:tr>
      <w:tr w:rsidR="00683CF6" w:rsidRPr="002C7933" w:rsidTr="00046B75">
        <w:tc>
          <w:tcPr>
            <w:tcW w:w="9975" w:type="dxa"/>
            <w:gridSpan w:val="3"/>
            <w:tcBorders>
              <w:top w:val="nil"/>
              <w:left w:val="single" w:sz="6" w:space="0" w:color="auto"/>
              <w:bottom w:val="single" w:sz="6" w:space="0" w:color="auto"/>
              <w:right w:val="single" w:sz="6" w:space="0" w:color="auto"/>
            </w:tcBorders>
            <w:shd w:val="clear" w:color="auto" w:fill="auto"/>
            <w:vAlign w:val="center"/>
            <w:hideMark/>
          </w:tcPr>
          <w:p w:rsidR="00683CF6" w:rsidRPr="002C7933" w:rsidRDefault="00683CF6" w:rsidP="00046B75">
            <w:pPr>
              <w:spacing w:after="0" w:line="240" w:lineRule="auto"/>
              <w:jc w:val="left"/>
              <w:textAlignment w:val="baseline"/>
              <w:rPr>
                <w:sz w:val="24"/>
                <w:szCs w:val="24"/>
              </w:rPr>
            </w:pPr>
            <w:r w:rsidRPr="002C7933">
              <w:rPr>
                <w:rFonts w:ascii="Arial" w:hAnsi="Arial" w:cs="Arial"/>
                <w:b/>
                <w:bCs/>
                <w:sz w:val="22"/>
              </w:rPr>
              <w:t>A map and GIS layer (e.g. shape file) showing the area to be surveyed in relation to the tenement boundaries and topographic features must accompany this form.</w:t>
            </w:r>
            <w:r w:rsidRPr="002C7933">
              <w:rPr>
                <w:rFonts w:ascii="Arial" w:hAnsi="Arial" w:cs="Arial"/>
                <w:sz w:val="22"/>
              </w:rPr>
              <w:t> </w:t>
            </w:r>
          </w:p>
        </w:tc>
      </w:tr>
    </w:tbl>
    <w:p w:rsidR="00683CF6" w:rsidRPr="002C7933" w:rsidRDefault="00683CF6" w:rsidP="00683CF6">
      <w:pPr>
        <w:spacing w:after="0" w:line="240" w:lineRule="auto"/>
        <w:jc w:val="left"/>
        <w:textAlignment w:val="baseline"/>
        <w:rPr>
          <w:rFonts w:ascii="Segoe UI" w:hAnsi="Segoe UI" w:cs="Segoe UI"/>
          <w:sz w:val="18"/>
          <w:szCs w:val="18"/>
        </w:rPr>
      </w:pPr>
      <w:r w:rsidRPr="002C7933">
        <w:rPr>
          <w:rFonts w:ascii="Arial" w:hAnsi="Arial" w:cs="Arial"/>
          <w:sz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85"/>
        <w:gridCol w:w="4553"/>
      </w:tblGrid>
      <w:tr w:rsidR="00683CF6" w:rsidRPr="002C7933" w:rsidTr="00046B75">
        <w:trPr>
          <w:trHeight w:val="405"/>
        </w:trPr>
        <w:tc>
          <w:tcPr>
            <w:tcW w:w="10170" w:type="dxa"/>
            <w:gridSpan w:val="2"/>
            <w:tcBorders>
              <w:top w:val="single" w:sz="6" w:space="0" w:color="auto"/>
              <w:left w:val="single" w:sz="6" w:space="0" w:color="auto"/>
              <w:bottom w:val="nil"/>
              <w:right w:val="single" w:sz="6" w:space="0" w:color="auto"/>
            </w:tcBorders>
            <w:shd w:val="clear" w:color="auto" w:fill="auto"/>
            <w:vAlign w:val="center"/>
            <w:hideMark/>
          </w:tcPr>
          <w:p w:rsidR="00683CF6" w:rsidRPr="002C7933" w:rsidRDefault="00683CF6" w:rsidP="00046B75">
            <w:pPr>
              <w:spacing w:after="0" w:line="240" w:lineRule="auto"/>
              <w:jc w:val="left"/>
              <w:textAlignment w:val="baseline"/>
              <w:rPr>
                <w:sz w:val="24"/>
                <w:szCs w:val="24"/>
              </w:rPr>
            </w:pPr>
            <w:r w:rsidRPr="002C7933">
              <w:rPr>
                <w:rFonts w:ascii="Arial" w:hAnsi="Arial" w:cs="Arial"/>
                <w:b/>
                <w:bCs/>
                <w:sz w:val="22"/>
              </w:rPr>
              <w:t>LANDOWNER NOTIFICATION</w:t>
            </w:r>
            <w:r w:rsidRPr="002C7933">
              <w:rPr>
                <w:rFonts w:ascii="Arial" w:hAnsi="Arial" w:cs="Arial"/>
                <w:sz w:val="22"/>
              </w:rPr>
              <w:t> </w:t>
            </w:r>
          </w:p>
        </w:tc>
      </w:tr>
      <w:tr w:rsidR="00683CF6" w:rsidRPr="002C7933" w:rsidTr="00046B75">
        <w:trPr>
          <w:trHeight w:val="750"/>
        </w:trPr>
        <w:tc>
          <w:tcPr>
            <w:tcW w:w="10170" w:type="dxa"/>
            <w:gridSpan w:val="2"/>
            <w:tcBorders>
              <w:top w:val="nil"/>
              <w:left w:val="single" w:sz="6" w:space="0" w:color="auto"/>
              <w:bottom w:val="nil"/>
              <w:right w:val="single" w:sz="6" w:space="0" w:color="auto"/>
            </w:tcBorders>
            <w:shd w:val="clear" w:color="auto" w:fill="auto"/>
            <w:vAlign w:val="center"/>
            <w:hideMark/>
          </w:tcPr>
          <w:p w:rsidR="00683CF6" w:rsidRPr="002C7933" w:rsidRDefault="00683CF6" w:rsidP="00046B75">
            <w:pPr>
              <w:spacing w:after="0" w:line="240" w:lineRule="auto"/>
              <w:jc w:val="left"/>
              <w:textAlignment w:val="baseline"/>
              <w:rPr>
                <w:sz w:val="24"/>
                <w:szCs w:val="24"/>
              </w:rPr>
            </w:pPr>
            <w:r w:rsidRPr="002C7933">
              <w:rPr>
                <w:rFonts w:ascii="Arial" w:hAnsi="Arial" w:cs="Arial"/>
                <w:sz w:val="22"/>
              </w:rPr>
              <w:t>It is the responsibility of the licensee/operator to notify occupiers of the land prior to undertaking any low level airborne surveys.  </w:t>
            </w:r>
          </w:p>
          <w:p w:rsidR="00683CF6" w:rsidRPr="002C7933" w:rsidRDefault="00683CF6" w:rsidP="00046B75">
            <w:pPr>
              <w:spacing w:after="0" w:line="240" w:lineRule="auto"/>
              <w:jc w:val="left"/>
              <w:textAlignment w:val="baseline"/>
              <w:rPr>
                <w:sz w:val="24"/>
                <w:szCs w:val="24"/>
              </w:rPr>
            </w:pPr>
            <w:r w:rsidRPr="002C7933">
              <w:rPr>
                <w:rFonts w:ascii="Arial" w:hAnsi="Arial" w:cs="Arial"/>
                <w:sz w:val="22"/>
              </w:rPr>
              <w:t>Have the occupiers of the land to be surveyed been notified?         </w:t>
            </w:r>
            <w:r w:rsidRPr="002C7933">
              <w:rPr>
                <w:rFonts w:ascii="Arial" w:hAnsi="Arial" w:cs="Arial"/>
                <w:sz w:val="20"/>
              </w:rPr>
              <w:t> </w:t>
            </w:r>
            <w:r w:rsidRPr="002C7933">
              <w:rPr>
                <w:rFonts w:ascii="Wingdings" w:hAnsi="Wingdings"/>
                <w:b/>
                <w:bCs/>
                <w:sz w:val="24"/>
                <w:szCs w:val="24"/>
              </w:rPr>
              <w:t></w:t>
            </w:r>
            <w:r w:rsidRPr="002C7933">
              <w:rPr>
                <w:rFonts w:ascii="Arial" w:hAnsi="Arial" w:cs="Arial"/>
                <w:b/>
                <w:bCs/>
                <w:sz w:val="20"/>
              </w:rPr>
              <w:t> </w:t>
            </w:r>
            <w:r w:rsidRPr="002C7933">
              <w:rPr>
                <w:rFonts w:ascii="Arial" w:hAnsi="Arial" w:cs="Arial"/>
                <w:b/>
                <w:bCs/>
                <w:sz w:val="24"/>
                <w:szCs w:val="24"/>
              </w:rPr>
              <w:t>YES        </w:t>
            </w:r>
            <w:r w:rsidRPr="002C7933">
              <w:rPr>
                <w:rFonts w:ascii="Wingdings" w:hAnsi="Wingdings"/>
                <w:b/>
                <w:bCs/>
                <w:sz w:val="24"/>
                <w:szCs w:val="24"/>
              </w:rPr>
              <w:t></w:t>
            </w:r>
            <w:r w:rsidRPr="002C7933">
              <w:rPr>
                <w:rFonts w:ascii="Arial" w:hAnsi="Arial" w:cs="Arial"/>
                <w:sz w:val="24"/>
                <w:szCs w:val="24"/>
              </w:rPr>
              <w:t> </w:t>
            </w:r>
            <w:r w:rsidRPr="002C7933">
              <w:rPr>
                <w:rFonts w:ascii="Arial" w:hAnsi="Arial" w:cs="Arial"/>
                <w:b/>
                <w:bCs/>
                <w:sz w:val="24"/>
                <w:szCs w:val="24"/>
              </w:rPr>
              <w:t>NO</w:t>
            </w:r>
            <w:r w:rsidRPr="002C7933">
              <w:rPr>
                <w:rFonts w:ascii="Arial" w:hAnsi="Arial" w:cs="Arial"/>
                <w:sz w:val="24"/>
                <w:szCs w:val="24"/>
              </w:rPr>
              <w:t> </w:t>
            </w:r>
          </w:p>
        </w:tc>
      </w:tr>
      <w:tr w:rsidR="00683CF6" w:rsidRPr="002C7933" w:rsidTr="00046B75">
        <w:trPr>
          <w:trHeight w:val="300"/>
        </w:trPr>
        <w:tc>
          <w:tcPr>
            <w:tcW w:w="5175" w:type="dxa"/>
            <w:tcBorders>
              <w:top w:val="nil"/>
              <w:left w:val="single" w:sz="6" w:space="0" w:color="auto"/>
              <w:bottom w:val="nil"/>
              <w:right w:val="nil"/>
            </w:tcBorders>
            <w:shd w:val="clear" w:color="auto" w:fill="auto"/>
            <w:vAlign w:val="bottom"/>
            <w:hideMark/>
          </w:tcPr>
          <w:p w:rsidR="00683CF6" w:rsidRPr="002C7933" w:rsidRDefault="00683CF6" w:rsidP="00046B75">
            <w:pPr>
              <w:spacing w:after="0" w:line="240" w:lineRule="auto"/>
              <w:jc w:val="left"/>
              <w:textAlignment w:val="baseline"/>
              <w:rPr>
                <w:sz w:val="24"/>
                <w:szCs w:val="24"/>
              </w:rPr>
            </w:pPr>
            <w:r w:rsidRPr="002C7933">
              <w:rPr>
                <w:rFonts w:ascii="Arial" w:hAnsi="Arial" w:cs="Arial"/>
                <w:sz w:val="22"/>
              </w:rPr>
              <w:t>If ‘no’ give reason (e.g. not low level) </w:t>
            </w:r>
          </w:p>
        </w:tc>
        <w:tc>
          <w:tcPr>
            <w:tcW w:w="4980" w:type="dxa"/>
            <w:tcBorders>
              <w:top w:val="nil"/>
              <w:left w:val="nil"/>
              <w:bottom w:val="dotted" w:sz="6" w:space="0" w:color="auto"/>
              <w:right w:val="single" w:sz="6" w:space="0" w:color="auto"/>
            </w:tcBorders>
            <w:shd w:val="clear" w:color="auto" w:fill="auto"/>
            <w:vAlign w:val="bottom"/>
            <w:hideMark/>
          </w:tcPr>
          <w:p w:rsidR="00683CF6" w:rsidRPr="002C7933" w:rsidRDefault="00683CF6" w:rsidP="00046B75">
            <w:pPr>
              <w:spacing w:after="0" w:line="240" w:lineRule="auto"/>
              <w:jc w:val="left"/>
              <w:textAlignment w:val="baseline"/>
              <w:rPr>
                <w:sz w:val="24"/>
                <w:szCs w:val="24"/>
              </w:rPr>
            </w:pPr>
            <w:r w:rsidRPr="002C7933">
              <w:rPr>
                <w:rFonts w:ascii="Arial" w:hAnsi="Arial" w:cs="Arial"/>
                <w:sz w:val="22"/>
              </w:rPr>
              <w:t> </w:t>
            </w:r>
          </w:p>
        </w:tc>
      </w:tr>
      <w:tr w:rsidR="00683CF6" w:rsidRPr="002C7933" w:rsidTr="00046B75">
        <w:trPr>
          <w:trHeight w:val="300"/>
        </w:trPr>
        <w:tc>
          <w:tcPr>
            <w:tcW w:w="5175" w:type="dxa"/>
            <w:tcBorders>
              <w:top w:val="nil"/>
              <w:left w:val="single" w:sz="6" w:space="0" w:color="auto"/>
              <w:bottom w:val="nil"/>
              <w:right w:val="nil"/>
            </w:tcBorders>
            <w:shd w:val="clear" w:color="auto" w:fill="auto"/>
            <w:vAlign w:val="bottom"/>
            <w:hideMark/>
          </w:tcPr>
          <w:p w:rsidR="00683CF6" w:rsidRPr="002C7933" w:rsidRDefault="00683CF6" w:rsidP="00046B75">
            <w:pPr>
              <w:spacing w:after="0" w:line="240" w:lineRule="auto"/>
              <w:jc w:val="left"/>
              <w:textAlignment w:val="baseline"/>
              <w:rPr>
                <w:sz w:val="24"/>
                <w:szCs w:val="24"/>
              </w:rPr>
            </w:pPr>
            <w:r w:rsidRPr="002C7933">
              <w:rPr>
                <w:rFonts w:ascii="Arial" w:hAnsi="Arial" w:cs="Arial"/>
                <w:sz w:val="22"/>
              </w:rPr>
              <w:t>If ‘yes’ how were occupiers notified? </w:t>
            </w:r>
          </w:p>
        </w:tc>
        <w:tc>
          <w:tcPr>
            <w:tcW w:w="4980" w:type="dxa"/>
            <w:tcBorders>
              <w:top w:val="dotted" w:sz="6" w:space="0" w:color="auto"/>
              <w:left w:val="nil"/>
              <w:bottom w:val="dotted" w:sz="6" w:space="0" w:color="auto"/>
              <w:right w:val="single" w:sz="6" w:space="0" w:color="auto"/>
            </w:tcBorders>
            <w:shd w:val="clear" w:color="auto" w:fill="auto"/>
            <w:vAlign w:val="bottom"/>
            <w:hideMark/>
          </w:tcPr>
          <w:p w:rsidR="00683CF6" w:rsidRPr="002C7933" w:rsidRDefault="00683CF6" w:rsidP="00046B75">
            <w:pPr>
              <w:spacing w:after="0" w:line="240" w:lineRule="auto"/>
              <w:ind w:right="1095"/>
              <w:jc w:val="left"/>
              <w:textAlignment w:val="baseline"/>
              <w:rPr>
                <w:sz w:val="24"/>
                <w:szCs w:val="24"/>
              </w:rPr>
            </w:pPr>
            <w:r w:rsidRPr="002C7933">
              <w:rPr>
                <w:rFonts w:ascii="Arial" w:hAnsi="Arial" w:cs="Arial"/>
                <w:sz w:val="22"/>
              </w:rPr>
              <w:t> </w:t>
            </w:r>
          </w:p>
        </w:tc>
      </w:tr>
      <w:tr w:rsidR="00683CF6" w:rsidRPr="002C7933" w:rsidTr="00046B75">
        <w:trPr>
          <w:trHeight w:val="300"/>
        </w:trPr>
        <w:tc>
          <w:tcPr>
            <w:tcW w:w="10170" w:type="dxa"/>
            <w:gridSpan w:val="2"/>
            <w:tcBorders>
              <w:top w:val="nil"/>
              <w:left w:val="single" w:sz="6" w:space="0" w:color="auto"/>
              <w:bottom w:val="single" w:sz="6" w:space="0" w:color="auto"/>
              <w:right w:val="single" w:sz="6" w:space="0" w:color="auto"/>
            </w:tcBorders>
            <w:shd w:val="clear" w:color="auto" w:fill="auto"/>
            <w:vAlign w:val="center"/>
            <w:hideMark/>
          </w:tcPr>
          <w:p w:rsidR="00683CF6" w:rsidRPr="002C7933" w:rsidRDefault="00683CF6" w:rsidP="00046B75">
            <w:pPr>
              <w:spacing w:after="0" w:line="240" w:lineRule="auto"/>
              <w:jc w:val="left"/>
              <w:textAlignment w:val="baseline"/>
              <w:rPr>
                <w:sz w:val="24"/>
                <w:szCs w:val="24"/>
              </w:rPr>
            </w:pPr>
            <w:r w:rsidRPr="002C7933">
              <w:rPr>
                <w:rFonts w:ascii="Arial" w:hAnsi="Arial" w:cs="Arial"/>
                <w:b/>
                <w:bCs/>
                <w:sz w:val="22"/>
              </w:rPr>
              <w:t>If access to the land is required, appropriate statutory forms under the </w:t>
            </w:r>
            <w:r w:rsidRPr="002C7933">
              <w:rPr>
                <w:rFonts w:ascii="Arial" w:hAnsi="Arial" w:cs="Arial"/>
                <w:b/>
                <w:bCs/>
                <w:i/>
                <w:iCs/>
                <w:sz w:val="22"/>
              </w:rPr>
              <w:t>Mining Act 1971</w:t>
            </w:r>
            <w:r w:rsidRPr="002C7933">
              <w:rPr>
                <w:rFonts w:ascii="Arial" w:hAnsi="Arial" w:cs="Arial"/>
                <w:b/>
                <w:bCs/>
                <w:sz w:val="22"/>
              </w:rPr>
              <w:t> and </w:t>
            </w:r>
            <w:r w:rsidRPr="002C7933">
              <w:rPr>
                <w:rFonts w:ascii="Arial" w:hAnsi="Arial" w:cs="Arial"/>
                <w:b/>
                <w:bCs/>
                <w:i/>
                <w:iCs/>
                <w:sz w:val="22"/>
              </w:rPr>
              <w:t>Mining Regulations 2020</w:t>
            </w:r>
            <w:r w:rsidRPr="002C7933">
              <w:rPr>
                <w:rFonts w:ascii="Arial" w:hAnsi="Arial" w:cs="Arial"/>
                <w:b/>
                <w:bCs/>
                <w:sz w:val="22"/>
              </w:rPr>
              <w:t> must be completed.</w:t>
            </w:r>
            <w:r w:rsidRPr="002C7933">
              <w:rPr>
                <w:rFonts w:ascii="Arial" w:hAnsi="Arial" w:cs="Arial"/>
                <w:sz w:val="22"/>
              </w:rPr>
              <w:t> </w:t>
            </w:r>
          </w:p>
        </w:tc>
      </w:tr>
    </w:tbl>
    <w:p w:rsidR="00683CF6" w:rsidRPr="002C7933" w:rsidRDefault="00683CF6" w:rsidP="00683CF6">
      <w:pPr>
        <w:pStyle w:val="GG-SDated"/>
        <w:spacing w:before="240"/>
        <w:rPr>
          <w:rFonts w:ascii="Segoe UI" w:hAnsi="Segoe UI" w:cs="Segoe UI"/>
          <w:sz w:val="18"/>
          <w:szCs w:val="18"/>
          <w:lang w:eastAsia="en-AU"/>
        </w:rPr>
      </w:pPr>
      <w:r w:rsidRPr="008361FC">
        <w:rPr>
          <w:lang w:eastAsia="en-AU"/>
        </w:rPr>
        <w:t>Dated: 11 December 2020</w:t>
      </w:r>
    </w:p>
    <w:p w:rsidR="00683CF6" w:rsidRPr="002C7933" w:rsidRDefault="00683CF6" w:rsidP="00683CF6">
      <w:pPr>
        <w:pStyle w:val="GG-SName"/>
        <w:rPr>
          <w:rFonts w:ascii="Segoe UI" w:hAnsi="Segoe UI" w:cs="Segoe UI"/>
          <w:sz w:val="18"/>
          <w:szCs w:val="18"/>
          <w:lang w:eastAsia="en-AU"/>
        </w:rPr>
      </w:pPr>
      <w:r>
        <w:rPr>
          <w:lang w:eastAsia="en-AU"/>
        </w:rPr>
        <w:t xml:space="preserve">Hon. Daniel van Holst </w:t>
      </w:r>
      <w:r w:rsidRPr="002C7933">
        <w:rPr>
          <w:lang w:eastAsia="en-AU"/>
        </w:rPr>
        <w:t>Pellekaan</w:t>
      </w:r>
    </w:p>
    <w:p w:rsidR="00683CF6" w:rsidRDefault="00683CF6" w:rsidP="00683CF6">
      <w:pPr>
        <w:pStyle w:val="GG-Signature"/>
        <w:rPr>
          <w:lang w:eastAsia="en-AU"/>
        </w:rPr>
      </w:pPr>
      <w:r w:rsidRPr="002C7933">
        <w:rPr>
          <w:lang w:eastAsia="en-AU"/>
        </w:rPr>
        <w:t>Minister for Energy and Mining</w:t>
      </w:r>
    </w:p>
    <w:p w:rsidR="00683CF6" w:rsidRDefault="00683CF6" w:rsidP="00683CF6">
      <w:pPr>
        <w:pStyle w:val="GG-body"/>
        <w:pBdr>
          <w:top w:val="single" w:sz="4" w:space="1" w:color="auto"/>
        </w:pBdr>
        <w:spacing w:before="100" w:after="0" w:line="14" w:lineRule="exact"/>
        <w:jc w:val="center"/>
      </w:pPr>
    </w:p>
    <w:p w:rsidR="00683CF6" w:rsidRPr="002C7933" w:rsidRDefault="00683CF6" w:rsidP="00683CF6">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rsidR="00683CF6" w:rsidRDefault="00683CF6" w:rsidP="00683CF6">
      <w:pPr>
        <w:rPr>
          <w:caps/>
        </w:rPr>
      </w:pPr>
      <w:r>
        <w:br w:type="page"/>
      </w:r>
    </w:p>
    <w:p w:rsidR="00683CF6" w:rsidRDefault="00683CF6" w:rsidP="00683CF6">
      <w:pPr>
        <w:pStyle w:val="GG-Title1"/>
      </w:pPr>
      <w:r w:rsidRPr="00A20F8A">
        <w:t>Mining Regulations 2020</w:t>
      </w:r>
    </w:p>
    <w:p w:rsidR="00683CF6" w:rsidRDefault="00683CF6" w:rsidP="00683CF6">
      <w:pPr>
        <w:pStyle w:val="GG-Title3"/>
      </w:pPr>
      <w:r w:rsidRPr="00A20F8A">
        <w:t xml:space="preserve">Notice </w:t>
      </w:r>
      <w:r>
        <w:t>u</w:t>
      </w:r>
      <w:r w:rsidRPr="00A20F8A">
        <w:t xml:space="preserve">nder Regulation 88(2) </w:t>
      </w:r>
      <w:r>
        <w:t>o</w:t>
      </w:r>
      <w:r w:rsidRPr="00A20F8A">
        <w:t xml:space="preserve">f </w:t>
      </w:r>
      <w:r>
        <w:t>t</w:t>
      </w:r>
      <w:r w:rsidRPr="00A20F8A">
        <w:t>he Mining Regulations 2020</w:t>
      </w:r>
    </w:p>
    <w:p w:rsidR="00683CF6" w:rsidRDefault="00683CF6" w:rsidP="00683CF6">
      <w:pPr>
        <w:pStyle w:val="GG-body"/>
      </w:pPr>
      <w:r w:rsidRPr="00A20F8A">
        <w:t>NOTICE is hereby given pursuant to the provision of regulation 88 of the</w:t>
      </w:r>
      <w:r w:rsidRPr="0039487D">
        <w:rPr>
          <w:i/>
        </w:rPr>
        <w:t xml:space="preserve"> Mining Regulations 2020</w:t>
      </w:r>
      <w:r w:rsidRPr="00A20F8A">
        <w:t>, to specify the manner to which a notice or document must be provided, given or served on the Minister for Energy and Mining.</w:t>
      </w:r>
    </w:p>
    <w:p w:rsidR="00683CF6" w:rsidRPr="00A96612" w:rsidRDefault="00683CF6" w:rsidP="00683CF6">
      <w:pPr>
        <w:pStyle w:val="GG-body"/>
        <w:rPr>
          <w:spacing w:val="-2"/>
        </w:rPr>
      </w:pPr>
      <w:r w:rsidRPr="00A96612">
        <w:rPr>
          <w:spacing w:val="-2"/>
        </w:rPr>
        <w:t>TAKE notice that I, Daniel van Holst Pellekaan, Minister for Energy and Mining, pursuant to regulation 88(2) of the</w:t>
      </w:r>
      <w:r w:rsidRPr="00A96612">
        <w:rPr>
          <w:i/>
          <w:spacing w:val="-2"/>
        </w:rPr>
        <w:t xml:space="preserve"> Mining Regulations 2020</w:t>
      </w:r>
      <w:r w:rsidRPr="00A96612">
        <w:rPr>
          <w:spacing w:val="-2"/>
        </w:rPr>
        <w:t xml:space="preserve"> do hereby:</w:t>
      </w:r>
    </w:p>
    <w:p w:rsidR="00683CF6" w:rsidRDefault="00683CF6" w:rsidP="00683CF6">
      <w:pPr>
        <w:pStyle w:val="GG-body"/>
        <w:ind w:left="142"/>
      </w:pPr>
      <w:r w:rsidRPr="00A20F8A">
        <w:t>SPECIFY that the manner to which a notice or document must be provided, given or served on the Minister for Energy and Mining by either:</w:t>
      </w:r>
    </w:p>
    <w:p w:rsidR="00683CF6" w:rsidRDefault="00683CF6" w:rsidP="00683CF6">
      <w:pPr>
        <w:pStyle w:val="GG-body"/>
        <w:ind w:left="567" w:hanging="283"/>
      </w:pPr>
      <w:r w:rsidRPr="00A20F8A">
        <w:t>1.</w:t>
      </w:r>
      <w:r w:rsidRPr="00A20F8A">
        <w:tab/>
        <w:t>email sent to an email address provided by the Minister for Energy and Mining, published on the Department for Energy and Mining</w:t>
      </w:r>
      <w:r>
        <w:t>’</w:t>
      </w:r>
      <w:r w:rsidRPr="00A20F8A">
        <w:t>s website, or provided for on the relevant application form (physical or electronic form); or</w:t>
      </w:r>
    </w:p>
    <w:p w:rsidR="00683CF6" w:rsidRDefault="00683CF6" w:rsidP="00683CF6">
      <w:pPr>
        <w:pStyle w:val="GG-body"/>
        <w:ind w:left="567" w:hanging="283"/>
      </w:pPr>
      <w:r w:rsidRPr="00A20F8A">
        <w:t>2.</w:t>
      </w:r>
      <w:r w:rsidRPr="00A20F8A">
        <w:tab/>
        <w:t>electronic means approved by the Minister for Energy and Mining for the purpose of the relevant notice or document (for example, iApply).</w:t>
      </w:r>
    </w:p>
    <w:p w:rsidR="00683CF6" w:rsidRDefault="00683CF6" w:rsidP="00683CF6">
      <w:pPr>
        <w:pStyle w:val="GG-body"/>
      </w:pPr>
      <w:r w:rsidRPr="00A20F8A">
        <w:t>In accordance with regulation 88(2) of the</w:t>
      </w:r>
      <w:r w:rsidRPr="0039487D">
        <w:rPr>
          <w:i/>
        </w:rPr>
        <w:t xml:space="preserve"> Mining Regulations 2020</w:t>
      </w:r>
      <w:r w:rsidRPr="00A20F8A">
        <w:t>, this notice will have effect from 1 January 2021.</w:t>
      </w:r>
    </w:p>
    <w:p w:rsidR="00683CF6" w:rsidRDefault="00683CF6" w:rsidP="00683CF6">
      <w:pPr>
        <w:pStyle w:val="GG-SDated"/>
      </w:pPr>
      <w:r w:rsidRPr="00DC19B8">
        <w:t>Dated: 11 December 2020</w:t>
      </w:r>
    </w:p>
    <w:p w:rsidR="00683CF6" w:rsidRDefault="00683CF6" w:rsidP="00683CF6">
      <w:pPr>
        <w:pStyle w:val="GG-SName"/>
      </w:pPr>
      <w:r w:rsidRPr="00A20F8A">
        <w:t>Hon. Daniel van Holst Pellekaan</w:t>
      </w:r>
    </w:p>
    <w:p w:rsidR="00683CF6" w:rsidRDefault="00683CF6" w:rsidP="00683CF6">
      <w:pPr>
        <w:pStyle w:val="GG-Signature"/>
      </w:pPr>
      <w:r w:rsidRPr="00A20F8A">
        <w:t>Minister for Energy and Mining</w:t>
      </w:r>
    </w:p>
    <w:p w:rsidR="00683CF6" w:rsidRDefault="00683CF6" w:rsidP="00683CF6">
      <w:pPr>
        <w:pStyle w:val="GG-body"/>
        <w:pBdr>
          <w:top w:val="single" w:sz="4" w:space="1" w:color="auto"/>
        </w:pBdr>
        <w:spacing w:before="100" w:after="0" w:line="14" w:lineRule="exact"/>
        <w:jc w:val="center"/>
      </w:pPr>
    </w:p>
    <w:p w:rsidR="00683CF6" w:rsidRDefault="00683CF6" w:rsidP="00683CF6">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rsidR="00683CF6" w:rsidRPr="004475D4" w:rsidRDefault="00683CF6" w:rsidP="00683CF6">
      <w:pPr>
        <w:pStyle w:val="GG-Title1"/>
      </w:pPr>
      <w:r w:rsidRPr="004475D4">
        <w:t>Mining Regulations 2020</w:t>
      </w:r>
    </w:p>
    <w:p w:rsidR="00683CF6" w:rsidRPr="004475D4" w:rsidRDefault="00683CF6" w:rsidP="00683CF6">
      <w:pPr>
        <w:pStyle w:val="GG-Title3"/>
      </w:pPr>
      <w:r w:rsidRPr="004475D4">
        <w:t xml:space="preserve">Notice </w:t>
      </w:r>
      <w:r>
        <w:t>u</w:t>
      </w:r>
      <w:r w:rsidRPr="004475D4">
        <w:t xml:space="preserve">nder Regulation 88(2) </w:t>
      </w:r>
      <w:r>
        <w:t>o</w:t>
      </w:r>
      <w:r w:rsidRPr="004475D4">
        <w:t xml:space="preserve">f </w:t>
      </w:r>
      <w:r>
        <w:t>t</w:t>
      </w:r>
      <w:r w:rsidRPr="004475D4">
        <w:t>he Mining Regulations 2020</w:t>
      </w:r>
    </w:p>
    <w:p w:rsidR="00683CF6" w:rsidRPr="004475D4" w:rsidRDefault="00683CF6" w:rsidP="00683CF6">
      <w:pPr>
        <w:pStyle w:val="GG-body"/>
      </w:pPr>
      <w:r w:rsidRPr="004475D4">
        <w:t xml:space="preserve">NOTICE is hereby given pursuant to the provision of regulation 88 of the </w:t>
      </w:r>
      <w:r w:rsidRPr="00151EE3">
        <w:rPr>
          <w:i/>
        </w:rPr>
        <w:t>Mining Regulations 2020</w:t>
      </w:r>
      <w:r w:rsidRPr="004475D4">
        <w:t>, to specify the manner to which a notice or document must be provided, given or served on the Director of Mines.</w:t>
      </w:r>
    </w:p>
    <w:p w:rsidR="00683CF6" w:rsidRPr="004475D4" w:rsidRDefault="00683CF6" w:rsidP="00683CF6">
      <w:pPr>
        <w:pStyle w:val="GG-body"/>
      </w:pPr>
      <w:r w:rsidRPr="004475D4">
        <w:t xml:space="preserve">TAKE notice that I, Paul Heithersay, Director of Mines, pursuant to regulation 88(2) of the </w:t>
      </w:r>
      <w:r w:rsidRPr="00151EE3">
        <w:rPr>
          <w:i/>
        </w:rPr>
        <w:t>Mining Regulations 2020</w:t>
      </w:r>
      <w:r w:rsidRPr="004475D4">
        <w:t xml:space="preserve"> do hereby:</w:t>
      </w:r>
    </w:p>
    <w:p w:rsidR="00683CF6" w:rsidRPr="004475D4" w:rsidRDefault="00683CF6" w:rsidP="00683CF6">
      <w:pPr>
        <w:pStyle w:val="GG-body"/>
        <w:ind w:left="142"/>
      </w:pPr>
      <w:r w:rsidRPr="004475D4">
        <w:t>SPECIFY that the manner to which a notice or document must be provided, given or served on the Director of Mines by either:</w:t>
      </w:r>
    </w:p>
    <w:p w:rsidR="00683CF6" w:rsidRPr="004475D4" w:rsidRDefault="00683CF6" w:rsidP="00683CF6">
      <w:pPr>
        <w:pStyle w:val="GG-body"/>
        <w:ind w:left="426" w:hanging="284"/>
      </w:pPr>
      <w:r w:rsidRPr="004475D4">
        <w:t>1.</w:t>
      </w:r>
      <w:r w:rsidRPr="004475D4">
        <w:tab/>
        <w:t>email sent to an email address provided by the Director of Mines, published on the Department for Energy and Mining</w:t>
      </w:r>
      <w:r>
        <w:t>’</w:t>
      </w:r>
      <w:r w:rsidRPr="004475D4">
        <w:t>s website, or provided for on the relevant application form (physical or electronic form); or</w:t>
      </w:r>
    </w:p>
    <w:p w:rsidR="00683CF6" w:rsidRPr="004475D4" w:rsidRDefault="00683CF6" w:rsidP="00683CF6">
      <w:pPr>
        <w:pStyle w:val="GG-body"/>
        <w:ind w:left="426" w:hanging="284"/>
      </w:pPr>
      <w:r w:rsidRPr="004475D4">
        <w:t>2.</w:t>
      </w:r>
      <w:r w:rsidRPr="004475D4">
        <w:tab/>
        <w:t>electronic means approved by the Director of Mines for the purpose of the relevant notice or document (for example, iApply).</w:t>
      </w:r>
    </w:p>
    <w:p w:rsidR="00683CF6" w:rsidRPr="004475D4" w:rsidRDefault="00683CF6" w:rsidP="00683CF6">
      <w:pPr>
        <w:pStyle w:val="GG-body"/>
      </w:pPr>
      <w:r w:rsidRPr="004475D4">
        <w:t xml:space="preserve">In accordance with regulation 88(2) of the </w:t>
      </w:r>
      <w:r w:rsidRPr="00151EE3">
        <w:rPr>
          <w:i/>
        </w:rPr>
        <w:t>Mining Regulations 2020</w:t>
      </w:r>
      <w:r w:rsidRPr="004475D4">
        <w:t>, this notice will have effect from 1 January 2021.</w:t>
      </w:r>
    </w:p>
    <w:p w:rsidR="00683CF6" w:rsidRPr="004475D4" w:rsidRDefault="00683CF6" w:rsidP="00683CF6">
      <w:pPr>
        <w:pStyle w:val="GG-SDated"/>
      </w:pPr>
      <w:r>
        <w:t xml:space="preserve">Dated: </w:t>
      </w:r>
      <w:r w:rsidRPr="004475D4">
        <w:t>14 December 2020</w:t>
      </w:r>
    </w:p>
    <w:p w:rsidR="00683CF6" w:rsidRPr="004475D4" w:rsidRDefault="00683CF6" w:rsidP="00683CF6">
      <w:pPr>
        <w:pStyle w:val="GG-SName"/>
      </w:pPr>
      <w:r w:rsidRPr="004475D4">
        <w:t>Dr Paul Heithersay</w:t>
      </w:r>
    </w:p>
    <w:p w:rsidR="00683CF6" w:rsidRDefault="00683CF6" w:rsidP="00683CF6">
      <w:pPr>
        <w:pStyle w:val="GG-Signature"/>
      </w:pPr>
      <w:r w:rsidRPr="004475D4">
        <w:t>Director of Mines</w:t>
      </w:r>
    </w:p>
    <w:p w:rsidR="00683CF6" w:rsidRDefault="00683CF6" w:rsidP="00683CF6">
      <w:pPr>
        <w:pStyle w:val="GG-body"/>
        <w:pBdr>
          <w:top w:val="single" w:sz="4" w:space="1" w:color="auto"/>
        </w:pBdr>
        <w:spacing w:before="100" w:after="0" w:line="14" w:lineRule="exact"/>
        <w:jc w:val="center"/>
      </w:pPr>
    </w:p>
    <w:p w:rsidR="00683CF6" w:rsidRPr="004475D4" w:rsidRDefault="00683CF6" w:rsidP="00683CF6">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rsidR="00683CF6" w:rsidRPr="00EF2C35" w:rsidRDefault="00683CF6" w:rsidP="00683CF6">
      <w:pPr>
        <w:pStyle w:val="GG-Title1"/>
      </w:pPr>
      <w:r w:rsidRPr="00EF2C35">
        <w:t>Mining Regulations 2020</w:t>
      </w:r>
    </w:p>
    <w:p w:rsidR="00683CF6" w:rsidRDefault="00683CF6" w:rsidP="00683CF6">
      <w:pPr>
        <w:pStyle w:val="GG-Title3"/>
      </w:pPr>
      <w:r w:rsidRPr="00B4162A">
        <w:t xml:space="preserve">Notice </w:t>
      </w:r>
      <w:r>
        <w:t>u</w:t>
      </w:r>
      <w:r w:rsidRPr="00B4162A">
        <w:t xml:space="preserve">nder Regulation 88(2) </w:t>
      </w:r>
      <w:r>
        <w:t>o</w:t>
      </w:r>
      <w:r w:rsidRPr="00B4162A">
        <w:t xml:space="preserve">f </w:t>
      </w:r>
      <w:r>
        <w:t>t</w:t>
      </w:r>
      <w:r w:rsidRPr="00B4162A">
        <w:t xml:space="preserve">he </w:t>
      </w:r>
      <w:r w:rsidRPr="00594326">
        <w:t>Mining Regulations 2020</w:t>
      </w:r>
    </w:p>
    <w:p w:rsidR="00683CF6" w:rsidRDefault="00683CF6" w:rsidP="00683CF6">
      <w:pPr>
        <w:pStyle w:val="GG-body"/>
      </w:pPr>
      <w:r w:rsidRPr="00B4162A">
        <w:t xml:space="preserve">NOTICE is hereby given pursuant to the provision of regulation 88 of the </w:t>
      </w:r>
      <w:r w:rsidRPr="00594326">
        <w:rPr>
          <w:i/>
        </w:rPr>
        <w:t>Mining Regulations 2020</w:t>
      </w:r>
      <w:r w:rsidRPr="00B4162A">
        <w:t>, to specify the manner to which a notice or document must be provided, given or served on the Mining Registrar.</w:t>
      </w:r>
    </w:p>
    <w:p w:rsidR="00683CF6" w:rsidRDefault="00683CF6" w:rsidP="00683CF6">
      <w:pPr>
        <w:pStyle w:val="GG-body"/>
      </w:pPr>
      <w:r w:rsidRPr="00B4162A">
        <w:t xml:space="preserve">TAKE notice that I, Junesse Martin, Mining Registrar, pursuant to regulation 88(2) of the </w:t>
      </w:r>
      <w:r w:rsidRPr="00594326">
        <w:rPr>
          <w:i/>
        </w:rPr>
        <w:t>Mining Regulations 2020</w:t>
      </w:r>
      <w:r w:rsidRPr="00B4162A">
        <w:t xml:space="preserve"> do hereby:</w:t>
      </w:r>
    </w:p>
    <w:p w:rsidR="00683CF6" w:rsidRDefault="00683CF6" w:rsidP="00683CF6">
      <w:pPr>
        <w:pStyle w:val="GG-body"/>
        <w:ind w:left="142"/>
      </w:pPr>
      <w:r w:rsidRPr="00B4162A">
        <w:t>SPECIFY that the manner to which a notice or document must be provided, given or served on the Mining Registrar by either:</w:t>
      </w:r>
    </w:p>
    <w:p w:rsidR="00683CF6" w:rsidRDefault="00683CF6" w:rsidP="00683CF6">
      <w:pPr>
        <w:pStyle w:val="GG-body"/>
        <w:ind w:left="426" w:hanging="284"/>
      </w:pPr>
      <w:r w:rsidRPr="00B4162A">
        <w:t>1.</w:t>
      </w:r>
      <w:r w:rsidRPr="00B4162A">
        <w:tab/>
        <w:t>email sent to an email address provided by the Mining Registrar, published on the Department for Energy and Mining</w:t>
      </w:r>
      <w:r>
        <w:t>’</w:t>
      </w:r>
      <w:r w:rsidRPr="00B4162A">
        <w:t>s website, or provided for on the relevant application form (physical or electronic form); or</w:t>
      </w:r>
    </w:p>
    <w:p w:rsidR="00683CF6" w:rsidRDefault="00683CF6" w:rsidP="00683CF6">
      <w:pPr>
        <w:pStyle w:val="GG-body"/>
        <w:ind w:left="426" w:hanging="284"/>
      </w:pPr>
      <w:r w:rsidRPr="00B4162A">
        <w:t>2.</w:t>
      </w:r>
      <w:r w:rsidRPr="00B4162A">
        <w:tab/>
        <w:t>electronic means approved by the Mining Registrar for the purpose of the relevant notice or document (for example, iApply).</w:t>
      </w:r>
    </w:p>
    <w:p w:rsidR="00683CF6" w:rsidRDefault="00683CF6" w:rsidP="00683CF6">
      <w:pPr>
        <w:pStyle w:val="GG-body"/>
      </w:pPr>
      <w:r w:rsidRPr="00B4162A">
        <w:t xml:space="preserve">In accordance with Regulation 88(2) of the </w:t>
      </w:r>
      <w:r w:rsidRPr="00594326">
        <w:rPr>
          <w:i/>
        </w:rPr>
        <w:t>Mining Regulations 2020</w:t>
      </w:r>
      <w:r w:rsidRPr="00B4162A">
        <w:t>, this notice will have effect from 1 January 2021.</w:t>
      </w:r>
    </w:p>
    <w:p w:rsidR="00683CF6" w:rsidRDefault="00683CF6" w:rsidP="00683CF6">
      <w:pPr>
        <w:pStyle w:val="GG-SDated"/>
      </w:pPr>
      <w:r>
        <w:t xml:space="preserve">Dated: </w:t>
      </w:r>
      <w:r w:rsidRPr="00B4162A">
        <w:t>14 December 2020</w:t>
      </w:r>
    </w:p>
    <w:p w:rsidR="00683CF6" w:rsidRDefault="00683CF6" w:rsidP="00683CF6">
      <w:pPr>
        <w:pStyle w:val="GG-SName"/>
      </w:pPr>
      <w:r w:rsidRPr="00B4162A">
        <w:t>Junesse Martin</w:t>
      </w:r>
    </w:p>
    <w:p w:rsidR="00683CF6" w:rsidRDefault="00683CF6" w:rsidP="00683CF6">
      <w:pPr>
        <w:pStyle w:val="GG-Signature"/>
      </w:pPr>
      <w:r w:rsidRPr="00B4162A">
        <w:t>Mining Registrar</w:t>
      </w:r>
    </w:p>
    <w:p w:rsidR="00683CF6" w:rsidRDefault="00683CF6" w:rsidP="00683CF6">
      <w:pPr>
        <w:pStyle w:val="GG-body"/>
        <w:pBdr>
          <w:top w:val="single" w:sz="4" w:space="1" w:color="auto"/>
        </w:pBdr>
        <w:spacing w:before="100" w:after="0" w:line="14" w:lineRule="exact"/>
        <w:jc w:val="center"/>
      </w:pPr>
    </w:p>
    <w:p w:rsidR="00683CF6" w:rsidRDefault="00683CF6" w:rsidP="00683CF6">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rsidR="00683CF6" w:rsidRDefault="00683CF6" w:rsidP="00683CF6">
      <w:pPr>
        <w:pStyle w:val="GG-Title1"/>
      </w:pPr>
      <w:r w:rsidRPr="00A20F8A">
        <w:t>Mining Regulations 2020</w:t>
      </w:r>
    </w:p>
    <w:p w:rsidR="00683CF6" w:rsidRDefault="00683CF6" w:rsidP="00683CF6">
      <w:pPr>
        <w:pStyle w:val="GG-Title3"/>
      </w:pPr>
      <w:r w:rsidRPr="00A20F8A">
        <w:t xml:space="preserve">Notice </w:t>
      </w:r>
      <w:r>
        <w:t>u</w:t>
      </w:r>
      <w:r w:rsidRPr="00A20F8A">
        <w:t xml:space="preserve">nder Regulation 81(5) </w:t>
      </w:r>
      <w:r>
        <w:t>o</w:t>
      </w:r>
      <w:r w:rsidRPr="00A20F8A">
        <w:t xml:space="preserve">f </w:t>
      </w:r>
      <w:r>
        <w:t>t</w:t>
      </w:r>
      <w:r w:rsidRPr="00A20F8A">
        <w:t>he Mining Regulations 2020</w:t>
      </w:r>
    </w:p>
    <w:p w:rsidR="00683CF6" w:rsidRDefault="00683CF6" w:rsidP="00683CF6">
      <w:pPr>
        <w:pStyle w:val="GG-body"/>
      </w:pPr>
      <w:r w:rsidRPr="00A20F8A">
        <w:t>NOTICE is hereby given pursuant to the provision of regulation 81(5) of the</w:t>
      </w:r>
      <w:r w:rsidRPr="0039487D">
        <w:rPr>
          <w:i/>
        </w:rPr>
        <w:t xml:space="preserve"> Mining Regulations 2020</w:t>
      </w:r>
      <w:r w:rsidRPr="00A20F8A">
        <w:t>, to specify the manner and form of notification under regulation 81(4) of the</w:t>
      </w:r>
      <w:r w:rsidRPr="0039487D">
        <w:rPr>
          <w:i/>
        </w:rPr>
        <w:t xml:space="preserve"> Mining Regulations 2020</w:t>
      </w:r>
      <w:r w:rsidRPr="00A20F8A">
        <w:t>.</w:t>
      </w:r>
    </w:p>
    <w:p w:rsidR="00683CF6" w:rsidRPr="00DF2B38" w:rsidRDefault="00683CF6" w:rsidP="00683CF6">
      <w:pPr>
        <w:pStyle w:val="GG-body"/>
        <w:rPr>
          <w:spacing w:val="-2"/>
        </w:rPr>
      </w:pPr>
      <w:r w:rsidRPr="00DF2B38">
        <w:rPr>
          <w:spacing w:val="-2"/>
        </w:rPr>
        <w:t>TAKE notice that I, Daniel van Holst Pellekaan, Minister for Energy and Mining, pursuant to regulation 81(5) of the</w:t>
      </w:r>
      <w:r w:rsidRPr="00DF2B38">
        <w:rPr>
          <w:i/>
          <w:spacing w:val="-2"/>
        </w:rPr>
        <w:t xml:space="preserve"> Mining Regulations 2020</w:t>
      </w:r>
      <w:r w:rsidRPr="00DF2B38">
        <w:rPr>
          <w:spacing w:val="-2"/>
        </w:rPr>
        <w:t xml:space="preserve"> do hereby:</w:t>
      </w:r>
    </w:p>
    <w:p w:rsidR="00683CF6" w:rsidRDefault="00683CF6" w:rsidP="00683CF6">
      <w:pPr>
        <w:pStyle w:val="GG-body"/>
        <w:ind w:left="142"/>
      </w:pPr>
      <w:r w:rsidRPr="00A20F8A">
        <w:t>DETERMINE that a notice under regulation 81(4) of the</w:t>
      </w:r>
      <w:r w:rsidRPr="0039487D">
        <w:rPr>
          <w:i/>
        </w:rPr>
        <w:t xml:space="preserve"> Mining Regulations 2020</w:t>
      </w:r>
      <w:r w:rsidRPr="00A20F8A">
        <w:t xml:space="preserve"> must be in the following manner and form:</w:t>
      </w:r>
    </w:p>
    <w:p w:rsidR="00683CF6" w:rsidRDefault="00683CF6" w:rsidP="00683CF6">
      <w:pPr>
        <w:pStyle w:val="GG-body"/>
        <w:ind w:left="426" w:hanging="284"/>
      </w:pPr>
      <w:r w:rsidRPr="00A20F8A">
        <w:t>a.</w:t>
      </w:r>
      <w:r w:rsidRPr="00A20F8A">
        <w:tab/>
        <w:t>state the tenement number(s) covered by the insurance policy;</w:t>
      </w:r>
    </w:p>
    <w:p w:rsidR="00683CF6" w:rsidRDefault="00683CF6" w:rsidP="00683CF6">
      <w:pPr>
        <w:pStyle w:val="GG-body"/>
        <w:ind w:left="426" w:hanging="284"/>
      </w:pPr>
      <w:r w:rsidRPr="00A20F8A">
        <w:t>b.</w:t>
      </w:r>
      <w:r w:rsidRPr="00A20F8A">
        <w:tab/>
        <w:t>state the insured party or parties;</w:t>
      </w:r>
    </w:p>
    <w:p w:rsidR="00683CF6" w:rsidRDefault="00683CF6" w:rsidP="00683CF6">
      <w:pPr>
        <w:pStyle w:val="GG-body"/>
        <w:ind w:left="426" w:hanging="284"/>
      </w:pPr>
      <w:r w:rsidRPr="00A20F8A">
        <w:t>c.</w:t>
      </w:r>
      <w:r w:rsidRPr="00A20F8A">
        <w:tab/>
        <w:t>if relevant, state the lapse date of the insurance policy; and</w:t>
      </w:r>
    </w:p>
    <w:p w:rsidR="00683CF6" w:rsidRDefault="00683CF6" w:rsidP="00683CF6">
      <w:pPr>
        <w:pStyle w:val="GG-body"/>
        <w:ind w:left="426" w:hanging="284"/>
      </w:pPr>
      <w:r w:rsidRPr="00A20F8A">
        <w:t>d.</w:t>
      </w:r>
      <w:r w:rsidRPr="00A20F8A">
        <w:tab/>
        <w:t>if relevant, state the nature of the change in the insurance policy.</w:t>
      </w:r>
    </w:p>
    <w:p w:rsidR="00683CF6" w:rsidRDefault="00683CF6" w:rsidP="00683CF6">
      <w:pPr>
        <w:pStyle w:val="GG-body"/>
      </w:pPr>
      <w:r w:rsidRPr="00A20F8A">
        <w:t>In accordance with regulation 81(5) of the</w:t>
      </w:r>
      <w:r w:rsidRPr="0039487D">
        <w:rPr>
          <w:i/>
        </w:rPr>
        <w:t xml:space="preserve"> Mining Regulations 2020</w:t>
      </w:r>
      <w:r w:rsidRPr="00A20F8A">
        <w:t xml:space="preserve"> this notice will have effect from 1 January 2021.</w:t>
      </w:r>
    </w:p>
    <w:p w:rsidR="00683CF6" w:rsidRDefault="00683CF6" w:rsidP="00683CF6">
      <w:pPr>
        <w:pStyle w:val="GG-SDated"/>
      </w:pPr>
      <w:r w:rsidRPr="00DC19B8">
        <w:t>Dated: 11 December 2020</w:t>
      </w:r>
    </w:p>
    <w:p w:rsidR="00683CF6" w:rsidRDefault="00683CF6" w:rsidP="00683CF6">
      <w:pPr>
        <w:pStyle w:val="GG-SName"/>
      </w:pPr>
      <w:r w:rsidRPr="00A20F8A">
        <w:t>Hon. Daniel van Holst Pellekaan</w:t>
      </w:r>
    </w:p>
    <w:p w:rsidR="00683CF6" w:rsidRDefault="00683CF6" w:rsidP="00683CF6">
      <w:pPr>
        <w:pStyle w:val="GG-Signature"/>
      </w:pPr>
      <w:r w:rsidRPr="00A20F8A">
        <w:t>Minister for Energy and Mining</w:t>
      </w:r>
    </w:p>
    <w:p w:rsidR="00683CF6" w:rsidRDefault="00683CF6" w:rsidP="00683CF6">
      <w:pPr>
        <w:pStyle w:val="GG-body"/>
        <w:pBdr>
          <w:top w:val="single" w:sz="4" w:space="1" w:color="auto"/>
        </w:pBdr>
        <w:spacing w:before="100" w:after="0" w:line="14" w:lineRule="exact"/>
        <w:jc w:val="center"/>
      </w:pPr>
    </w:p>
    <w:p w:rsidR="00683CF6" w:rsidRPr="00A20F8A" w:rsidRDefault="00683CF6" w:rsidP="00683CF6">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rsidR="00683CF6" w:rsidRDefault="00683CF6" w:rsidP="00683CF6">
      <w:pPr>
        <w:rPr>
          <w:caps/>
        </w:rPr>
      </w:pPr>
      <w:r>
        <w:br w:type="page"/>
      </w:r>
    </w:p>
    <w:p w:rsidR="00683CF6" w:rsidRDefault="00683CF6" w:rsidP="00683CF6">
      <w:pPr>
        <w:pStyle w:val="GG-Title1"/>
      </w:pPr>
      <w:r w:rsidRPr="00A20F8A">
        <w:t>Mining Regulations 2020</w:t>
      </w:r>
    </w:p>
    <w:p w:rsidR="00683CF6" w:rsidRDefault="00683CF6" w:rsidP="00683CF6">
      <w:pPr>
        <w:pStyle w:val="GG-Title3"/>
      </w:pPr>
      <w:r w:rsidRPr="00A20F8A">
        <w:t xml:space="preserve">Notice </w:t>
      </w:r>
      <w:r>
        <w:t>u</w:t>
      </w:r>
      <w:r w:rsidRPr="00A20F8A">
        <w:t xml:space="preserve">nder Regulation 87(4) </w:t>
      </w:r>
      <w:r>
        <w:t>o</w:t>
      </w:r>
      <w:r w:rsidRPr="00A20F8A">
        <w:t xml:space="preserve">f </w:t>
      </w:r>
      <w:r>
        <w:t>t</w:t>
      </w:r>
      <w:r w:rsidRPr="00A20F8A">
        <w:t>he Mining Regulations 2020</w:t>
      </w:r>
    </w:p>
    <w:p w:rsidR="00683CF6" w:rsidRDefault="00683CF6" w:rsidP="00683CF6">
      <w:pPr>
        <w:pStyle w:val="GG-body"/>
      </w:pPr>
      <w:r w:rsidRPr="00A20F8A">
        <w:t>NOTICE is hereby given in accordance with regulation 87(4) of the</w:t>
      </w:r>
      <w:r w:rsidRPr="0039487D">
        <w:rPr>
          <w:i/>
        </w:rPr>
        <w:t xml:space="preserve"> Mining Regulations 2020</w:t>
      </w:r>
      <w:r w:rsidRPr="00A20F8A">
        <w:t xml:space="preserve"> to declare whether a change of a specified kind is a level 1, level 2, level 3 or level 4 change.</w:t>
      </w:r>
    </w:p>
    <w:p w:rsidR="00683CF6" w:rsidRDefault="00683CF6" w:rsidP="00683CF6">
      <w:pPr>
        <w:pStyle w:val="GG-body"/>
      </w:pPr>
      <w:r w:rsidRPr="00B5513E">
        <w:rPr>
          <w:spacing w:val="-4"/>
        </w:rPr>
        <w:t>TAKE notice that I, Daniel van Holst Pellekaan, Minister for Energy and Mining, pursuant to regulation 87(4) of the </w:t>
      </w:r>
      <w:r w:rsidRPr="00B5513E">
        <w:rPr>
          <w:i/>
          <w:spacing w:val="-4"/>
        </w:rPr>
        <w:t xml:space="preserve"> Mining Regulations 2020</w:t>
      </w:r>
      <w:r>
        <w:rPr>
          <w:spacing w:val="-4"/>
        </w:rPr>
        <w:t xml:space="preserve"> do </w:t>
      </w:r>
      <w:r w:rsidRPr="00B5513E">
        <w:rPr>
          <w:spacing w:val="-4"/>
        </w:rPr>
        <w:t>hereby:</w:t>
      </w:r>
      <w:r w:rsidRPr="00A20F8A">
        <w:t> </w:t>
      </w:r>
    </w:p>
    <w:p w:rsidR="00683CF6" w:rsidRDefault="00683CF6" w:rsidP="00683CF6">
      <w:pPr>
        <w:pStyle w:val="GG-body"/>
        <w:ind w:left="142"/>
      </w:pPr>
      <w:r w:rsidRPr="00A20F8A">
        <w:t>DECLARE that an application for approval under section 56R of the</w:t>
      </w:r>
      <w:r w:rsidRPr="0040296B">
        <w:rPr>
          <w:i/>
        </w:rPr>
        <w:t xml:space="preserve"> Mining Act 1971 </w:t>
      </w:r>
      <w:r w:rsidRPr="00A20F8A">
        <w:t xml:space="preserve">to make a change sought under section 56Q(3)(b) of the </w:t>
      </w:r>
      <w:r w:rsidRPr="00B5513E">
        <w:rPr>
          <w:i/>
        </w:rPr>
        <w:t>Mining Act 19</w:t>
      </w:r>
      <w:r>
        <w:rPr>
          <w:i/>
        </w:rPr>
        <w:t>71</w:t>
      </w:r>
      <w:r w:rsidRPr="00A20F8A">
        <w:t xml:space="preserve"> in relation to a mining lease that is authorised to recover, use and sell or dispose of solely extractive minerals or industrial minerals with the application fee as set out in </w:t>
      </w:r>
      <w:r w:rsidRPr="006337D3">
        <w:t>Schedule</w:t>
      </w:r>
      <w:r w:rsidRPr="00A20F8A">
        <w:t xml:space="preserve"> 1 item 9(a) of the Mining (Fees) Notice 2020 is a Level 1 change.</w:t>
      </w:r>
    </w:p>
    <w:p w:rsidR="00683CF6" w:rsidRDefault="00683CF6" w:rsidP="00683CF6">
      <w:pPr>
        <w:pStyle w:val="GG-body"/>
        <w:ind w:left="142"/>
      </w:pPr>
      <w:r w:rsidRPr="00A20F8A">
        <w:t>DECLARE that change of a specified kind for each level for an application for approval under section 56R of the</w:t>
      </w:r>
      <w:r w:rsidRPr="0040296B">
        <w:rPr>
          <w:i/>
        </w:rPr>
        <w:t xml:space="preserve"> Mining Act 1971 </w:t>
      </w:r>
      <w:r w:rsidRPr="00A20F8A">
        <w:t xml:space="preserve">to make a change sought under section 56Q(3)(a) or 56Q(3)(c) of the </w:t>
      </w:r>
      <w:r w:rsidRPr="00B5513E">
        <w:rPr>
          <w:i/>
        </w:rPr>
        <w:t>Mining Act 19</w:t>
      </w:r>
      <w:r>
        <w:rPr>
          <w:i/>
        </w:rPr>
        <w:t>71</w:t>
      </w:r>
      <w:r w:rsidRPr="00A20F8A">
        <w:t xml:space="preserve"> in relation to a mining lease that is authorised to recover, use and sell or dispose of solely extractive minerals or industrial minerals with the application fee as set out in </w:t>
      </w:r>
      <w:r w:rsidRPr="006337D3">
        <w:t>Schedule</w:t>
      </w:r>
      <w:r>
        <w:t xml:space="preserve"> 1 item </w:t>
      </w:r>
      <w:r w:rsidRPr="00A20F8A">
        <w:t>9(a) of the Mining (Fees) Notice 2020 is as follows:</w:t>
      </w:r>
    </w:p>
    <w:p w:rsidR="00683CF6" w:rsidRPr="00DB3DBF" w:rsidRDefault="00683CF6" w:rsidP="00683CF6">
      <w:pPr>
        <w:pStyle w:val="GG-body"/>
        <w:ind w:left="284"/>
        <w:rPr>
          <w:spacing w:val="-4"/>
        </w:rPr>
      </w:pPr>
      <w:r w:rsidRPr="00380D7B">
        <w:rPr>
          <w:b/>
          <w:spacing w:val="-4"/>
        </w:rPr>
        <w:t>Level 2</w:t>
      </w:r>
      <w:r w:rsidRPr="00DB3DBF">
        <w:rPr>
          <w:spacing w:val="-4"/>
        </w:rPr>
        <w:t>—a change in respect of operations with production of extractive minerals or industrial minerals less than 100,000 tonnes per annum.</w:t>
      </w:r>
    </w:p>
    <w:p w:rsidR="00683CF6" w:rsidRPr="00DB3DBF" w:rsidRDefault="00683CF6" w:rsidP="00683CF6">
      <w:pPr>
        <w:pStyle w:val="GG-body"/>
        <w:ind w:left="284"/>
        <w:rPr>
          <w:spacing w:val="-4"/>
        </w:rPr>
      </w:pPr>
      <w:r w:rsidRPr="00380D7B">
        <w:rPr>
          <w:b/>
          <w:spacing w:val="-4"/>
        </w:rPr>
        <w:t>Level 3</w:t>
      </w:r>
      <w:r w:rsidRPr="00DB3DBF">
        <w:rPr>
          <w:spacing w:val="-4"/>
        </w:rPr>
        <w:t>—a change in respect of operations with production of extractive minerals or industrial minerals great than 100,000 tonnes per annum.</w:t>
      </w:r>
    </w:p>
    <w:p w:rsidR="00683CF6" w:rsidRDefault="00683CF6" w:rsidP="00683CF6">
      <w:pPr>
        <w:pStyle w:val="GG-body"/>
        <w:ind w:left="142"/>
      </w:pPr>
      <w:r w:rsidRPr="00A20F8A">
        <w:t>DECLARE that change of a specified kind for each level for an application for approval under section 56R of the</w:t>
      </w:r>
      <w:r w:rsidRPr="0040296B">
        <w:rPr>
          <w:i/>
        </w:rPr>
        <w:t xml:space="preserve"> Mining Act 1971 </w:t>
      </w:r>
      <w:r w:rsidRPr="00A20F8A">
        <w:t xml:space="preserve">to make a change sought under section 56Q(3)(b) of the </w:t>
      </w:r>
      <w:r w:rsidRPr="00B5513E">
        <w:rPr>
          <w:i/>
        </w:rPr>
        <w:t>Mining Act 19</w:t>
      </w:r>
      <w:r>
        <w:rPr>
          <w:i/>
        </w:rPr>
        <w:t>71</w:t>
      </w:r>
      <w:r w:rsidRPr="00A20F8A">
        <w:t xml:space="preserve"> in relation to a mining lease that is authorised to recover, use and sell or dispose of minerals with the application fee as set out in </w:t>
      </w:r>
      <w:r w:rsidRPr="006337D3">
        <w:t>Schedule</w:t>
      </w:r>
      <w:r w:rsidRPr="00A20F8A">
        <w:t xml:space="preserve"> 1 item 9(b) of the Mining (Fees) Notice 2020 is as follows:</w:t>
      </w:r>
    </w:p>
    <w:p w:rsidR="00683CF6" w:rsidRPr="00BB7AF7" w:rsidRDefault="00683CF6" w:rsidP="00683CF6">
      <w:pPr>
        <w:pStyle w:val="GG-body"/>
        <w:ind w:left="284"/>
        <w:rPr>
          <w:spacing w:val="-2"/>
        </w:rPr>
      </w:pPr>
      <w:r w:rsidRPr="00380D7B">
        <w:rPr>
          <w:b/>
          <w:spacing w:val="-2"/>
        </w:rPr>
        <w:t>Level 1</w:t>
      </w:r>
      <w:r w:rsidRPr="00BB7AF7">
        <w:rPr>
          <w:spacing w:val="-2"/>
        </w:rPr>
        <w:t>—a change in relation to a mining lease that has an approved PEPR rehabilitation liability estimate or bond of less than $1 million.</w:t>
      </w:r>
    </w:p>
    <w:p w:rsidR="00683CF6" w:rsidRDefault="00683CF6" w:rsidP="00683CF6">
      <w:pPr>
        <w:pStyle w:val="GG-body"/>
        <w:ind w:left="284"/>
      </w:pPr>
      <w:r w:rsidRPr="00380D7B">
        <w:rPr>
          <w:b/>
        </w:rPr>
        <w:t>Level 2</w:t>
      </w:r>
      <w:r>
        <w:t>—</w:t>
      </w:r>
      <w:r w:rsidRPr="00A20F8A">
        <w:t>a change in relation to a mining lease that an approved PEPR rehabilitation liability e</w:t>
      </w:r>
      <w:r>
        <w:t>stimate or bond of more than $1 </w:t>
      </w:r>
      <w:r w:rsidRPr="00A20F8A">
        <w:t>million but less than $10 million.</w:t>
      </w:r>
    </w:p>
    <w:p w:rsidR="00683CF6" w:rsidRPr="00BB7AF7" w:rsidRDefault="00683CF6" w:rsidP="00683CF6">
      <w:pPr>
        <w:pStyle w:val="GG-body"/>
        <w:ind w:left="284"/>
        <w:rPr>
          <w:spacing w:val="-2"/>
        </w:rPr>
      </w:pPr>
      <w:r w:rsidRPr="00380D7B">
        <w:rPr>
          <w:b/>
          <w:spacing w:val="-2"/>
        </w:rPr>
        <w:t>Level 3</w:t>
      </w:r>
      <w:r w:rsidRPr="00BB7AF7">
        <w:rPr>
          <w:spacing w:val="-2"/>
        </w:rPr>
        <w:t>—a change in relation to a mining lease that an approved PEPR rehabilitation liability estimate or bond of more than $10 million.</w:t>
      </w:r>
    </w:p>
    <w:p w:rsidR="00683CF6" w:rsidRDefault="00683CF6" w:rsidP="00683CF6">
      <w:pPr>
        <w:pStyle w:val="GG-body"/>
        <w:ind w:left="142"/>
      </w:pPr>
      <w:r w:rsidRPr="00A20F8A">
        <w:t>DECLARE that change of a specified kind for each level for an application for approval under section 56R of the</w:t>
      </w:r>
      <w:r w:rsidRPr="0040296B">
        <w:rPr>
          <w:i/>
        </w:rPr>
        <w:t xml:space="preserve"> Mining Act 1971 </w:t>
      </w:r>
      <w:r w:rsidRPr="00A20F8A">
        <w:t xml:space="preserve">to make a change sought under section 56Q(3)(a) or 56Q(3)(c) of the </w:t>
      </w:r>
      <w:r w:rsidRPr="00B5513E">
        <w:rPr>
          <w:i/>
        </w:rPr>
        <w:t>Mining Act 19</w:t>
      </w:r>
      <w:r>
        <w:rPr>
          <w:i/>
        </w:rPr>
        <w:t>71</w:t>
      </w:r>
      <w:r w:rsidRPr="00A20F8A">
        <w:t xml:space="preserve"> in relation to a mining lease that is authorised to recover, use and sell or dispose of minerals with the</w:t>
      </w:r>
      <w:r>
        <w:t xml:space="preserve"> application fee as set out in S</w:t>
      </w:r>
      <w:r w:rsidRPr="00A20F8A">
        <w:t>chedule 1 item 9(b) of the Mining (Fees) Notice 2020 is as follows:</w:t>
      </w:r>
    </w:p>
    <w:p w:rsidR="00683CF6" w:rsidRPr="00BB7AF7" w:rsidRDefault="00683CF6" w:rsidP="00683CF6">
      <w:pPr>
        <w:pStyle w:val="GG-body"/>
        <w:ind w:left="284"/>
        <w:rPr>
          <w:spacing w:val="-2"/>
        </w:rPr>
      </w:pPr>
      <w:r w:rsidRPr="00380D7B">
        <w:rPr>
          <w:b/>
          <w:spacing w:val="-2"/>
        </w:rPr>
        <w:t>Level 2</w:t>
      </w:r>
      <w:r w:rsidRPr="00BB7AF7">
        <w:rPr>
          <w:spacing w:val="-2"/>
        </w:rPr>
        <w:t>—a change in relation to a mining lease that has an approved PEPR rehabilitation liability estimate or bond of less than $1 million.</w:t>
      </w:r>
    </w:p>
    <w:p w:rsidR="00683CF6" w:rsidRDefault="00683CF6" w:rsidP="00683CF6">
      <w:pPr>
        <w:pStyle w:val="GG-body"/>
        <w:ind w:left="284"/>
      </w:pPr>
      <w:r w:rsidRPr="00380D7B">
        <w:rPr>
          <w:b/>
        </w:rPr>
        <w:t>Level 3</w:t>
      </w:r>
      <w:r>
        <w:t>—</w:t>
      </w:r>
      <w:r w:rsidRPr="00A20F8A">
        <w:t>a change in relation to a mining lease that an approved PEPR rehabilitation liability e</w:t>
      </w:r>
      <w:r>
        <w:t>stimate or bond of more than $1 </w:t>
      </w:r>
      <w:r w:rsidRPr="00A20F8A">
        <w:t>million but less than $10 million.</w:t>
      </w:r>
    </w:p>
    <w:p w:rsidR="00683CF6" w:rsidRPr="00BB7AF7" w:rsidRDefault="00683CF6" w:rsidP="00683CF6">
      <w:pPr>
        <w:pStyle w:val="GG-body"/>
        <w:ind w:left="284"/>
        <w:rPr>
          <w:spacing w:val="-2"/>
        </w:rPr>
      </w:pPr>
      <w:r w:rsidRPr="00380D7B">
        <w:rPr>
          <w:b/>
          <w:spacing w:val="-2"/>
        </w:rPr>
        <w:t>Level 4</w:t>
      </w:r>
      <w:r w:rsidRPr="00BB7AF7">
        <w:rPr>
          <w:spacing w:val="-2"/>
        </w:rPr>
        <w:t>—a change in relation to a mining lease that an approved PEPR rehabilitation liability estimate or bond of more than $10 million.</w:t>
      </w:r>
    </w:p>
    <w:p w:rsidR="00683CF6" w:rsidRDefault="00683CF6" w:rsidP="00683CF6">
      <w:pPr>
        <w:pStyle w:val="GG-body"/>
      </w:pPr>
      <w:r w:rsidRPr="00A20F8A">
        <w:t>For the purpose of this Gazette notice:</w:t>
      </w:r>
    </w:p>
    <w:p w:rsidR="00683CF6" w:rsidRDefault="00683CF6" w:rsidP="00683CF6">
      <w:pPr>
        <w:pStyle w:val="GG-body"/>
        <w:ind w:left="426" w:hanging="283"/>
      </w:pPr>
      <w:r w:rsidRPr="00A20F8A">
        <w:t>1.</w:t>
      </w:r>
      <w:r w:rsidRPr="00A20F8A">
        <w:tab/>
        <w:t>the tonnes per annum for the purpose of annual production of extractive minerals and industrial mineral is determined from royalty returns submitted under section 17CA of the</w:t>
      </w:r>
      <w:r w:rsidRPr="005A60ED">
        <w:rPr>
          <w:i/>
        </w:rPr>
        <w:t xml:space="preserve"> Mining Act 1971</w:t>
      </w:r>
      <w:r w:rsidRPr="00A20F8A">
        <w:t>;</w:t>
      </w:r>
    </w:p>
    <w:p w:rsidR="00683CF6" w:rsidRDefault="00683CF6" w:rsidP="00683CF6">
      <w:pPr>
        <w:pStyle w:val="GG-body"/>
        <w:ind w:left="426" w:hanging="283"/>
      </w:pPr>
      <w:r w:rsidRPr="00A20F8A">
        <w:t>2.</w:t>
      </w:r>
      <w:r w:rsidRPr="00A20F8A">
        <w:tab/>
        <w:t>an approved PEPR rehabilitation liability is an estimated liability for the rehabilitation of the operations as set out in an approved program under Part 10A of the</w:t>
      </w:r>
      <w:r w:rsidRPr="005A60ED">
        <w:rPr>
          <w:i/>
        </w:rPr>
        <w:t xml:space="preserve"> Mining Act 1971</w:t>
      </w:r>
      <w:r w:rsidRPr="00A20F8A">
        <w:t>; and</w:t>
      </w:r>
    </w:p>
    <w:p w:rsidR="00683CF6" w:rsidRDefault="00683CF6" w:rsidP="00683CF6">
      <w:pPr>
        <w:pStyle w:val="GG-body"/>
        <w:ind w:left="426" w:hanging="283"/>
      </w:pPr>
      <w:r w:rsidRPr="00A20F8A">
        <w:t>3.</w:t>
      </w:r>
      <w:r w:rsidRPr="00A20F8A">
        <w:tab/>
        <w:t>a bond is an amount held as security by the Minister in respect to a tenement under section 62 of the</w:t>
      </w:r>
      <w:r w:rsidRPr="00044BAC">
        <w:rPr>
          <w:i/>
        </w:rPr>
        <w:t xml:space="preserve"> Mining Act 1971.</w:t>
      </w:r>
    </w:p>
    <w:p w:rsidR="00683CF6" w:rsidRDefault="00683CF6" w:rsidP="00683CF6">
      <w:pPr>
        <w:pStyle w:val="GG-body"/>
      </w:pPr>
      <w:r w:rsidRPr="00A20F8A">
        <w:t>In accordance with regulation 87(4) of the</w:t>
      </w:r>
      <w:r w:rsidRPr="0039487D">
        <w:rPr>
          <w:i/>
        </w:rPr>
        <w:t xml:space="preserve"> Mining Regulations 2020</w:t>
      </w:r>
      <w:r w:rsidRPr="00A20F8A">
        <w:t>, this notice will have effect from 1 January 2021.</w:t>
      </w:r>
    </w:p>
    <w:p w:rsidR="00683CF6" w:rsidRDefault="00683CF6" w:rsidP="00683CF6">
      <w:pPr>
        <w:pStyle w:val="GG-SDated"/>
      </w:pPr>
      <w:r w:rsidRPr="00DC19B8">
        <w:t>Dated: 11 December 2020</w:t>
      </w:r>
    </w:p>
    <w:p w:rsidR="00683CF6" w:rsidRDefault="00683CF6" w:rsidP="00683CF6">
      <w:pPr>
        <w:pStyle w:val="GG-SName"/>
      </w:pPr>
      <w:r w:rsidRPr="00A20F8A">
        <w:t>Hon. Daniel van Holst Pellekaan</w:t>
      </w:r>
    </w:p>
    <w:p w:rsidR="00683CF6" w:rsidRDefault="00683CF6" w:rsidP="00683CF6">
      <w:pPr>
        <w:pStyle w:val="GG-Signature"/>
      </w:pPr>
      <w:r w:rsidRPr="00A20F8A">
        <w:t>Minister for Energy and Mining</w:t>
      </w:r>
    </w:p>
    <w:p w:rsidR="00683CF6" w:rsidRDefault="00683CF6" w:rsidP="00683CF6">
      <w:pPr>
        <w:pStyle w:val="GG-body"/>
        <w:pBdr>
          <w:top w:val="single" w:sz="4" w:space="1" w:color="auto"/>
        </w:pBdr>
        <w:spacing w:before="100" w:after="0" w:line="14" w:lineRule="exact"/>
        <w:jc w:val="center"/>
      </w:pPr>
    </w:p>
    <w:p w:rsidR="00683CF6" w:rsidRPr="00A20F8A" w:rsidRDefault="00683CF6" w:rsidP="00683CF6">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rsidR="00683CF6" w:rsidRDefault="00683CF6" w:rsidP="00683CF6">
      <w:pPr>
        <w:pStyle w:val="GG-Title1"/>
      </w:pPr>
      <w:r w:rsidRPr="00A20F8A">
        <w:t>Mining Regulations 2020</w:t>
      </w:r>
    </w:p>
    <w:p w:rsidR="00683CF6" w:rsidRDefault="00683CF6" w:rsidP="00683CF6">
      <w:pPr>
        <w:pStyle w:val="GG-Title3"/>
      </w:pPr>
      <w:r w:rsidRPr="00A20F8A">
        <w:t xml:space="preserve">Notice </w:t>
      </w:r>
      <w:r>
        <w:t>u</w:t>
      </w:r>
      <w:r w:rsidRPr="00A20F8A">
        <w:t xml:space="preserve">nder Regulation 87(2) </w:t>
      </w:r>
      <w:r>
        <w:t>o</w:t>
      </w:r>
      <w:r w:rsidRPr="00A20F8A">
        <w:t xml:space="preserve">f </w:t>
      </w:r>
      <w:r>
        <w:t>t</w:t>
      </w:r>
      <w:r w:rsidRPr="00A20F8A">
        <w:t>he Mining Regulations 2020</w:t>
      </w:r>
    </w:p>
    <w:p w:rsidR="00683CF6" w:rsidRDefault="00683CF6" w:rsidP="00683CF6">
      <w:pPr>
        <w:pStyle w:val="GG-body"/>
      </w:pPr>
      <w:r w:rsidRPr="00A20F8A">
        <w:t>NOTICE is hereby given in accordance with regulation 87(2) of the</w:t>
      </w:r>
      <w:r w:rsidRPr="0039487D">
        <w:rPr>
          <w:i/>
        </w:rPr>
        <w:t xml:space="preserve"> Mining Regulations 2020</w:t>
      </w:r>
      <w:r w:rsidRPr="00A20F8A">
        <w:t xml:space="preserve">, to revoke the previous notice published under regulation 109(3) of the </w:t>
      </w:r>
      <w:r w:rsidRPr="00390BF3">
        <w:rPr>
          <w:i/>
        </w:rPr>
        <w:t>Mining Regulation</w:t>
      </w:r>
      <w:r>
        <w:rPr>
          <w:i/>
        </w:rPr>
        <w:t>s</w:t>
      </w:r>
      <w:r w:rsidRPr="00390BF3">
        <w:rPr>
          <w:i/>
        </w:rPr>
        <w:t xml:space="preserve"> 2011</w:t>
      </w:r>
      <w:r w:rsidRPr="00A20F8A">
        <w:t xml:space="preserve"> on 19 December 2019 at page 4343.</w:t>
      </w:r>
    </w:p>
    <w:p w:rsidR="00683CF6" w:rsidRDefault="00683CF6" w:rsidP="00683CF6">
      <w:pPr>
        <w:pStyle w:val="GG-body"/>
      </w:pPr>
      <w:r w:rsidRPr="00A20F8A">
        <w:t>NOTICE is hereby given in accordance with regulation 87(2) of the</w:t>
      </w:r>
      <w:r w:rsidRPr="0039487D">
        <w:rPr>
          <w:i/>
        </w:rPr>
        <w:t xml:space="preserve"> Mining Regulations 2020</w:t>
      </w:r>
      <w:r w:rsidRPr="00A20F8A">
        <w:t xml:space="preserve"> to declare that an area of the State is an exploration regulation fee zone.</w:t>
      </w:r>
    </w:p>
    <w:p w:rsidR="00683CF6" w:rsidRPr="00295047" w:rsidRDefault="00683CF6" w:rsidP="00683CF6">
      <w:pPr>
        <w:pStyle w:val="GG-body"/>
        <w:rPr>
          <w:spacing w:val="-2"/>
        </w:rPr>
      </w:pPr>
      <w:r w:rsidRPr="00295047">
        <w:rPr>
          <w:spacing w:val="-2"/>
        </w:rPr>
        <w:t xml:space="preserve">TAKE notice that I, Daniel van Holst Pellekaan, Minister for Energy and Mining, pursuant to regulation 87(2) of the </w:t>
      </w:r>
      <w:r w:rsidRPr="00295047">
        <w:rPr>
          <w:i/>
          <w:spacing w:val="-2"/>
        </w:rPr>
        <w:t>Mining Regulations 2020</w:t>
      </w:r>
      <w:r w:rsidRPr="00295047">
        <w:rPr>
          <w:spacing w:val="-2"/>
        </w:rPr>
        <w:t xml:space="preserve"> do hereby:</w:t>
      </w:r>
    </w:p>
    <w:p w:rsidR="00683CF6" w:rsidRDefault="00683CF6" w:rsidP="00683CF6">
      <w:pPr>
        <w:pStyle w:val="GG-body"/>
        <w:ind w:left="142"/>
      </w:pPr>
      <w:r w:rsidRPr="00A20F8A">
        <w:t xml:space="preserve">DECLARE in accordance with regulation 87(2) of the </w:t>
      </w:r>
      <w:r w:rsidRPr="000A2F65">
        <w:rPr>
          <w:i/>
        </w:rPr>
        <w:t>Mining Regulations 2020</w:t>
      </w:r>
      <w:r w:rsidRPr="00A20F8A">
        <w:t xml:space="preserve"> that </w:t>
      </w:r>
      <w:r w:rsidRPr="006F30EA">
        <w:rPr>
          <w:b/>
          <w:i/>
        </w:rPr>
        <w:t>zone 1 exploration regulation fee zone</w:t>
      </w:r>
      <w:r w:rsidRPr="00A20F8A">
        <w:t xml:space="preserve"> comprises all that part of the State of South Australia and adjacent coastal waters on the landward side of the baseline of the territorial sea, but excluding the areas of </w:t>
      </w:r>
      <w:r w:rsidRPr="006F30EA">
        <w:rPr>
          <w:b/>
          <w:i/>
        </w:rPr>
        <w:t>zone 2 exploration regulation fee zone</w:t>
      </w:r>
      <w:r w:rsidRPr="00A20F8A">
        <w:t xml:space="preserve"> and </w:t>
      </w:r>
      <w:r w:rsidRPr="006F30EA">
        <w:rPr>
          <w:b/>
          <w:i/>
        </w:rPr>
        <w:t>zone 3 exploration regulation fee zone</w:t>
      </w:r>
      <w:r w:rsidRPr="00A20F8A">
        <w:t>.</w:t>
      </w:r>
    </w:p>
    <w:p w:rsidR="00683CF6" w:rsidRDefault="00683CF6" w:rsidP="00683CF6">
      <w:pPr>
        <w:pStyle w:val="GG-body"/>
        <w:ind w:left="142"/>
      </w:pPr>
      <w:r w:rsidRPr="00A20F8A">
        <w:t xml:space="preserve">DECLARE in accordance with regulation 87(2) of the </w:t>
      </w:r>
      <w:r w:rsidRPr="000A2F65">
        <w:rPr>
          <w:i/>
        </w:rPr>
        <w:t>Mining Regulation</w:t>
      </w:r>
      <w:r>
        <w:rPr>
          <w:i/>
        </w:rPr>
        <w:t>s</w:t>
      </w:r>
      <w:r w:rsidRPr="000A2F65">
        <w:rPr>
          <w:i/>
        </w:rPr>
        <w:t xml:space="preserve"> 2020</w:t>
      </w:r>
      <w:r w:rsidRPr="00A20F8A">
        <w:t xml:space="preserve"> that zone 2 exploration regulation fee zone comprises the area of the Gawler Craton Airborne Survey Region but excluding—</w:t>
      </w:r>
    </w:p>
    <w:p w:rsidR="00683CF6" w:rsidRDefault="00683CF6" w:rsidP="00683CF6">
      <w:pPr>
        <w:pStyle w:val="GG-body"/>
        <w:ind w:left="142"/>
      </w:pPr>
      <w:r w:rsidRPr="00A20F8A">
        <w:t>(a)</w:t>
      </w:r>
      <w:r>
        <w:tab/>
      </w:r>
      <w:r w:rsidRPr="00A20F8A">
        <w:t>any coastal waters on the seaward side of the baseline of the territorial sea; and</w:t>
      </w:r>
    </w:p>
    <w:p w:rsidR="00683CF6" w:rsidRDefault="00683CF6" w:rsidP="00683CF6">
      <w:pPr>
        <w:pStyle w:val="GG-body"/>
        <w:ind w:left="142"/>
      </w:pPr>
      <w:r w:rsidRPr="00A20F8A">
        <w:t>(b)</w:t>
      </w:r>
      <w:r>
        <w:tab/>
      </w:r>
      <w:r w:rsidRPr="00A20F8A">
        <w:t>the area of zone 3 exploration regulation fee zone.</w:t>
      </w:r>
    </w:p>
    <w:p w:rsidR="00683CF6" w:rsidRDefault="00683CF6" w:rsidP="00683CF6">
      <w:pPr>
        <w:pStyle w:val="GG-body"/>
        <w:ind w:left="142"/>
      </w:pPr>
      <w:r w:rsidRPr="00A20F8A">
        <w:t xml:space="preserve">DECLARE in accordance with regulation 87(2) of the </w:t>
      </w:r>
      <w:r w:rsidRPr="000A2F65">
        <w:rPr>
          <w:i/>
        </w:rPr>
        <w:t>Mining Regulations 2020</w:t>
      </w:r>
      <w:r w:rsidRPr="00A20F8A">
        <w:t xml:space="preserve"> that </w:t>
      </w:r>
      <w:r w:rsidRPr="000A2F65">
        <w:rPr>
          <w:b/>
          <w:i/>
        </w:rPr>
        <w:t>zone 3 exploration regulation fee zone</w:t>
      </w:r>
      <w:r w:rsidRPr="00A20F8A">
        <w:t xml:space="preserve"> comprises all that part of the State of South Australia both—</w:t>
      </w:r>
    </w:p>
    <w:p w:rsidR="00683CF6" w:rsidRDefault="00683CF6" w:rsidP="00683CF6">
      <w:pPr>
        <w:pStyle w:val="GG-body"/>
        <w:ind w:left="142"/>
      </w:pPr>
      <w:r w:rsidRPr="00A20F8A">
        <w:t>(a)</w:t>
      </w:r>
      <w:r>
        <w:tab/>
      </w:r>
      <w:r w:rsidRPr="00A20F8A">
        <w:t>within the area of the Gawler Craton Airborne Survey Region defined above; and</w:t>
      </w:r>
    </w:p>
    <w:p w:rsidR="00683CF6" w:rsidRDefault="00683CF6" w:rsidP="00683CF6">
      <w:r>
        <w:br w:type="page"/>
      </w:r>
    </w:p>
    <w:p w:rsidR="00683CF6" w:rsidRDefault="00683CF6" w:rsidP="00683CF6">
      <w:pPr>
        <w:pStyle w:val="GG-body"/>
        <w:ind w:left="142"/>
      </w:pPr>
      <w:r w:rsidRPr="00A20F8A">
        <w:t>(b)</w:t>
      </w:r>
      <w:r>
        <w:tab/>
      </w:r>
      <w:r w:rsidRPr="00A20F8A">
        <w:t>within 200 kilometres of latitude 30°26′25.18″ South, longitude 136°53′21.73″ East (Olympic Dam).</w:t>
      </w:r>
    </w:p>
    <w:p w:rsidR="00683CF6" w:rsidRDefault="00683CF6" w:rsidP="00683CF6">
      <w:pPr>
        <w:pStyle w:val="GG-body"/>
        <w:ind w:left="142"/>
      </w:pPr>
      <w:r w:rsidRPr="00A20F8A">
        <w:t>For the purpose of this Gazette notice, the Gawler Craton Airborne Survey Region comprises all that part of the State of South Australia and adjacent coastal waters contained within and bounded by a line commencing at latitude 27°20′59.95″ South, longitude 135°51′00.03″ East, then to latitude 27°20′59.95″ South, longitude 136°30′00.03″ East, then to latitude 27°59′59.95″ South, longitude 136°30′00.03″ East, then to latitude 27°59′59.95″ South, longitude 137°00′00.03″ East, then to latitude 28°59′59.95″ South, longitude 137°00′00.03″ East, then to latitude 29°59′49.16″ South, longitude 137°59′49.23″ East, then to latitude 29°59′49.16″ South, longitude 138°00′00.03″ East, then to latitude 29°59′59.98″ South, longitude 138°00′00.04″ East, then to latitude 30°59′59.98″ South, longitude 138°00′00.03″ East, then to latitude 31°59′59.95″ South, longitude 138°00′00.03″ East, then to latitude 32°00′00.14″ South, longitude 137°54′12.19″ East, then to latitude 32°17′13.07″ South, longitude 137°54′03.45″ East, then to latitude 32°20′04.55″ South, longitude 137°52′11.38″ East, then to latitude 32°25′47.65″ South, longitude 137°52′18.69″ East, then to latitude 32°25′47.95″ South, longitude 137°36′00.03″ East, then to latitude 32°36′35.95″ South, longitude 137°36′00.03″ East, then to latitude 32°36′35.95″ South, longitude 137°11′57.94″ East, then to latitude 32°39′53.95″ South, longitude 137°12′00.03″ East, then to latitude 32°39′53.95″ South, longitude 136°29′59.96″ East, then to latitude 32°39′53.95″ South, longitude 135°00′00.03″ East, then to latitude 32°39′53.95″ South, longitude 134°15′00.03″ East, then to latitude 32°31′29.95″ South, longitude 134°15′00.03″ East, then to latitude 32°31′29.95″ South, longitude 133°51′00.04″ East, then to latitude 32°14′59.95″ South, longitude 133°51′00.03″ East, then to latitude 32°14′59.95″ South, longitude 133°45′00.03″ East, then to latitude 32°11′59.95″ South, longitude 133°45′00.03″ East, then to latitude 32°11′59.95″ South, longitude 133°40′30.03″ East, then to latitude 32°08′59.95″ South, longitude 133°40′30.03″ East, then to latitude 32°08′59.95″ South, longitude 133°30′00.45″ East, then to latitude 32°12′35.95″ South, longitude 133°30′00.03″ East, then to latitude 32°12′35.95″ South, longitude 133°16′12.03″ East, then to latitude 32°12′35.96″ South, longitude 133°07′12.03″ East, then to latitude 32°10′11.96″ South, longitude 133°07′12.04″ East, then to latitude 32°05′59.96″ South, longitude 133°01′12.03″ East, then to latitude 32°05′59.96″ South, longitude 132°58′12.03″ East, then to latitude 32°04′47.95″ South, longitude 132°58′12.03″ East, then to latitude 31°58′29.95″ South, longitude 132°48′00.03″ East, then to latitude 31°57′35.95″ South, longitude 132°45′00.03″ East, then to latitude 31°57′35.95″ South, longitude 132°40′12.03″ East, then to latitude 31°56′59.95″ South, longitude 132°37′12.03″ East, then to latitude 31°56′59.95″ South, longitude 132°33′00.03″ East, then to latitude 31°56′59.95″ South, longitude 132°29′24.03″ East, then to latitude 31°58′11.95″ South, longitude 132°28′48.03″ East, then to latitude 32°01′47.95″ South, longitude 132°28′48.03″ East, then to latitude 32°01′47.95″ South, longitude 132°12′00.03″ East, then to latitude 32°01′11.95″ South, longitude 132°09′36.03″ East, then to latitude 31°56′59.95″ South, longitude 132°06′00.03″ East, then to latitude 31°52′29.95″ South, longitude 131°58′30.03″ East, then to latitude 31°40′29.95″ South, longitude 131°39′00.03″ East, then to latitude 31°34′29.95″ South, longitude 131°25′30.03″ East, then to latitude 31°29′59.95″ South, longitude 131°13′48.03″ East, then to latitude 31°29′59.95″ South, longitude 131°00′00.03″ East, then to latitude 31°14′59.95″ South, longitude 131°00′00.03″ East, then to latitude 30°29′59.95″ South, longitude 131°00′00.03″ East, then to latitude 29°38′59.95″ South, longitude 131°00′00.03″ East, then to latitude 29°38′59.95″ South, longitude 131°30′00.03″ East, then to latitude 29°29′59.95″ South, longitude 131°30′00.03″ East, then to latitude 29°23′32.23″ South, longitude 131°30′00.03″ East, then to latitude 28°01′22.64″ South, longitude 133°28′01.25″ East, then to latitude 27°59′59.94″ South, longitude 133°28′01.25″ East, then to latitude 27°59′59.94″ South, longitude 133°30′00.05″ East, then to latitude 27°46′29.94″ South, longitude 133°52′30.07″ East, then to latitude 27°46′29.95″ South, longitude 135°00′00.03″ East, then to latitude 27°46′29.95″ South, longitude 135°22′30.03″ East, then to the point of commencement.</w:t>
      </w:r>
    </w:p>
    <w:p w:rsidR="00683CF6" w:rsidRDefault="00683CF6" w:rsidP="00683CF6">
      <w:pPr>
        <w:pStyle w:val="GG-body"/>
        <w:ind w:left="142"/>
      </w:pPr>
      <w:r w:rsidRPr="00A20F8A">
        <w:t>Unless otherwise specified all lines are geodesics based on the Geocentric Datum of Australia 2020 (GDA2020), which is defined as having the same meaning as The National Measurement (Recognized</w:t>
      </w:r>
      <w:r>
        <w:t>-</w:t>
      </w:r>
      <w:r w:rsidRPr="00A20F8A">
        <w:t xml:space="preserve">Value Standard of Measurement of Position) Determination made under the </w:t>
      </w:r>
      <w:r w:rsidRPr="002A50DD">
        <w:rPr>
          <w:i/>
        </w:rPr>
        <w:t>National Measurement Act 1960 (Cth)</w:t>
      </w:r>
      <w:r w:rsidRPr="00A20F8A">
        <w:t xml:space="preserve"> and all coordinates are expressed in terms of GDA2020.</w:t>
      </w:r>
    </w:p>
    <w:p w:rsidR="00683CF6" w:rsidRDefault="00683CF6" w:rsidP="00683CF6">
      <w:pPr>
        <w:pStyle w:val="GG-SDated"/>
      </w:pPr>
      <w:r w:rsidRPr="00DC19B8">
        <w:t>Dated: 11 December 2020</w:t>
      </w:r>
    </w:p>
    <w:p w:rsidR="00683CF6" w:rsidRDefault="00683CF6" w:rsidP="00683CF6">
      <w:pPr>
        <w:pStyle w:val="GG-SName"/>
      </w:pPr>
      <w:r w:rsidRPr="00A20F8A">
        <w:t>Hon. Daniel van Holst Pellekaan</w:t>
      </w:r>
    </w:p>
    <w:p w:rsidR="00683CF6" w:rsidRDefault="00683CF6" w:rsidP="00683CF6">
      <w:pPr>
        <w:pStyle w:val="GG-Signature"/>
      </w:pPr>
      <w:r w:rsidRPr="00A20F8A">
        <w:t>Minister for Energy and Mining</w:t>
      </w:r>
    </w:p>
    <w:p w:rsidR="00683CF6" w:rsidRDefault="00683CF6" w:rsidP="00683CF6">
      <w:pPr>
        <w:pStyle w:val="GG-body"/>
        <w:pBdr>
          <w:top w:val="single" w:sz="4" w:space="1" w:color="auto"/>
        </w:pBdr>
        <w:spacing w:before="100" w:after="0" w:line="14" w:lineRule="exact"/>
        <w:jc w:val="center"/>
      </w:pPr>
    </w:p>
    <w:p w:rsidR="00683CF6" w:rsidRDefault="00683CF6" w:rsidP="00683CF6">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rsidR="00683CF6" w:rsidRPr="00761358" w:rsidRDefault="00683CF6" w:rsidP="00683CF6">
      <w:pPr>
        <w:pStyle w:val="GG-Title1"/>
      </w:pPr>
      <w:r w:rsidRPr="00F05867">
        <w:t>Mining Regulations 2020</w:t>
      </w:r>
    </w:p>
    <w:p w:rsidR="00683CF6" w:rsidRPr="00761358" w:rsidRDefault="00683CF6" w:rsidP="00683CF6">
      <w:pPr>
        <w:pStyle w:val="GG-Title3"/>
      </w:pPr>
      <w:r w:rsidRPr="00F05867">
        <w:t xml:space="preserve">Notice </w:t>
      </w:r>
      <w:r>
        <w:t>u</w:t>
      </w:r>
      <w:r w:rsidRPr="00F05867">
        <w:t xml:space="preserve">nder Regulation 62 </w:t>
      </w:r>
      <w:r>
        <w:t>o</w:t>
      </w:r>
      <w:r w:rsidRPr="00F05867">
        <w:t xml:space="preserve">f </w:t>
      </w:r>
      <w:r>
        <w:t>t</w:t>
      </w:r>
      <w:r w:rsidRPr="00F05867">
        <w:t>he Mining Regulations 2020 </w:t>
      </w:r>
    </w:p>
    <w:p w:rsidR="00683CF6" w:rsidRDefault="00683CF6" w:rsidP="00683CF6">
      <w:pPr>
        <w:pStyle w:val="GG-body"/>
      </w:pPr>
      <w:r w:rsidRPr="00F05867">
        <w:t>NOTICE is hereby given pursuant to the provision of regulation 62(3)(a) of the</w:t>
      </w:r>
      <w:r w:rsidRPr="00563A64">
        <w:rPr>
          <w:i/>
        </w:rPr>
        <w:t xml:space="preserve"> Mining Regulations 2020</w:t>
      </w:r>
      <w:r w:rsidRPr="00F05867">
        <w:t>, to specify the manner and form of a notice of intent to have a mineral tenement transferred following the recommendation of forfeiture by the Warden</w:t>
      </w:r>
      <w:r w:rsidRPr="00D717D1">
        <w:rPr>
          <w:i/>
        </w:rPr>
        <w:t>’</w:t>
      </w:r>
      <w:r w:rsidRPr="00F05867">
        <w:t>s Court.</w:t>
      </w:r>
    </w:p>
    <w:p w:rsidR="00683CF6" w:rsidRDefault="00683CF6" w:rsidP="00683CF6">
      <w:pPr>
        <w:pStyle w:val="GG-body"/>
      </w:pPr>
      <w:r w:rsidRPr="00F05867">
        <w:t xml:space="preserve">In accordance </w:t>
      </w:r>
      <w:r>
        <w:t>with</w:t>
      </w:r>
      <w:r w:rsidRPr="00F05867">
        <w:t> regulation 62(3)(a) of the</w:t>
      </w:r>
      <w:r w:rsidRPr="00563A64">
        <w:rPr>
          <w:i/>
        </w:rPr>
        <w:t xml:space="preserve"> Mining Regulations 2020</w:t>
      </w:r>
      <w:r w:rsidRPr="00F05867">
        <w:t> this notice will ha</w:t>
      </w:r>
      <w:r>
        <w:t>ve effect from 1 January 2021.</w:t>
      </w:r>
    </w:p>
    <w:p w:rsidR="00683CF6" w:rsidRPr="00761358" w:rsidRDefault="00683CF6" w:rsidP="00683CF6">
      <w:pPr>
        <w:pStyle w:val="GG-body"/>
      </w:pPr>
      <w:r w:rsidRPr="00060D92">
        <w:rPr>
          <w:spacing w:val="-4"/>
        </w:rPr>
        <w:t>TAKE notice that I, Daniel van Holst Pellekaan, Minister for Energy and Mining, pursuant to regulation 62(3)(a) of the</w:t>
      </w:r>
      <w:r w:rsidRPr="00060D92">
        <w:rPr>
          <w:i/>
          <w:spacing w:val="-4"/>
        </w:rPr>
        <w:t xml:space="preserve"> Mining Regulations 2020</w:t>
      </w:r>
      <w:r w:rsidRPr="00060D92">
        <w:rPr>
          <w:spacing w:val="-4"/>
        </w:rPr>
        <w:t>, do hereby:</w:t>
      </w:r>
      <w:r w:rsidRPr="00F05867">
        <w:t> </w:t>
      </w:r>
    </w:p>
    <w:p w:rsidR="00683CF6" w:rsidRPr="00761358" w:rsidRDefault="00683CF6" w:rsidP="00683CF6">
      <w:pPr>
        <w:pStyle w:val="GG-body"/>
        <w:ind w:left="142"/>
      </w:pPr>
      <w:r w:rsidRPr="00F05867">
        <w:t>DETERMINE that notice u</w:t>
      </w:r>
      <w:r>
        <w:t xml:space="preserve">nder regulation 62(3)(a) of the </w:t>
      </w:r>
      <w:r w:rsidRPr="00562908">
        <w:rPr>
          <w:i/>
        </w:rPr>
        <w:t>Mining Regulations 2020</w:t>
      </w:r>
      <w:r w:rsidRPr="00F05867">
        <w:t xml:space="preserve"> must be in the following manner and form: </w:t>
      </w:r>
    </w:p>
    <w:p w:rsidR="00683CF6" w:rsidRPr="00761358" w:rsidRDefault="00683CF6" w:rsidP="00683CF6">
      <w:pPr>
        <w:pStyle w:val="GG-body"/>
        <w:ind w:left="567" w:hanging="283"/>
      </w:pPr>
      <w:r w:rsidRPr="00F05867">
        <w:t>a.</w:t>
      </w:r>
      <w:r w:rsidRPr="00F05867">
        <w:tab/>
        <w:t>state the full name(s) (including ACN or ABN), business address(es) and email address(es) of the applicant(s);</w:t>
      </w:r>
    </w:p>
    <w:p w:rsidR="00683CF6" w:rsidRPr="00761358" w:rsidRDefault="00683CF6" w:rsidP="00683CF6">
      <w:pPr>
        <w:pStyle w:val="GG-body"/>
        <w:ind w:left="567" w:hanging="283"/>
      </w:pPr>
      <w:r w:rsidRPr="00F05867">
        <w:t>b.</w:t>
      </w:r>
      <w:r w:rsidRPr="00F05867">
        <w:tab/>
        <w:t>provide a copy of the court order that recommends forfeiture of the mineral tenement(s);</w:t>
      </w:r>
    </w:p>
    <w:p w:rsidR="00683CF6" w:rsidRPr="00761358" w:rsidRDefault="00683CF6" w:rsidP="00683CF6">
      <w:pPr>
        <w:pStyle w:val="GG-body"/>
        <w:ind w:left="567" w:hanging="283"/>
      </w:pPr>
      <w:r w:rsidRPr="00F05867">
        <w:t>c.</w:t>
      </w:r>
      <w:r w:rsidRPr="00F05867">
        <w:tab/>
        <w:t>provide number(s) of the mineral tenement(s); and</w:t>
      </w:r>
    </w:p>
    <w:p w:rsidR="00683CF6" w:rsidRPr="00761358" w:rsidRDefault="00683CF6" w:rsidP="00683CF6">
      <w:pPr>
        <w:pStyle w:val="GG-body"/>
        <w:ind w:left="567" w:hanging="283"/>
      </w:pPr>
      <w:r w:rsidRPr="00F05867">
        <w:t>d.</w:t>
      </w:r>
      <w:r w:rsidRPr="00F05867">
        <w:tab/>
        <w:t>include a statement that the applicant(s) wish to have the mineral tenement(s) transferred to them.</w:t>
      </w:r>
    </w:p>
    <w:p w:rsidR="00683CF6" w:rsidRPr="00761358" w:rsidRDefault="00683CF6" w:rsidP="00683CF6">
      <w:pPr>
        <w:pStyle w:val="GG-SDated"/>
      </w:pPr>
      <w:r>
        <w:t>Dated: 11 December 2020</w:t>
      </w:r>
    </w:p>
    <w:p w:rsidR="00683CF6" w:rsidRPr="00761358" w:rsidRDefault="00683CF6" w:rsidP="00683CF6">
      <w:pPr>
        <w:pStyle w:val="GG-SName"/>
      </w:pPr>
      <w:r w:rsidRPr="00F05867">
        <w:t>Hon. Daniel van Holst Pellekaan</w:t>
      </w:r>
    </w:p>
    <w:p w:rsidR="00683CF6" w:rsidRDefault="00683CF6" w:rsidP="00683CF6">
      <w:pPr>
        <w:pStyle w:val="GG-Signature"/>
      </w:pPr>
      <w:r w:rsidRPr="00F05867">
        <w:t>Minister for Energy and Mining</w:t>
      </w:r>
    </w:p>
    <w:p w:rsidR="00683CF6" w:rsidRDefault="00683CF6" w:rsidP="00683CF6">
      <w:pPr>
        <w:pStyle w:val="GG-body"/>
        <w:pBdr>
          <w:top w:val="single" w:sz="4" w:space="1" w:color="auto"/>
        </w:pBdr>
        <w:spacing w:before="100" w:after="0" w:line="14" w:lineRule="exact"/>
        <w:jc w:val="center"/>
      </w:pPr>
    </w:p>
    <w:p w:rsidR="00683CF6" w:rsidRPr="00F05867" w:rsidRDefault="00683CF6" w:rsidP="00683CF6">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rsidR="00683CF6" w:rsidRPr="00F05867" w:rsidRDefault="00683CF6" w:rsidP="00683CF6">
      <w:pPr>
        <w:pStyle w:val="GG-Title1"/>
      </w:pPr>
      <w:r w:rsidRPr="00F05867">
        <w:t>Mining Regulations 2020</w:t>
      </w:r>
    </w:p>
    <w:p w:rsidR="00683CF6" w:rsidRPr="00F05867" w:rsidRDefault="00683CF6" w:rsidP="00683CF6">
      <w:pPr>
        <w:pStyle w:val="GG-Title3"/>
      </w:pPr>
      <w:r w:rsidRPr="00F05867">
        <w:t xml:space="preserve">Notice </w:t>
      </w:r>
      <w:r>
        <w:t>u</w:t>
      </w:r>
      <w:r w:rsidRPr="00F05867">
        <w:t xml:space="preserve">nder Regulation 87(6) </w:t>
      </w:r>
      <w:r>
        <w:t>o</w:t>
      </w:r>
      <w:r w:rsidRPr="00F05867">
        <w:t xml:space="preserve">f </w:t>
      </w:r>
      <w:r>
        <w:t>t</w:t>
      </w:r>
      <w:r w:rsidRPr="00F05867">
        <w:t>he Mining Regulations 2020</w:t>
      </w:r>
    </w:p>
    <w:p w:rsidR="00683CF6" w:rsidRPr="00761358" w:rsidRDefault="00683CF6" w:rsidP="00683CF6">
      <w:pPr>
        <w:pStyle w:val="GG-body"/>
      </w:pPr>
      <w:r w:rsidRPr="00F05867">
        <w:t>NOTICE is hereby given in accordance with regulation 87(6) of the</w:t>
      </w:r>
      <w:r w:rsidRPr="00761358">
        <w:rPr>
          <w:i/>
        </w:rPr>
        <w:t xml:space="preserve"> Mining Regulations 2020</w:t>
      </w:r>
      <w:r w:rsidRPr="00F05867">
        <w:t xml:space="preserve">, to revoke the previous notice published under regulation 109A(11) of the </w:t>
      </w:r>
      <w:r w:rsidRPr="00B87150">
        <w:rPr>
          <w:i/>
        </w:rPr>
        <w:t>Mining Regulations 2011</w:t>
      </w:r>
      <w:r w:rsidRPr="00F05867">
        <w:t xml:space="preserve"> on 19 December 2019 at page 4344.</w:t>
      </w:r>
    </w:p>
    <w:p w:rsidR="00683CF6" w:rsidRDefault="00683CF6" w:rsidP="00683CF6">
      <w:pPr>
        <w:pStyle w:val="GG-body"/>
      </w:pPr>
      <w:r w:rsidRPr="00F05867">
        <w:t>NOTICE is hereby given in accordance with regulation 87(6) of the</w:t>
      </w:r>
      <w:r w:rsidRPr="00761358">
        <w:rPr>
          <w:i/>
        </w:rPr>
        <w:t xml:space="preserve"> Mining Regulations 2020</w:t>
      </w:r>
      <w:r w:rsidRPr="00F05867">
        <w:t xml:space="preserve"> to publish criteria to be used in determining whether a draft of objectives and criteria, or a revised program, is a tier 1, tier 2, tier 3 or tier 4.</w:t>
      </w:r>
    </w:p>
    <w:p w:rsidR="00683CF6" w:rsidRPr="00761358" w:rsidRDefault="00683CF6" w:rsidP="00683CF6">
      <w:pPr>
        <w:pStyle w:val="GG-body"/>
      </w:pPr>
      <w:r w:rsidRPr="00F05867">
        <w:t>In accordance with regulation 87(6) of the</w:t>
      </w:r>
      <w:r w:rsidRPr="00761358">
        <w:rPr>
          <w:i/>
        </w:rPr>
        <w:t xml:space="preserve"> Mining Regulations 2020</w:t>
      </w:r>
      <w:r w:rsidRPr="00F05867">
        <w:t>, this notice will have effect from 1 January 2021.</w:t>
      </w:r>
    </w:p>
    <w:p w:rsidR="00683CF6" w:rsidRPr="00B87150" w:rsidRDefault="00683CF6" w:rsidP="00683CF6">
      <w:pPr>
        <w:pStyle w:val="GG-body"/>
        <w:rPr>
          <w:spacing w:val="-4"/>
        </w:rPr>
      </w:pPr>
      <w:r w:rsidRPr="00B87150">
        <w:rPr>
          <w:spacing w:val="-4"/>
        </w:rPr>
        <w:t xml:space="preserve">TAKE notice that I, Daniel van Holst Pellekaan, Minister for Energy and Mining, pursuant to regulation 87(4) of the </w:t>
      </w:r>
      <w:r w:rsidRPr="00B87150">
        <w:rPr>
          <w:i/>
          <w:spacing w:val="-4"/>
        </w:rPr>
        <w:t>Mining Regulations 2020</w:t>
      </w:r>
      <w:r>
        <w:rPr>
          <w:spacing w:val="-4"/>
        </w:rPr>
        <w:t xml:space="preserve"> do </w:t>
      </w:r>
      <w:r w:rsidRPr="00B87150">
        <w:rPr>
          <w:spacing w:val="-4"/>
        </w:rPr>
        <w:t>hereby:</w:t>
      </w:r>
    </w:p>
    <w:p w:rsidR="00683CF6" w:rsidRPr="00F05867" w:rsidRDefault="00683CF6" w:rsidP="00683CF6">
      <w:pPr>
        <w:pStyle w:val="GG-body"/>
        <w:ind w:left="142"/>
      </w:pPr>
      <w:r w:rsidRPr="00F05867">
        <w:t>DECLARE that criteria for each tier for the submission to the Director of a draft of objectives or criteria as alt</w:t>
      </w:r>
      <w:r>
        <w:t>ered under section </w:t>
      </w:r>
      <w:r w:rsidRPr="00F05867">
        <w:t>73G(4) of the</w:t>
      </w:r>
      <w:r w:rsidRPr="00761358">
        <w:rPr>
          <w:i/>
        </w:rPr>
        <w:t xml:space="preserve"> Mining Act 1971</w:t>
      </w:r>
      <w:r w:rsidRPr="00F05867">
        <w:t xml:space="preserve"> with the application fee as set out in schedule 2 item 7 of the Mining (Fees) Notice 2020 is as follows:</w:t>
      </w:r>
    </w:p>
    <w:p w:rsidR="00683CF6" w:rsidRPr="00F05867" w:rsidRDefault="00683CF6" w:rsidP="00683CF6">
      <w:pPr>
        <w:pStyle w:val="GG-body"/>
        <w:ind w:left="284"/>
      </w:pPr>
      <w:r w:rsidRPr="00D81640">
        <w:rPr>
          <w:b/>
        </w:rPr>
        <w:t>Tier 1</w:t>
      </w:r>
      <w:r w:rsidRPr="00D717D1">
        <w:rPr>
          <w:i/>
        </w:rPr>
        <w:t>—</w:t>
      </w:r>
      <w:r w:rsidRPr="00F05867">
        <w:t>a draft of objectives and criteria that requires new or modified environmental objectives and/or criteria for operations with production of extractive minerals or industrial minerals less than 100,000 tonnes per annum.</w:t>
      </w:r>
    </w:p>
    <w:p w:rsidR="00683CF6" w:rsidRPr="00761358" w:rsidRDefault="00683CF6" w:rsidP="00683CF6">
      <w:pPr>
        <w:pStyle w:val="GG-body"/>
        <w:ind w:left="284"/>
      </w:pPr>
      <w:r w:rsidRPr="00D81640">
        <w:rPr>
          <w:b/>
        </w:rPr>
        <w:t>Tier 2</w:t>
      </w:r>
      <w:r w:rsidRPr="00D717D1">
        <w:rPr>
          <w:i/>
        </w:rPr>
        <w:t>—</w:t>
      </w:r>
      <w:r w:rsidRPr="00F05867">
        <w:t>a draft of objectives and criteria that requires new or modified environmental objectives and/or criteria for operations for minerals (excluding extractive minerals or industrial minerals).</w:t>
      </w:r>
    </w:p>
    <w:p w:rsidR="00683CF6" w:rsidRPr="00761358" w:rsidRDefault="00683CF6" w:rsidP="00683CF6">
      <w:pPr>
        <w:pStyle w:val="GG-body"/>
        <w:ind w:left="284"/>
      </w:pPr>
      <w:r w:rsidRPr="00D81640">
        <w:rPr>
          <w:b/>
        </w:rPr>
        <w:t>Tier 3</w:t>
      </w:r>
      <w:r w:rsidRPr="00D717D1">
        <w:rPr>
          <w:i/>
        </w:rPr>
        <w:t>—</w:t>
      </w:r>
      <w:r w:rsidRPr="00F05867">
        <w:t>draft of objectives and criteria that requires new or modified environmental objectives and/or criteria for operations with production of extractive minerals or industrial minerals more than 100,000 tonnes per annum.</w:t>
      </w:r>
    </w:p>
    <w:p w:rsidR="00683CF6" w:rsidRPr="00F05867" w:rsidRDefault="00683CF6" w:rsidP="00683CF6">
      <w:pPr>
        <w:pStyle w:val="GG-body"/>
        <w:ind w:left="142"/>
      </w:pPr>
      <w:r w:rsidRPr="00F05867">
        <w:t>DECLARE that criteria for each tier for the submission to the Minister of a revised program under part 10A of the</w:t>
      </w:r>
      <w:r w:rsidRPr="00761358">
        <w:rPr>
          <w:i/>
        </w:rPr>
        <w:t xml:space="preserve"> Mining Act 1971</w:t>
      </w:r>
      <w:r w:rsidRPr="00F05867">
        <w:t xml:space="preserve"> in respect of a mining lease that authorises mining operations for the recovery of extractive minerals or industrial minerals with the application fee as set out in schedule 2 item 9(b) of the Mining (Fees) Notice 2020 is as follows:</w:t>
      </w:r>
    </w:p>
    <w:p w:rsidR="00683CF6" w:rsidRPr="00F05867" w:rsidRDefault="00683CF6" w:rsidP="00683CF6">
      <w:pPr>
        <w:pStyle w:val="GG-body"/>
        <w:ind w:left="284"/>
      </w:pPr>
      <w:r w:rsidRPr="00D81640">
        <w:rPr>
          <w:b/>
        </w:rPr>
        <w:t>Tier 1</w:t>
      </w:r>
      <w:r w:rsidRPr="00D717D1">
        <w:rPr>
          <w:i/>
        </w:rPr>
        <w:t>—</w:t>
      </w:r>
      <w:r w:rsidRPr="00F05867">
        <w:t>a program that requires no new or modified environmental outcomes and/or criteria for operations with production of extractive minerals or industrial minerals less than 100,000 tonnes per annum.</w:t>
      </w:r>
    </w:p>
    <w:p w:rsidR="00683CF6" w:rsidRPr="00761358" w:rsidRDefault="00683CF6" w:rsidP="00683CF6">
      <w:pPr>
        <w:pStyle w:val="GG-body"/>
        <w:ind w:left="284"/>
      </w:pPr>
      <w:r w:rsidRPr="00D81640">
        <w:rPr>
          <w:b/>
        </w:rPr>
        <w:t>Tier 2</w:t>
      </w:r>
      <w:r w:rsidRPr="00D717D1">
        <w:rPr>
          <w:i/>
        </w:rPr>
        <w:t>—</w:t>
      </w:r>
      <w:r w:rsidRPr="00F05867">
        <w:t>a program that requires:</w:t>
      </w:r>
    </w:p>
    <w:p w:rsidR="00683CF6" w:rsidRPr="00F05867" w:rsidRDefault="00683CF6" w:rsidP="00683CF6">
      <w:pPr>
        <w:pStyle w:val="GG-body"/>
        <w:ind w:left="851" w:hanging="425"/>
      </w:pPr>
      <w:r>
        <w:t>(</w:t>
      </w:r>
      <w:r w:rsidRPr="00F05867">
        <w:t>a)</w:t>
      </w:r>
      <w:r w:rsidRPr="00F05867">
        <w:tab/>
        <w:t>new or modified environmental outcomes and/or criteria for operations with production of extractive minerals or industrial minerals less than 100,000 tonnes per annum; or</w:t>
      </w:r>
    </w:p>
    <w:p w:rsidR="00683CF6" w:rsidRPr="00F05867" w:rsidRDefault="00683CF6" w:rsidP="00683CF6">
      <w:pPr>
        <w:pStyle w:val="GG-body"/>
        <w:ind w:left="851" w:hanging="425"/>
      </w:pPr>
      <w:r>
        <w:t>(</w:t>
      </w:r>
      <w:r w:rsidRPr="00F05867">
        <w:t>b)</w:t>
      </w:r>
      <w:r w:rsidRPr="00F05867">
        <w:tab/>
        <w:t>no new or modified environmental outcomes and/or criteria for operations with production of extractive minerals or industrial minerals more than 100,000 tonnes per annum.</w:t>
      </w:r>
    </w:p>
    <w:p w:rsidR="00683CF6" w:rsidRPr="00761358" w:rsidRDefault="00683CF6" w:rsidP="00683CF6">
      <w:pPr>
        <w:pStyle w:val="GG-body"/>
        <w:ind w:left="284"/>
      </w:pPr>
      <w:r w:rsidRPr="00D81640">
        <w:rPr>
          <w:b/>
        </w:rPr>
        <w:t>Tier 3</w:t>
      </w:r>
      <w:r w:rsidRPr="00D717D1">
        <w:rPr>
          <w:i/>
        </w:rPr>
        <w:t>—</w:t>
      </w:r>
      <w:r w:rsidRPr="00F05867">
        <w:t>a program that requires new or modified environmental outcomes and/or criteria for operations with production of extractive minerals or industrial minerals more than 100,000 tonnes per annum.</w:t>
      </w:r>
    </w:p>
    <w:p w:rsidR="00683CF6" w:rsidRPr="00F05867" w:rsidRDefault="00683CF6" w:rsidP="00683CF6">
      <w:pPr>
        <w:pStyle w:val="GG-body"/>
        <w:ind w:left="142"/>
      </w:pPr>
      <w:r w:rsidRPr="00F05867">
        <w:t>DECLARE that criteria for each tier for the submission to the Minister of a revised program under part 10A of the</w:t>
      </w:r>
      <w:r w:rsidRPr="00761358">
        <w:rPr>
          <w:i/>
        </w:rPr>
        <w:t xml:space="preserve"> Mining Act 1971</w:t>
      </w:r>
      <w:r w:rsidRPr="00F05867">
        <w:t xml:space="preserve"> in respect of a mining lease that authorises mining operations for the recovery of minerals (other than extractive minerals or industrial minerals) with the application fee as set out in schedule 2 item 9(d) of the Mining (Fees) Notice 2020 is as follows:</w:t>
      </w:r>
    </w:p>
    <w:p w:rsidR="00683CF6" w:rsidRPr="00761358" w:rsidRDefault="00683CF6" w:rsidP="00683CF6">
      <w:pPr>
        <w:pStyle w:val="GG-body"/>
        <w:ind w:left="284"/>
      </w:pPr>
      <w:r w:rsidRPr="00D81640">
        <w:rPr>
          <w:b/>
        </w:rPr>
        <w:t>Tier 1</w:t>
      </w:r>
      <w:r w:rsidRPr="00B87150">
        <w:t>—</w:t>
      </w:r>
      <w:r w:rsidRPr="00F05867">
        <w:t>a program that requires no new or modified environmental outcomes and/or criteria and has an approved PEPR rehabilitation liability estimate or bond of less than $1 million.</w:t>
      </w:r>
    </w:p>
    <w:p w:rsidR="00683CF6" w:rsidRPr="00F05867" w:rsidRDefault="00683CF6" w:rsidP="00683CF6">
      <w:pPr>
        <w:pStyle w:val="GG-body"/>
        <w:ind w:left="284"/>
      </w:pPr>
      <w:r w:rsidRPr="00D81640">
        <w:rPr>
          <w:b/>
        </w:rPr>
        <w:t>Tier 2</w:t>
      </w:r>
      <w:r w:rsidRPr="00D717D1">
        <w:rPr>
          <w:i/>
        </w:rPr>
        <w:t>—</w:t>
      </w:r>
      <w:r w:rsidRPr="00F05867">
        <w:t>a program that requires,</w:t>
      </w:r>
    </w:p>
    <w:p w:rsidR="00683CF6" w:rsidRPr="00F05867" w:rsidRDefault="00683CF6" w:rsidP="00683CF6">
      <w:pPr>
        <w:pStyle w:val="GG-body"/>
        <w:ind w:left="851" w:hanging="425"/>
      </w:pPr>
      <w:r>
        <w:t>(</w:t>
      </w:r>
      <w:r w:rsidRPr="00F05867">
        <w:t>a)</w:t>
      </w:r>
      <w:r w:rsidRPr="00F05867">
        <w:tab/>
        <w:t>new or modified environmental outcomes and/or criteria and has an approved PEPR rehabilitation liability estimate or bond of less than $1 million; or</w:t>
      </w:r>
    </w:p>
    <w:p w:rsidR="00683CF6" w:rsidRPr="00761358" w:rsidRDefault="00683CF6" w:rsidP="00683CF6">
      <w:pPr>
        <w:pStyle w:val="GG-body"/>
        <w:ind w:left="851" w:hanging="425"/>
      </w:pPr>
      <w:r>
        <w:t>(</w:t>
      </w:r>
      <w:r w:rsidRPr="00F05867">
        <w:t>b)</w:t>
      </w:r>
      <w:r w:rsidRPr="00F05867">
        <w:tab/>
        <w:t>no new or modified environmental outcomes and/or criteria and has an approved PEPR rehabilitation liability estimate or bond of more than $1 million but less than $10 million.</w:t>
      </w:r>
    </w:p>
    <w:p w:rsidR="00683CF6" w:rsidRPr="00F05867" w:rsidRDefault="00683CF6" w:rsidP="00683CF6">
      <w:pPr>
        <w:pStyle w:val="GG-body"/>
        <w:ind w:left="284"/>
      </w:pPr>
      <w:r w:rsidRPr="00D81640">
        <w:rPr>
          <w:b/>
        </w:rPr>
        <w:t>Tier 3</w:t>
      </w:r>
      <w:r w:rsidRPr="00D717D1">
        <w:rPr>
          <w:i/>
        </w:rPr>
        <w:t>—</w:t>
      </w:r>
      <w:r w:rsidRPr="00F05867">
        <w:t>a program that requires,</w:t>
      </w:r>
    </w:p>
    <w:p w:rsidR="00683CF6" w:rsidRPr="00F05867" w:rsidRDefault="00683CF6" w:rsidP="00683CF6">
      <w:pPr>
        <w:pStyle w:val="GG-body"/>
        <w:ind w:left="851" w:hanging="425"/>
      </w:pPr>
      <w:r>
        <w:t>(</w:t>
      </w:r>
      <w:r w:rsidRPr="00F05867">
        <w:t>a)</w:t>
      </w:r>
      <w:r w:rsidRPr="00F05867">
        <w:tab/>
        <w:t>new or modified environmental outcomes and/or criteria and has an approved PEPR rehabilitation liability estimate or bond of more than $1 million but less than $10 million; or</w:t>
      </w:r>
    </w:p>
    <w:p w:rsidR="00683CF6" w:rsidRPr="00761358" w:rsidRDefault="00683CF6" w:rsidP="00683CF6">
      <w:pPr>
        <w:pStyle w:val="GG-body"/>
        <w:ind w:left="851" w:hanging="425"/>
      </w:pPr>
      <w:r>
        <w:t>(</w:t>
      </w:r>
      <w:r w:rsidRPr="00F05867">
        <w:t>b)</w:t>
      </w:r>
      <w:r w:rsidRPr="00F05867">
        <w:tab/>
        <w:t>no new or modified environmental outcomes and/or criteria and has an approved PEPR rehabilitation liability estimate or bond of more than $10 million.</w:t>
      </w:r>
    </w:p>
    <w:p w:rsidR="00683CF6" w:rsidRPr="00761358" w:rsidRDefault="00683CF6" w:rsidP="00683CF6">
      <w:pPr>
        <w:pStyle w:val="GG-body"/>
        <w:ind w:left="284"/>
      </w:pPr>
      <w:r w:rsidRPr="00D81640">
        <w:rPr>
          <w:b/>
        </w:rPr>
        <w:t>Tier 4</w:t>
      </w:r>
      <w:r w:rsidRPr="00D717D1">
        <w:rPr>
          <w:i/>
        </w:rPr>
        <w:t>—</w:t>
      </w:r>
      <w:r w:rsidRPr="00F05867">
        <w:t>a program that requires new or modified environmental outcomes and/or criteria and has an approved PEPR rehabilitation liability estimate or bond of more than $10 million.</w:t>
      </w:r>
    </w:p>
    <w:p w:rsidR="00683CF6" w:rsidRPr="00761358" w:rsidRDefault="00683CF6" w:rsidP="00683CF6">
      <w:pPr>
        <w:pStyle w:val="GG-body"/>
      </w:pPr>
      <w:r w:rsidRPr="00F05867">
        <w:t>For the purpose of this Gazette notice:</w:t>
      </w:r>
    </w:p>
    <w:p w:rsidR="00683CF6" w:rsidRPr="00761358" w:rsidRDefault="00683CF6" w:rsidP="00683CF6">
      <w:pPr>
        <w:pStyle w:val="GG-body"/>
        <w:ind w:left="426" w:hanging="284"/>
      </w:pPr>
      <w:r w:rsidRPr="00F05867">
        <w:t>1.</w:t>
      </w:r>
      <w:r w:rsidRPr="00F05867">
        <w:tab/>
        <w:t>the tonnes per annum for the purpose of annual production of extractive minerals and industrial mineral is determined from royalty returns submitted under section 17CA of the</w:t>
      </w:r>
      <w:r w:rsidRPr="00761358">
        <w:rPr>
          <w:i/>
        </w:rPr>
        <w:t xml:space="preserve"> Mining Act 1971</w:t>
      </w:r>
      <w:r w:rsidRPr="00F05867">
        <w:t>;</w:t>
      </w:r>
    </w:p>
    <w:p w:rsidR="00683CF6" w:rsidRPr="00F05867" w:rsidRDefault="00683CF6" w:rsidP="00683CF6">
      <w:pPr>
        <w:pStyle w:val="GG-body"/>
        <w:ind w:left="426" w:hanging="284"/>
      </w:pPr>
      <w:r w:rsidRPr="00F05867">
        <w:t>2.</w:t>
      </w:r>
      <w:r w:rsidRPr="00F05867">
        <w:tab/>
        <w:t>an approved PEPR rehabilitation liability is an estimated liability for the rehabilitation of the operations as set out in an approved program under Part 10A of the</w:t>
      </w:r>
      <w:r w:rsidRPr="00761358">
        <w:rPr>
          <w:i/>
        </w:rPr>
        <w:t xml:space="preserve"> Mining Act 1971</w:t>
      </w:r>
      <w:r w:rsidRPr="00F05867">
        <w:t>; and</w:t>
      </w:r>
    </w:p>
    <w:p w:rsidR="00683CF6" w:rsidRPr="00761358" w:rsidRDefault="00683CF6" w:rsidP="00683CF6">
      <w:pPr>
        <w:pStyle w:val="GG-body"/>
        <w:ind w:left="426" w:hanging="284"/>
      </w:pPr>
      <w:r w:rsidRPr="00F05867">
        <w:t>3.</w:t>
      </w:r>
      <w:r w:rsidRPr="00F05867">
        <w:tab/>
        <w:t>a bond is an amount held as security by the Minister in respect to a tenement under section 62 of the</w:t>
      </w:r>
      <w:r w:rsidRPr="00761358">
        <w:rPr>
          <w:i/>
        </w:rPr>
        <w:t xml:space="preserve"> Mining Act 1971</w:t>
      </w:r>
      <w:r w:rsidRPr="00F05867">
        <w:t>.</w:t>
      </w:r>
    </w:p>
    <w:p w:rsidR="00683CF6" w:rsidRPr="00761358" w:rsidRDefault="00683CF6" w:rsidP="00683CF6">
      <w:pPr>
        <w:pStyle w:val="GG-SDated"/>
      </w:pPr>
      <w:r>
        <w:t>Dated: 11 December 2020</w:t>
      </w:r>
    </w:p>
    <w:p w:rsidR="00683CF6" w:rsidRPr="00761358" w:rsidRDefault="00683CF6" w:rsidP="00683CF6">
      <w:pPr>
        <w:pStyle w:val="GG-SName"/>
      </w:pPr>
      <w:r w:rsidRPr="00F05867">
        <w:t>Hon. Daniel van Holst Pellekaan</w:t>
      </w:r>
    </w:p>
    <w:p w:rsidR="00683CF6" w:rsidRDefault="00683CF6" w:rsidP="00683CF6">
      <w:pPr>
        <w:pStyle w:val="GG-Signature"/>
      </w:pPr>
      <w:r w:rsidRPr="00F05867">
        <w:t>Minister for Energy and Mining</w:t>
      </w:r>
    </w:p>
    <w:p w:rsidR="00683CF6" w:rsidRDefault="00683CF6" w:rsidP="00683CF6">
      <w:pPr>
        <w:pStyle w:val="GG-body"/>
        <w:pBdr>
          <w:top w:val="single" w:sz="4" w:space="1" w:color="auto"/>
        </w:pBdr>
        <w:spacing w:before="100" w:after="0" w:line="14" w:lineRule="exact"/>
        <w:jc w:val="center"/>
      </w:pPr>
    </w:p>
    <w:p w:rsidR="00683CF6" w:rsidRPr="00F05867" w:rsidRDefault="00683CF6" w:rsidP="00683CF6">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rsidR="00683CF6" w:rsidRPr="00F05867" w:rsidRDefault="00683CF6" w:rsidP="00683CF6">
      <w:pPr>
        <w:pStyle w:val="GG-Title1"/>
      </w:pPr>
      <w:r w:rsidRPr="00F05867">
        <w:t>Mining Regulations 2020</w:t>
      </w:r>
    </w:p>
    <w:p w:rsidR="00683CF6" w:rsidRDefault="00683CF6" w:rsidP="00683CF6">
      <w:pPr>
        <w:pStyle w:val="GG-Title2"/>
      </w:pPr>
      <w:r w:rsidRPr="00F05867">
        <w:t>Regulation 77</w:t>
      </w:r>
    </w:p>
    <w:p w:rsidR="00683CF6" w:rsidRPr="00F05867" w:rsidRDefault="00683CF6" w:rsidP="00683CF6">
      <w:pPr>
        <w:pStyle w:val="GG-Title3"/>
      </w:pPr>
      <w:r w:rsidRPr="00F05867">
        <w:t xml:space="preserve">Terms </w:t>
      </w:r>
      <w:r>
        <w:t>o</w:t>
      </w:r>
      <w:r w:rsidRPr="00F05867">
        <w:t xml:space="preserve">f Reference </w:t>
      </w:r>
      <w:r>
        <w:t>f</w:t>
      </w:r>
      <w:r w:rsidRPr="00F05867">
        <w:t>or Mining Compliance Reports</w:t>
      </w:r>
    </w:p>
    <w:p w:rsidR="00683CF6" w:rsidRDefault="00683CF6" w:rsidP="00683CF6">
      <w:pPr>
        <w:pStyle w:val="GG-body"/>
      </w:pPr>
      <w:r w:rsidRPr="00F05867">
        <w:t>The tenement holder must submit a compliance report in accordance with regulation 77 of the</w:t>
      </w:r>
      <w:r w:rsidRPr="00761358">
        <w:rPr>
          <w:i/>
        </w:rPr>
        <w:t xml:space="preserve"> Mining Regulations 2020</w:t>
      </w:r>
      <w:r w:rsidRPr="00F05867">
        <w:t xml:space="preserve"> and determinations set out in this Terms of Reference. This Terms of References applies to authorised operations undertaken on a mining lease (ML) (including operations for the recovery of extractive minerals (EML)), private mine (PM) and miscellaneous purpose licence (MPL) ancillary to a mining lease.</w:t>
      </w:r>
    </w:p>
    <w:p w:rsidR="00683CF6" w:rsidRPr="00761358" w:rsidRDefault="00683CF6" w:rsidP="00683CF6">
      <w:pPr>
        <w:pStyle w:val="GG-body"/>
      </w:pPr>
      <w:r w:rsidRPr="00F05867">
        <w:t xml:space="preserve">In accordance with regulation </w:t>
      </w:r>
      <w:r>
        <w:t>77</w:t>
      </w:r>
      <w:r w:rsidRPr="00F05867">
        <w:t xml:space="preserve"> of the</w:t>
      </w:r>
      <w:r w:rsidRPr="00761358">
        <w:rPr>
          <w:i/>
        </w:rPr>
        <w:t xml:space="preserve"> Mining Regulations 2020</w:t>
      </w:r>
      <w:r w:rsidRPr="00F05867">
        <w:t>, this notice will have effect from 1 January 2021.</w:t>
      </w:r>
    </w:p>
    <w:p w:rsidR="00683CF6" w:rsidRPr="00CC5189" w:rsidRDefault="00683CF6" w:rsidP="00683CF6">
      <w:pPr>
        <w:pStyle w:val="GG-body"/>
        <w:ind w:left="284" w:hanging="284"/>
        <w:rPr>
          <w:b/>
        </w:rPr>
      </w:pPr>
      <w:r w:rsidRPr="00CC5189">
        <w:rPr>
          <w:b/>
        </w:rPr>
        <w:t>1</w:t>
      </w:r>
      <w:r w:rsidRPr="00CC5189">
        <w:rPr>
          <w:b/>
        </w:rPr>
        <w:tab/>
        <w:t>FORMAT AND SUBMISSION OF REPORTS</w:t>
      </w:r>
    </w:p>
    <w:p w:rsidR="00683CF6" w:rsidRPr="00F05867" w:rsidRDefault="00683CF6" w:rsidP="00683CF6">
      <w:pPr>
        <w:pStyle w:val="GG-body"/>
        <w:ind w:left="284"/>
      </w:pPr>
      <w:r w:rsidRPr="00F05867">
        <w:t>A compliance report must be submitted in accordance with regulation 77(4)(b) and 77(6)(b) of the</w:t>
      </w:r>
      <w:r w:rsidRPr="00761358">
        <w:rPr>
          <w:i/>
        </w:rPr>
        <w:t xml:space="preserve"> Mining Regulations 2020</w:t>
      </w:r>
      <w:r w:rsidRPr="00F05867">
        <w:t xml:space="preserve"> in the following form unless otherwise specified by the Director of Mines or delegate:</w:t>
      </w:r>
    </w:p>
    <w:p w:rsidR="00683CF6" w:rsidRPr="00761358" w:rsidRDefault="00683CF6" w:rsidP="00683CF6">
      <w:pPr>
        <w:pStyle w:val="GG-body"/>
        <w:ind w:left="567" w:hanging="283"/>
      </w:pPr>
      <w:r w:rsidRPr="00F05867">
        <w:t>•</w:t>
      </w:r>
      <w:r w:rsidRPr="00F05867">
        <w:tab/>
        <w:t>An electronic version of the report must be submitted using the mining compliance report templates provided on the DEM Minerals website.</w:t>
      </w:r>
    </w:p>
    <w:p w:rsidR="00683CF6" w:rsidRPr="00761358" w:rsidRDefault="00683CF6" w:rsidP="00683CF6">
      <w:pPr>
        <w:pStyle w:val="GG-body"/>
        <w:ind w:left="567" w:hanging="283"/>
      </w:pPr>
      <w:r w:rsidRPr="00F05867">
        <w:t>•</w:t>
      </w:r>
      <w:r w:rsidRPr="00F05867">
        <w:tab/>
        <w:t>The electronic version must be submitted online through the DEM website.</w:t>
      </w:r>
    </w:p>
    <w:p w:rsidR="00683CF6" w:rsidRPr="00F05867" w:rsidRDefault="00683CF6" w:rsidP="00683CF6">
      <w:pPr>
        <w:pStyle w:val="GG-body"/>
        <w:ind w:left="567" w:hanging="283"/>
      </w:pPr>
      <w:r w:rsidRPr="00F05867">
        <w:t>•</w:t>
      </w:r>
      <w:r w:rsidRPr="00F05867">
        <w:tab/>
        <w:t>The electronic version must be submitted in one single Acrobat PDF file.</w:t>
      </w:r>
    </w:p>
    <w:p w:rsidR="00683CF6" w:rsidRPr="00761358" w:rsidRDefault="00683CF6" w:rsidP="00683CF6">
      <w:pPr>
        <w:pStyle w:val="GG-body"/>
        <w:ind w:left="567" w:hanging="283"/>
      </w:pPr>
      <w:r w:rsidRPr="00F05867">
        <w:t>•</w:t>
      </w:r>
      <w:r w:rsidRPr="00F05867">
        <w:tab/>
        <w:t>Microsoft Word</w:t>
      </w:r>
      <w:r w:rsidRPr="00D717D1">
        <w:rPr>
          <w:i/>
        </w:rPr>
        <w:t>-</w:t>
      </w:r>
      <w:r w:rsidRPr="00F05867">
        <w:t>compatible files must be submitted if requested by the Director of Mines (or delegate), or other authorised officers.</w:t>
      </w:r>
    </w:p>
    <w:p w:rsidR="00683CF6" w:rsidRPr="00F05867" w:rsidRDefault="00683CF6" w:rsidP="00683CF6">
      <w:pPr>
        <w:pStyle w:val="GG-body"/>
        <w:ind w:left="567" w:hanging="283"/>
      </w:pPr>
      <w:r w:rsidRPr="00F05867">
        <w:t>•</w:t>
      </w:r>
      <w:r w:rsidRPr="00F05867">
        <w:tab/>
        <w:t>The report can be submitted by email or hard copy if requested by the Director of Mines or other authorised officers.</w:t>
      </w:r>
    </w:p>
    <w:p w:rsidR="00683CF6" w:rsidRPr="00761358" w:rsidRDefault="00683CF6" w:rsidP="00683CF6">
      <w:pPr>
        <w:pStyle w:val="GG-body"/>
        <w:ind w:left="567" w:hanging="283"/>
      </w:pPr>
      <w:r w:rsidRPr="00F05867">
        <w:t>•</w:t>
      </w:r>
      <w:r w:rsidRPr="00F05867">
        <w:tab/>
        <w:t>Include a signed (digital signatures allowed) statement by the tenement holder declaring that the content of the report has been reviewed and is accurate.</w:t>
      </w:r>
    </w:p>
    <w:p w:rsidR="00683CF6" w:rsidRDefault="00683CF6" w:rsidP="00683CF6">
      <w:pPr>
        <w:rPr>
          <w:b/>
        </w:rPr>
      </w:pPr>
      <w:r>
        <w:rPr>
          <w:b/>
        </w:rPr>
        <w:br w:type="page"/>
      </w:r>
    </w:p>
    <w:p w:rsidR="00683CF6" w:rsidRPr="00CC5189" w:rsidRDefault="00683CF6" w:rsidP="00683CF6">
      <w:pPr>
        <w:pStyle w:val="GG-body"/>
        <w:ind w:left="284" w:hanging="284"/>
        <w:rPr>
          <w:b/>
        </w:rPr>
      </w:pPr>
      <w:r w:rsidRPr="00CC5189">
        <w:rPr>
          <w:b/>
        </w:rPr>
        <w:t>2</w:t>
      </w:r>
      <w:r w:rsidRPr="00CC5189">
        <w:rPr>
          <w:b/>
        </w:rPr>
        <w:tab/>
        <w:t>REQUIREMENT FOR SUBMISSION AND REPORTING PERIOD</w:t>
      </w:r>
    </w:p>
    <w:p w:rsidR="00683CF6" w:rsidRPr="00761358" w:rsidRDefault="00683CF6" w:rsidP="00683CF6">
      <w:pPr>
        <w:pStyle w:val="GG-body"/>
        <w:ind w:left="284"/>
      </w:pPr>
      <w:r w:rsidRPr="00F05867">
        <w:t>Where the anniversary of the day on which the relevant mineral tenement was granted falls within 1 January 2021 and 30 June 2021, the Minister determines that the:</w:t>
      </w:r>
    </w:p>
    <w:p w:rsidR="00683CF6" w:rsidRPr="00761358" w:rsidRDefault="00683CF6" w:rsidP="00683CF6">
      <w:pPr>
        <w:pStyle w:val="GG-body"/>
        <w:ind w:left="567" w:hanging="283"/>
      </w:pPr>
      <w:r w:rsidRPr="00F05867">
        <w:t>•</w:t>
      </w:r>
      <w:r w:rsidRPr="00F05867">
        <w:tab/>
        <w:t>reporting period for the purposes of regulation 77(3)(b) will be a period commencing on 1 January 2021 and ending on the anniversary of the day on which the mineral tenement was granted in the calendar year of 2022; and</w:t>
      </w:r>
    </w:p>
    <w:p w:rsidR="00683CF6" w:rsidRPr="00761358" w:rsidRDefault="00683CF6" w:rsidP="00683CF6">
      <w:pPr>
        <w:pStyle w:val="GG-body"/>
        <w:ind w:left="567" w:hanging="283"/>
      </w:pPr>
      <w:r w:rsidRPr="00F05867">
        <w:t>•</w:t>
      </w:r>
      <w:r w:rsidRPr="00F05867">
        <w:tab/>
        <w:t>the period after the end of the reporting period for the purposes of regulation 77(4)(a) is 60 days.</w:t>
      </w:r>
    </w:p>
    <w:p w:rsidR="00683CF6" w:rsidRPr="00761358" w:rsidRDefault="00683CF6" w:rsidP="00683CF6">
      <w:pPr>
        <w:pStyle w:val="GG-body"/>
        <w:ind w:left="284"/>
      </w:pPr>
      <w:r w:rsidRPr="00F05867">
        <w:t>This determination expires on 30 June 2022 and is subject to any determinations made by the Minister on case</w:t>
      </w:r>
      <w:r w:rsidRPr="00D717D1">
        <w:rPr>
          <w:i/>
        </w:rPr>
        <w:t>-</w:t>
      </w:r>
      <w:r w:rsidRPr="00F05867">
        <w:t>by</w:t>
      </w:r>
      <w:r w:rsidRPr="00D717D1">
        <w:rPr>
          <w:i/>
        </w:rPr>
        <w:t>-</w:t>
      </w:r>
      <w:r w:rsidRPr="00F05867">
        <w:t>case basis.</w:t>
      </w:r>
    </w:p>
    <w:p w:rsidR="00683CF6" w:rsidRPr="00761358" w:rsidRDefault="00683CF6" w:rsidP="00683CF6">
      <w:pPr>
        <w:pStyle w:val="GG-body"/>
        <w:ind w:left="284"/>
      </w:pPr>
      <w:r w:rsidRPr="00F05867">
        <w:t>Where a compliance report is submitted by the tenement holder in respect to more than one tenement, the Minister determines for the purposes of subregulation 77(3)(b) of the</w:t>
      </w:r>
      <w:r w:rsidRPr="00761358">
        <w:rPr>
          <w:i/>
        </w:rPr>
        <w:t xml:space="preserve"> Mining Regulations 2020</w:t>
      </w:r>
      <w:r w:rsidRPr="00F05867">
        <w:t xml:space="preserve"> that a compliance report must be provided to the Minister;</w:t>
      </w:r>
    </w:p>
    <w:p w:rsidR="00683CF6" w:rsidRPr="00F05867" w:rsidRDefault="00683CF6" w:rsidP="00683CF6">
      <w:pPr>
        <w:pStyle w:val="GG-body"/>
        <w:ind w:left="567" w:hanging="283"/>
      </w:pPr>
      <w:r w:rsidRPr="00F05867">
        <w:t>1.</w:t>
      </w:r>
      <w:r w:rsidRPr="00F05867">
        <w:tab/>
        <w:t>each 12</w:t>
      </w:r>
      <w:r w:rsidRPr="00D717D1">
        <w:rPr>
          <w:i/>
        </w:rPr>
        <w:t>-</w:t>
      </w:r>
      <w:r w:rsidRPr="00F05867">
        <w:t>month period ending on the anniversary of the day on which the oldest of mineral tenement was granted; or</w:t>
      </w:r>
    </w:p>
    <w:p w:rsidR="00683CF6" w:rsidRPr="00F05867" w:rsidRDefault="00683CF6" w:rsidP="00683CF6">
      <w:pPr>
        <w:pStyle w:val="GG-body"/>
        <w:ind w:left="567" w:hanging="283"/>
      </w:pPr>
      <w:r w:rsidRPr="00F05867">
        <w:t>2.</w:t>
      </w:r>
      <w:r w:rsidRPr="00F05867">
        <w:tab/>
        <w:t xml:space="preserve">where the tenement holder submitted a compliance report for more than one tenement under regulation 86 of the repealed </w:t>
      </w:r>
      <w:r w:rsidRPr="00426C64">
        <w:rPr>
          <w:i/>
        </w:rPr>
        <w:t>Mining Regulations 2011</w:t>
      </w:r>
      <w:r w:rsidRPr="00D717D1">
        <w:rPr>
          <w:i/>
        </w:rPr>
        <w:t>—</w:t>
      </w:r>
      <w:r w:rsidRPr="00F05867">
        <w:t xml:space="preserve">on the date and on the frequency that the tenement holder submitted reports under the repealed </w:t>
      </w:r>
      <w:r w:rsidRPr="00426C64">
        <w:rPr>
          <w:i/>
        </w:rPr>
        <w:t>Mining Regulations 2011</w:t>
      </w:r>
      <w:r w:rsidRPr="00F05867">
        <w:t>.</w:t>
      </w:r>
    </w:p>
    <w:p w:rsidR="00683CF6" w:rsidRPr="00761358" w:rsidRDefault="00683CF6" w:rsidP="00683CF6">
      <w:pPr>
        <w:pStyle w:val="GG-body"/>
        <w:ind w:left="284"/>
      </w:pPr>
      <w:r w:rsidRPr="00F05867">
        <w:t>For the purposes of regulation 77(4)(a) of the</w:t>
      </w:r>
      <w:r w:rsidRPr="00761358">
        <w:rPr>
          <w:i/>
        </w:rPr>
        <w:t xml:space="preserve"> Mining Regulations 2020</w:t>
      </w:r>
      <w:r w:rsidRPr="00F05867">
        <w:t>, it is determined that a mining compliance report must be submitted annually within 60 days after the end of each reporting period.</w:t>
      </w:r>
    </w:p>
    <w:p w:rsidR="00683CF6" w:rsidRPr="00CC5189" w:rsidRDefault="00683CF6" w:rsidP="00683CF6">
      <w:pPr>
        <w:pStyle w:val="GG-body"/>
        <w:ind w:left="284" w:hanging="284"/>
        <w:rPr>
          <w:b/>
        </w:rPr>
      </w:pPr>
      <w:r w:rsidRPr="00CC5189">
        <w:rPr>
          <w:b/>
        </w:rPr>
        <w:t>3</w:t>
      </w:r>
      <w:r w:rsidRPr="00CC5189">
        <w:rPr>
          <w:b/>
        </w:rPr>
        <w:tab/>
        <w:t>CONTENT OF MINING COMPLIANCE REPORT</w:t>
      </w:r>
    </w:p>
    <w:p w:rsidR="00683CF6" w:rsidRPr="00761358" w:rsidRDefault="00683CF6" w:rsidP="00683CF6">
      <w:pPr>
        <w:pStyle w:val="GG-body"/>
        <w:ind w:left="284"/>
      </w:pPr>
      <w:r w:rsidRPr="00F05867">
        <w:t>A compliance report must, in accordance with regulation 77(4)(c) and 77(6)(c) of the</w:t>
      </w:r>
      <w:r w:rsidRPr="00761358">
        <w:rPr>
          <w:i/>
        </w:rPr>
        <w:t xml:space="preserve"> Mining Regulations 2020</w:t>
      </w:r>
      <w:r w:rsidRPr="00F05867">
        <w:t>, contain the following information as determined by the Minister:</w:t>
      </w:r>
    </w:p>
    <w:p w:rsidR="00683CF6" w:rsidRPr="00426C64" w:rsidRDefault="00683CF6" w:rsidP="00683CF6">
      <w:pPr>
        <w:pStyle w:val="GG-body"/>
        <w:ind w:left="709" w:hanging="425"/>
        <w:rPr>
          <w:b/>
        </w:rPr>
      </w:pPr>
      <w:r w:rsidRPr="00426C64">
        <w:rPr>
          <w:b/>
        </w:rPr>
        <w:t>3.1</w:t>
      </w:r>
      <w:r w:rsidRPr="00426C64">
        <w:rPr>
          <w:b/>
        </w:rPr>
        <w:tab/>
        <w:t>General information</w:t>
      </w:r>
    </w:p>
    <w:p w:rsidR="00683CF6" w:rsidRPr="00F05867" w:rsidRDefault="00683CF6" w:rsidP="00683CF6">
      <w:pPr>
        <w:pStyle w:val="GG-body"/>
        <w:ind w:left="709"/>
      </w:pPr>
      <w:r w:rsidRPr="00F05867">
        <w:t>Include:</w:t>
      </w:r>
    </w:p>
    <w:p w:rsidR="00683CF6" w:rsidRPr="00F05867" w:rsidRDefault="00683CF6" w:rsidP="00683CF6">
      <w:pPr>
        <w:pStyle w:val="GG-body"/>
        <w:ind w:left="993" w:hanging="284"/>
      </w:pPr>
      <w:r w:rsidRPr="00F05867">
        <w:t>•</w:t>
      </w:r>
      <w:r w:rsidRPr="00F05867">
        <w:tab/>
        <w:t>tenement details (type and tenement number</w:t>
      </w:r>
      <w:r w:rsidRPr="00D717D1">
        <w:rPr>
          <w:i/>
        </w:rPr>
        <w:t>—</w:t>
      </w:r>
      <w:r w:rsidRPr="00F05867">
        <w:t>ML, MLP, EML or PM)</w:t>
      </w:r>
    </w:p>
    <w:p w:rsidR="00683CF6" w:rsidRPr="00761358" w:rsidRDefault="00683CF6" w:rsidP="00683CF6">
      <w:pPr>
        <w:pStyle w:val="GG-body"/>
        <w:ind w:left="993" w:hanging="284"/>
      </w:pPr>
      <w:r w:rsidRPr="00F05867">
        <w:t>•</w:t>
      </w:r>
      <w:r w:rsidRPr="00F05867">
        <w:tab/>
        <w:t>name(s) of the tenement holder and mine operator(s)</w:t>
      </w:r>
    </w:p>
    <w:p w:rsidR="00683CF6" w:rsidRPr="00761358" w:rsidRDefault="00683CF6" w:rsidP="00683CF6">
      <w:pPr>
        <w:pStyle w:val="GG-body"/>
        <w:ind w:left="993" w:hanging="284"/>
      </w:pPr>
      <w:r w:rsidRPr="00F05867">
        <w:t>•</w:t>
      </w:r>
      <w:r w:rsidRPr="00F05867">
        <w:tab/>
        <w:t>name of the mine operation</w:t>
      </w:r>
    </w:p>
    <w:p w:rsidR="00683CF6" w:rsidRPr="00761358" w:rsidRDefault="00683CF6" w:rsidP="00683CF6">
      <w:pPr>
        <w:pStyle w:val="GG-body"/>
        <w:ind w:left="993" w:hanging="284"/>
      </w:pPr>
      <w:r w:rsidRPr="00F05867">
        <w:t>•</w:t>
      </w:r>
      <w:r w:rsidRPr="00F05867">
        <w:tab/>
        <w:t>general location details</w:t>
      </w:r>
    </w:p>
    <w:p w:rsidR="00683CF6" w:rsidRPr="00F05867" w:rsidRDefault="00683CF6" w:rsidP="00683CF6">
      <w:pPr>
        <w:pStyle w:val="GG-body"/>
        <w:ind w:left="993" w:hanging="284"/>
      </w:pPr>
      <w:r w:rsidRPr="00F05867">
        <w:t>•</w:t>
      </w:r>
      <w:r w:rsidRPr="00F05867">
        <w:tab/>
        <w:t>site contact details</w:t>
      </w:r>
    </w:p>
    <w:p w:rsidR="00683CF6" w:rsidRPr="00761358" w:rsidRDefault="00683CF6" w:rsidP="00683CF6">
      <w:pPr>
        <w:pStyle w:val="GG-body"/>
        <w:ind w:left="993" w:hanging="284"/>
      </w:pPr>
      <w:r w:rsidRPr="00F05867">
        <w:t>•</w:t>
      </w:r>
      <w:r w:rsidRPr="00F05867">
        <w:tab/>
        <w:t>approval date of a program approved under part 10A of the</w:t>
      </w:r>
      <w:r w:rsidRPr="00761358">
        <w:rPr>
          <w:i/>
        </w:rPr>
        <w:t xml:space="preserve"> Mining Act 1971</w:t>
      </w:r>
      <w:r w:rsidRPr="00F05867">
        <w:t xml:space="preserve"> (PEPR) or a mine operations plan approved under section 73G of the</w:t>
      </w:r>
      <w:r w:rsidRPr="00761358">
        <w:rPr>
          <w:i/>
        </w:rPr>
        <w:t xml:space="preserve"> Mining Act 1971</w:t>
      </w:r>
      <w:r w:rsidRPr="00F05867">
        <w:t xml:space="preserve"> (MOP) being reported against</w:t>
      </w:r>
    </w:p>
    <w:p w:rsidR="00683CF6" w:rsidRPr="00F05867" w:rsidRDefault="00683CF6" w:rsidP="00683CF6">
      <w:pPr>
        <w:pStyle w:val="GG-body"/>
        <w:ind w:left="993" w:hanging="284"/>
      </w:pPr>
      <w:r w:rsidRPr="00F05867">
        <w:t>•</w:t>
      </w:r>
      <w:r w:rsidRPr="00F05867">
        <w:tab/>
        <w:t>dates of the reporting period and report submission date</w:t>
      </w:r>
    </w:p>
    <w:p w:rsidR="00683CF6" w:rsidRPr="00761358" w:rsidRDefault="00683CF6" w:rsidP="00683CF6">
      <w:pPr>
        <w:pStyle w:val="GG-body"/>
        <w:ind w:left="993" w:hanging="284"/>
      </w:pPr>
      <w:r w:rsidRPr="00F05867">
        <w:t>•</w:t>
      </w:r>
      <w:r w:rsidRPr="00F05867">
        <w:tab/>
        <w:t>report author and contact details.</w:t>
      </w:r>
    </w:p>
    <w:p w:rsidR="00683CF6" w:rsidRPr="00426C64" w:rsidRDefault="00683CF6" w:rsidP="00683CF6">
      <w:pPr>
        <w:pStyle w:val="GG-body"/>
        <w:ind w:left="709" w:hanging="425"/>
        <w:rPr>
          <w:b/>
        </w:rPr>
      </w:pPr>
      <w:r w:rsidRPr="00426C64">
        <w:rPr>
          <w:b/>
        </w:rPr>
        <w:t>3.2</w:t>
      </w:r>
      <w:r w:rsidRPr="00426C64">
        <w:rPr>
          <w:b/>
        </w:rPr>
        <w:tab/>
        <w:t>Tenements</w:t>
      </w:r>
    </w:p>
    <w:p w:rsidR="00683CF6" w:rsidRPr="00761358" w:rsidRDefault="00683CF6" w:rsidP="00683CF6">
      <w:pPr>
        <w:pStyle w:val="GG-body"/>
        <w:ind w:left="709"/>
      </w:pPr>
      <w:r w:rsidRPr="00F05867">
        <w:t>Provide:</w:t>
      </w:r>
    </w:p>
    <w:p w:rsidR="00683CF6" w:rsidRPr="00761358" w:rsidRDefault="00683CF6" w:rsidP="00683CF6">
      <w:pPr>
        <w:pStyle w:val="GG-body"/>
        <w:ind w:left="993" w:hanging="284"/>
      </w:pPr>
      <w:r w:rsidRPr="00F05867">
        <w:t>•</w:t>
      </w:r>
      <w:r w:rsidRPr="00F05867">
        <w:tab/>
        <w:t>a summary list and the status of currency of all tenements covered by the approved PEPR/MOP; and</w:t>
      </w:r>
    </w:p>
    <w:p w:rsidR="00683CF6" w:rsidRPr="00761358" w:rsidRDefault="00683CF6" w:rsidP="00683CF6">
      <w:pPr>
        <w:pStyle w:val="GG-body"/>
        <w:ind w:left="993" w:hanging="284"/>
      </w:pPr>
      <w:r w:rsidRPr="00F05867">
        <w:t>•</w:t>
      </w:r>
      <w:r w:rsidRPr="00F05867">
        <w:tab/>
        <w:t>where the authorised operations extract an amount exceeding 100,000 tonnes per annum or have an estimated rehabilitation liability (as set out in the PEPR/MOP) above $1,000,000AUD</w:t>
      </w:r>
      <w:r w:rsidRPr="00D717D1">
        <w:rPr>
          <w:i/>
        </w:rPr>
        <w:t>—</w:t>
      </w:r>
      <w:r w:rsidRPr="00F05867">
        <w:t>a plan(s) of the authorised operations showing all tenement boundaries covered by the approved PEPR/MOP.</w:t>
      </w:r>
    </w:p>
    <w:p w:rsidR="00683CF6" w:rsidRPr="00761358" w:rsidRDefault="00683CF6" w:rsidP="00683CF6">
      <w:pPr>
        <w:pStyle w:val="GG-body"/>
        <w:ind w:left="709" w:hanging="425"/>
      </w:pPr>
      <w:r w:rsidRPr="00426C64">
        <w:rPr>
          <w:b/>
        </w:rPr>
        <w:t>3.3</w:t>
      </w:r>
      <w:r w:rsidRPr="00426C64">
        <w:rPr>
          <w:b/>
        </w:rPr>
        <w:tab/>
        <w:t>Other approvals</w:t>
      </w:r>
    </w:p>
    <w:p w:rsidR="00683CF6" w:rsidRPr="00761358" w:rsidRDefault="00683CF6" w:rsidP="00683CF6">
      <w:pPr>
        <w:pStyle w:val="GG-body"/>
        <w:ind w:left="709"/>
      </w:pPr>
      <w:r w:rsidRPr="00F05867">
        <w:t>Provide a summary list and the status of currency of any other approvals obtained to authorise the operations that are relevant to the achievement of environmental outcomes/objectives within the approved PEPR/MOP and or compliance with the tenement conditions.</w:t>
      </w:r>
    </w:p>
    <w:p w:rsidR="00683CF6" w:rsidRPr="00761358" w:rsidRDefault="00683CF6" w:rsidP="00683CF6">
      <w:pPr>
        <w:pStyle w:val="GG-body"/>
        <w:ind w:left="709" w:hanging="425"/>
      </w:pPr>
      <w:r w:rsidRPr="00426C64">
        <w:rPr>
          <w:b/>
        </w:rPr>
        <w:t>3.4</w:t>
      </w:r>
      <w:r w:rsidRPr="00426C64">
        <w:rPr>
          <w:b/>
        </w:rPr>
        <w:tab/>
        <w:t>Ore reserves and mineral resources</w:t>
      </w:r>
    </w:p>
    <w:p w:rsidR="00683CF6" w:rsidRPr="00761358" w:rsidRDefault="00683CF6" w:rsidP="00683CF6">
      <w:pPr>
        <w:pStyle w:val="GG-body"/>
        <w:ind w:left="709"/>
      </w:pPr>
      <w:r w:rsidRPr="00F05867">
        <w:t>Provide:</w:t>
      </w:r>
    </w:p>
    <w:p w:rsidR="00683CF6" w:rsidRPr="00761358" w:rsidRDefault="00683CF6" w:rsidP="00683CF6">
      <w:pPr>
        <w:pStyle w:val="GG-body"/>
        <w:ind w:left="993" w:hanging="284"/>
      </w:pPr>
      <w:r w:rsidRPr="00F05867">
        <w:t>•</w:t>
      </w:r>
      <w:r w:rsidRPr="00F05867">
        <w:tab/>
        <w:t>a statement of the estimated mine life; and</w:t>
      </w:r>
    </w:p>
    <w:p w:rsidR="00683CF6" w:rsidRPr="00F05867" w:rsidRDefault="00683CF6" w:rsidP="00683CF6">
      <w:pPr>
        <w:pStyle w:val="GG-body"/>
        <w:ind w:left="993" w:hanging="284"/>
      </w:pPr>
      <w:r w:rsidRPr="00F05867">
        <w:t>•</w:t>
      </w:r>
      <w:r w:rsidRPr="00F05867">
        <w:tab/>
        <w:t>where the authorised operations extract an amount exceeding 100,000 tonnes per annum or have an estimated rehabilitation liability (as set out in the</w:t>
      </w:r>
      <w:r>
        <w:t xml:space="preserve"> PEPR/MOP) above $1,000,000AUD—</w:t>
      </w:r>
    </w:p>
    <w:p w:rsidR="00683CF6" w:rsidRPr="00F05867" w:rsidRDefault="00683CF6" w:rsidP="00683CF6">
      <w:pPr>
        <w:pStyle w:val="GG-body"/>
        <w:ind w:left="1276" w:hanging="283"/>
      </w:pPr>
      <w:r>
        <w:t>◦</w:t>
      </w:r>
      <w:r w:rsidRPr="00F05867">
        <w:tab/>
        <w:t>a statement of the current mineral resource and ore reserve estimates in the tenement area, broken down by individual deposits where possible. Reporting should be compliant with Joint Ore Reserve Committee (JORC) standards or equivalent international codes accepted by the Committee for Mineral Reserves International Reporting Standards (CRIRSCO). Where reporting of mineral resources or ore reserves is provided outside of the scope of these codes, a brief description of the basis of the estimates must be provided (to the satisfaction of DEM), including demonstration that the resource continues to be economically mined at current commodity prices</w:t>
      </w:r>
    </w:p>
    <w:p w:rsidR="00683CF6" w:rsidRPr="00F05867" w:rsidRDefault="00683CF6" w:rsidP="00683CF6">
      <w:pPr>
        <w:pStyle w:val="GG-body"/>
        <w:ind w:left="1276" w:hanging="283"/>
      </w:pPr>
      <w:r>
        <w:t>◦</w:t>
      </w:r>
      <w:r w:rsidRPr="00F05867">
        <w:tab/>
        <w:t>a statement of any change in the mineral resource and ore reserves from those that form the basis for the authorised operation in the approved PEPR/MOP; and</w:t>
      </w:r>
    </w:p>
    <w:p w:rsidR="00683CF6" w:rsidRPr="00761358" w:rsidRDefault="00683CF6" w:rsidP="00683CF6">
      <w:pPr>
        <w:pStyle w:val="GG-body"/>
        <w:ind w:left="1276" w:hanging="283"/>
      </w:pPr>
      <w:r>
        <w:t>◦</w:t>
      </w:r>
      <w:r w:rsidRPr="00F05867">
        <w:tab/>
        <w:t>a summary of any new delineation or exploration drilling activities on the tenement, or any other potential sources of ore</w:t>
      </w:r>
      <w:r w:rsidRPr="00D717D1">
        <w:rPr>
          <w:i/>
        </w:rPr>
        <w:t>—</w:t>
      </w:r>
      <w:r>
        <w:t xml:space="preserve">eg. </w:t>
      </w:r>
      <w:r w:rsidRPr="00F05867">
        <w:t>from nearby mines</w:t>
      </w:r>
      <w:r w:rsidRPr="00D717D1">
        <w:rPr>
          <w:i/>
        </w:rPr>
        <w:t>—</w:t>
      </w:r>
      <w:r w:rsidRPr="00F05867">
        <w:t>that may have a significant effect on the future production levels and mine life.</w:t>
      </w:r>
    </w:p>
    <w:p w:rsidR="00683CF6" w:rsidRPr="00426C64" w:rsidRDefault="00683CF6" w:rsidP="00683CF6">
      <w:pPr>
        <w:pStyle w:val="GG-body"/>
        <w:ind w:left="709" w:hanging="425"/>
        <w:rPr>
          <w:b/>
        </w:rPr>
      </w:pPr>
      <w:r w:rsidRPr="00426C64">
        <w:rPr>
          <w:b/>
        </w:rPr>
        <w:t>3.5</w:t>
      </w:r>
      <w:r w:rsidRPr="00426C64">
        <w:rPr>
          <w:b/>
        </w:rPr>
        <w:tab/>
        <w:t>Mining, processing and waste storage activities</w:t>
      </w:r>
    </w:p>
    <w:p w:rsidR="00683CF6" w:rsidRPr="00761358" w:rsidRDefault="00683CF6" w:rsidP="00683CF6">
      <w:pPr>
        <w:pStyle w:val="GG-body"/>
        <w:ind w:left="709"/>
      </w:pPr>
      <w:r w:rsidRPr="00F05867">
        <w:t>Where the authorised operations extract an amount exceeding 100,000 tonnes per annum or have an estimated rehabilitation liability (as set out in the PEPR/MOP) above $1,000,000AUD, provide:</w:t>
      </w:r>
    </w:p>
    <w:p w:rsidR="00683CF6" w:rsidRPr="00F05867" w:rsidRDefault="00683CF6" w:rsidP="00683CF6">
      <w:pPr>
        <w:pStyle w:val="GG-body"/>
        <w:ind w:left="993" w:hanging="284"/>
      </w:pPr>
      <w:r w:rsidRPr="00F05867">
        <w:t>•</w:t>
      </w:r>
      <w:r w:rsidRPr="00F05867">
        <w:tab/>
        <w:t>a summary of the quantity of ore mined and processed in the reporting period, and the expected quantity to be mined and processed in the next reporting period</w:t>
      </w:r>
    </w:p>
    <w:p w:rsidR="00683CF6" w:rsidRPr="00761358" w:rsidRDefault="00683CF6" w:rsidP="00683CF6">
      <w:pPr>
        <w:pStyle w:val="GG-body"/>
        <w:ind w:left="993" w:hanging="284"/>
      </w:pPr>
      <w:r w:rsidRPr="00F05867">
        <w:t>•</w:t>
      </w:r>
      <w:r w:rsidRPr="00F05867">
        <w:tab/>
        <w:t>a summary of the quantity of ore currently stockpiled on the tenement, the amount of concentrate or other products exported from the tenement in the reporting period, and the amount expected to be exported in the next reporting period; and</w:t>
      </w:r>
    </w:p>
    <w:p w:rsidR="00683CF6" w:rsidRPr="00761358" w:rsidRDefault="00683CF6" w:rsidP="00683CF6">
      <w:pPr>
        <w:pStyle w:val="GG-body"/>
        <w:ind w:left="993" w:hanging="284"/>
      </w:pPr>
      <w:r w:rsidRPr="00F05867">
        <w:t>•</w:t>
      </w:r>
      <w:r w:rsidRPr="00F05867">
        <w:tab/>
        <w:t>a summary of the amount of overburden/waste mined during the reporting period, the amount of overburden/waste to be mined during the next period and the amount of overburden/waste mined since commencement of authorised operations.</w:t>
      </w:r>
    </w:p>
    <w:p w:rsidR="00683CF6" w:rsidRDefault="00683CF6" w:rsidP="00683CF6">
      <w:pPr>
        <w:rPr>
          <w:b/>
        </w:rPr>
      </w:pPr>
      <w:r>
        <w:rPr>
          <w:b/>
        </w:rPr>
        <w:br w:type="page"/>
      </w:r>
    </w:p>
    <w:p w:rsidR="00683CF6" w:rsidRPr="00426C64" w:rsidRDefault="00683CF6" w:rsidP="00683CF6">
      <w:pPr>
        <w:pStyle w:val="GG-body"/>
        <w:ind w:left="709" w:hanging="425"/>
        <w:rPr>
          <w:b/>
        </w:rPr>
      </w:pPr>
      <w:r w:rsidRPr="00426C64">
        <w:rPr>
          <w:b/>
        </w:rPr>
        <w:t>3.6</w:t>
      </w:r>
      <w:r w:rsidRPr="00426C64">
        <w:rPr>
          <w:b/>
        </w:rPr>
        <w:tab/>
        <w:t>Compliance with environmental outcomes/objectives and leading indicator criteria</w:t>
      </w:r>
    </w:p>
    <w:p w:rsidR="00683CF6" w:rsidRPr="00761358" w:rsidRDefault="00683CF6" w:rsidP="00683CF6">
      <w:pPr>
        <w:pStyle w:val="GG-body"/>
        <w:ind w:left="709"/>
      </w:pPr>
      <w:r w:rsidRPr="00F05867">
        <w:t>Provide:</w:t>
      </w:r>
    </w:p>
    <w:p w:rsidR="00683CF6" w:rsidRPr="00F05867" w:rsidRDefault="00683CF6" w:rsidP="00683CF6">
      <w:pPr>
        <w:pStyle w:val="GG-body"/>
        <w:ind w:left="993" w:hanging="284"/>
      </w:pPr>
      <w:r w:rsidRPr="00F05867">
        <w:t>•</w:t>
      </w:r>
      <w:r w:rsidRPr="00F05867">
        <w:tab/>
        <w:t>a statement that operations were, or were not, compliant with each environmental outcome/objective (including completion outcomes/objectives) specified in the tenement conditions or approved PEPR/MOP. The statement must be supported by a summary of measurement criteria data that clearly demonstrates the conclusion that the environmental outcome/objective was (or was not) fully achieved; and</w:t>
      </w:r>
    </w:p>
    <w:p w:rsidR="00683CF6" w:rsidRPr="00761358" w:rsidRDefault="00683CF6" w:rsidP="00683CF6">
      <w:pPr>
        <w:pStyle w:val="GG-body"/>
        <w:ind w:left="993" w:hanging="284"/>
      </w:pPr>
      <w:r w:rsidRPr="00F05867">
        <w:t>•</w:t>
      </w:r>
      <w:r w:rsidRPr="00F05867">
        <w:tab/>
        <w:t>summarise data relating to any leading indicator criteria in the approved PEPR/MOP. If any leading indicator criteria have been or will become relevant to the operation of any control strategy, the report must state the actions that were taken and whether the relevant controls strategies continue to be effective.</w:t>
      </w:r>
    </w:p>
    <w:p w:rsidR="00683CF6" w:rsidRPr="00426C64" w:rsidRDefault="00683CF6" w:rsidP="00683CF6">
      <w:pPr>
        <w:pStyle w:val="GG-body"/>
        <w:ind w:left="709" w:hanging="425"/>
        <w:rPr>
          <w:b/>
        </w:rPr>
      </w:pPr>
      <w:r w:rsidRPr="00426C64">
        <w:rPr>
          <w:b/>
        </w:rPr>
        <w:t>3.7</w:t>
      </w:r>
      <w:r w:rsidRPr="00426C64">
        <w:rPr>
          <w:b/>
        </w:rPr>
        <w:tab/>
        <w:t>Compliance with non</w:t>
      </w:r>
      <w:r w:rsidRPr="00426C64">
        <w:rPr>
          <w:b/>
          <w:i/>
        </w:rPr>
        <w:t>-</w:t>
      </w:r>
      <w:r w:rsidRPr="00426C64">
        <w:rPr>
          <w:b/>
        </w:rPr>
        <w:t>outcome</w:t>
      </w:r>
      <w:r w:rsidRPr="00426C64">
        <w:rPr>
          <w:b/>
          <w:i/>
        </w:rPr>
        <w:t>-</w:t>
      </w:r>
      <w:r w:rsidRPr="00426C64">
        <w:rPr>
          <w:b/>
        </w:rPr>
        <w:t>based tenement conditions</w:t>
      </w:r>
    </w:p>
    <w:p w:rsidR="00683CF6" w:rsidRPr="00761358" w:rsidRDefault="00683CF6" w:rsidP="00683CF6">
      <w:pPr>
        <w:pStyle w:val="GG-body"/>
        <w:ind w:left="709"/>
      </w:pPr>
      <w:r w:rsidRPr="00F05867">
        <w:t>Provide:</w:t>
      </w:r>
    </w:p>
    <w:p w:rsidR="00683CF6" w:rsidRPr="00761358" w:rsidRDefault="00683CF6" w:rsidP="00683CF6">
      <w:pPr>
        <w:pStyle w:val="GG-body"/>
        <w:ind w:left="993" w:hanging="284"/>
      </w:pPr>
      <w:r w:rsidRPr="00F05867">
        <w:t>•</w:t>
      </w:r>
      <w:r w:rsidRPr="00F05867">
        <w:tab/>
        <w:t>a statement on the compliance status of any tenement conditions that do not relate to an environmental outcome in the approved PEPR; and</w:t>
      </w:r>
    </w:p>
    <w:p w:rsidR="00683CF6" w:rsidRPr="00761358" w:rsidRDefault="00683CF6" w:rsidP="00683CF6">
      <w:pPr>
        <w:pStyle w:val="GG-body"/>
        <w:ind w:left="993" w:hanging="284"/>
      </w:pPr>
      <w:r w:rsidRPr="00F05867">
        <w:t>•</w:t>
      </w:r>
      <w:r w:rsidRPr="00F05867">
        <w:tab/>
        <w:t>evidence to support the statement of compliance.</w:t>
      </w:r>
    </w:p>
    <w:p w:rsidR="00683CF6" w:rsidRPr="00426C64" w:rsidRDefault="00683CF6" w:rsidP="00683CF6">
      <w:pPr>
        <w:pStyle w:val="GG-body"/>
        <w:ind w:left="709" w:hanging="425"/>
        <w:rPr>
          <w:b/>
        </w:rPr>
      </w:pPr>
      <w:r w:rsidRPr="00426C64">
        <w:rPr>
          <w:b/>
        </w:rPr>
        <w:t>3.8</w:t>
      </w:r>
      <w:r w:rsidRPr="00426C64">
        <w:rPr>
          <w:b/>
        </w:rPr>
        <w:tab/>
        <w:t>Rectification of non</w:t>
      </w:r>
      <w:r w:rsidRPr="00426C64">
        <w:rPr>
          <w:b/>
          <w:i/>
        </w:rPr>
        <w:t>-</w:t>
      </w:r>
      <w:r w:rsidRPr="00426C64">
        <w:rPr>
          <w:b/>
        </w:rPr>
        <w:t>compliance</w:t>
      </w:r>
    </w:p>
    <w:p w:rsidR="00683CF6" w:rsidRPr="00F05867" w:rsidRDefault="00683CF6" w:rsidP="00683CF6">
      <w:pPr>
        <w:pStyle w:val="GG-body"/>
        <w:ind w:left="709"/>
      </w:pPr>
      <w:r w:rsidRPr="00F05867">
        <w:t>Where instances of non</w:t>
      </w:r>
      <w:r w:rsidRPr="00D717D1">
        <w:rPr>
          <w:i/>
        </w:rPr>
        <w:t>-</w:t>
      </w:r>
      <w:r w:rsidRPr="00F05867">
        <w:t>compliance have occurred during the current reporting period, provide the following information for each non</w:t>
      </w:r>
      <w:r w:rsidRPr="00D717D1">
        <w:rPr>
          <w:i/>
        </w:rPr>
        <w:t>-</w:t>
      </w:r>
      <w:r w:rsidRPr="00F05867">
        <w:t>compliance (excluding regulation 79(4)(d) leading indicator of the</w:t>
      </w:r>
      <w:r w:rsidRPr="00761358">
        <w:rPr>
          <w:i/>
        </w:rPr>
        <w:t xml:space="preserve"> Mining Regulations 2020</w:t>
      </w:r>
      <w:r w:rsidRPr="00F05867">
        <w:t>):</w:t>
      </w:r>
    </w:p>
    <w:p w:rsidR="00683CF6" w:rsidRPr="00761358" w:rsidRDefault="00683CF6" w:rsidP="00683CF6">
      <w:pPr>
        <w:pStyle w:val="GG-body"/>
        <w:ind w:left="993" w:hanging="284"/>
      </w:pPr>
      <w:r w:rsidRPr="00F05867">
        <w:t>•</w:t>
      </w:r>
      <w:r w:rsidRPr="00F05867">
        <w:tab/>
        <w:t>The date of the incident.</w:t>
      </w:r>
    </w:p>
    <w:p w:rsidR="00683CF6" w:rsidRPr="00F05867" w:rsidRDefault="00683CF6" w:rsidP="00683CF6">
      <w:pPr>
        <w:pStyle w:val="GG-body"/>
        <w:ind w:left="993" w:hanging="284"/>
      </w:pPr>
      <w:r w:rsidRPr="00F05867">
        <w:t>•</w:t>
      </w:r>
      <w:r w:rsidRPr="00F05867">
        <w:tab/>
        <w:t>Type and description of the reportable incident.</w:t>
      </w:r>
    </w:p>
    <w:p w:rsidR="00683CF6" w:rsidRPr="00F05867" w:rsidRDefault="00683CF6" w:rsidP="00683CF6">
      <w:pPr>
        <w:pStyle w:val="GG-body"/>
        <w:ind w:left="993" w:hanging="284"/>
      </w:pPr>
      <w:r w:rsidRPr="00F05867">
        <w:t>•</w:t>
      </w:r>
      <w:r w:rsidRPr="00F05867">
        <w:tab/>
        <w:t>The date the incident was reported under regulation 79 of the</w:t>
      </w:r>
      <w:r w:rsidRPr="00761358">
        <w:rPr>
          <w:i/>
        </w:rPr>
        <w:t xml:space="preserve"> Mining Regulations 2020</w:t>
      </w:r>
      <w:r w:rsidRPr="00F05867">
        <w:t xml:space="preserve"> or other reporting protocol endorsed by the Government of SA (including the South Australian Uranium Incident Reporting Protocol).</w:t>
      </w:r>
    </w:p>
    <w:p w:rsidR="00683CF6" w:rsidRPr="00F05867" w:rsidRDefault="00683CF6" w:rsidP="00683CF6">
      <w:pPr>
        <w:pStyle w:val="GG-body"/>
        <w:ind w:left="993" w:hanging="284"/>
      </w:pPr>
      <w:r w:rsidRPr="00F05867">
        <w:t>•</w:t>
      </w:r>
      <w:r w:rsidRPr="00F05867">
        <w:tab/>
        <w:t>The cause of the non</w:t>
      </w:r>
      <w:r w:rsidRPr="00D717D1">
        <w:rPr>
          <w:i/>
        </w:rPr>
        <w:t>-</w:t>
      </w:r>
      <w:r w:rsidRPr="00F05867">
        <w:t>compliance.</w:t>
      </w:r>
    </w:p>
    <w:p w:rsidR="00683CF6" w:rsidRPr="00F05867" w:rsidRDefault="00683CF6" w:rsidP="00683CF6">
      <w:pPr>
        <w:pStyle w:val="GG-body"/>
        <w:ind w:left="993" w:hanging="284"/>
      </w:pPr>
      <w:r w:rsidRPr="00F05867">
        <w:t>•</w:t>
      </w:r>
      <w:r w:rsidRPr="00F05867">
        <w:tab/>
        <w:t>Any actions taken or yet to be taken to rectify the non</w:t>
      </w:r>
      <w:r w:rsidRPr="00D717D1">
        <w:rPr>
          <w:i/>
        </w:rPr>
        <w:t>-</w:t>
      </w:r>
      <w:r w:rsidRPr="00F05867">
        <w:t>compliance and to prevent the reoccurrence of any such non</w:t>
      </w:r>
      <w:r w:rsidRPr="00D717D1">
        <w:rPr>
          <w:i/>
        </w:rPr>
        <w:t>-</w:t>
      </w:r>
      <w:r w:rsidRPr="00F05867">
        <w:t>compliance.</w:t>
      </w:r>
    </w:p>
    <w:p w:rsidR="00683CF6" w:rsidRPr="00761358" w:rsidRDefault="00683CF6" w:rsidP="00683CF6">
      <w:pPr>
        <w:pStyle w:val="GG-body"/>
        <w:ind w:left="993" w:hanging="284"/>
      </w:pPr>
      <w:r w:rsidRPr="00F05867">
        <w:t>•</w:t>
      </w:r>
      <w:r w:rsidRPr="00F05867">
        <w:tab/>
        <w:t>Where non</w:t>
      </w:r>
      <w:r w:rsidRPr="00D717D1">
        <w:rPr>
          <w:i/>
        </w:rPr>
        <w:t>-</w:t>
      </w:r>
      <w:r w:rsidRPr="00F05867">
        <w:t>compliances under regulation 79 of the</w:t>
      </w:r>
      <w:r w:rsidRPr="00761358">
        <w:rPr>
          <w:i/>
        </w:rPr>
        <w:t xml:space="preserve"> Mining Regulations 2020</w:t>
      </w:r>
      <w:r w:rsidRPr="00F05867">
        <w:t xml:space="preserve"> have previously been reported in compliance reports and not fully rectified at the time of reporting, a status update to assess the effectiveness of rectification.</w:t>
      </w:r>
    </w:p>
    <w:p w:rsidR="00683CF6" w:rsidRPr="00426C64" w:rsidRDefault="00683CF6" w:rsidP="00683CF6">
      <w:pPr>
        <w:pStyle w:val="GG-body"/>
        <w:ind w:left="709" w:hanging="425"/>
        <w:rPr>
          <w:b/>
        </w:rPr>
      </w:pPr>
      <w:r w:rsidRPr="00426C64">
        <w:rPr>
          <w:b/>
        </w:rPr>
        <w:t>3.9</w:t>
      </w:r>
      <w:r w:rsidRPr="00426C64">
        <w:rPr>
          <w:b/>
        </w:rPr>
        <w:tab/>
        <w:t>Disturbance and rehabilitation activities</w:t>
      </w:r>
    </w:p>
    <w:p w:rsidR="00683CF6" w:rsidRPr="00761358" w:rsidRDefault="00683CF6" w:rsidP="00683CF6">
      <w:pPr>
        <w:pStyle w:val="GG-body"/>
        <w:ind w:left="709"/>
      </w:pPr>
      <w:r w:rsidRPr="00F05867">
        <w:t>Provide a summary of the disturbance and rehabilitation activities, including:</w:t>
      </w:r>
    </w:p>
    <w:p w:rsidR="00683CF6" w:rsidRPr="00761358" w:rsidRDefault="00683CF6" w:rsidP="00683CF6">
      <w:pPr>
        <w:pStyle w:val="GG-body"/>
        <w:ind w:left="993" w:hanging="284"/>
      </w:pPr>
      <w:r w:rsidRPr="00F05867">
        <w:t>•</w:t>
      </w:r>
      <w:r w:rsidRPr="00F05867">
        <w:tab/>
        <w:t>the amount of land disturbed, and activity that created the disturbance, in the reporting period</w:t>
      </w:r>
    </w:p>
    <w:p w:rsidR="00683CF6" w:rsidRPr="00F05867" w:rsidRDefault="00683CF6" w:rsidP="00683CF6">
      <w:pPr>
        <w:pStyle w:val="GG-body"/>
        <w:ind w:left="993" w:hanging="284"/>
      </w:pPr>
      <w:r w:rsidRPr="00F05867">
        <w:t>•</w:t>
      </w:r>
      <w:r w:rsidRPr="00F05867">
        <w:tab/>
        <w:t>rehabilitation works carried out in the reporting period</w:t>
      </w:r>
    </w:p>
    <w:p w:rsidR="00683CF6" w:rsidRPr="00761358" w:rsidRDefault="00683CF6" w:rsidP="00683CF6">
      <w:pPr>
        <w:pStyle w:val="GG-body"/>
        <w:ind w:left="993" w:hanging="284"/>
      </w:pPr>
      <w:r w:rsidRPr="00F05867">
        <w:t>•</w:t>
      </w:r>
      <w:r w:rsidRPr="00F05867">
        <w:tab/>
        <w:t>the amount of land where rehabilitation works are completed</w:t>
      </w:r>
    </w:p>
    <w:p w:rsidR="00683CF6" w:rsidRPr="00761358" w:rsidRDefault="00683CF6" w:rsidP="00683CF6">
      <w:pPr>
        <w:pStyle w:val="GG-body"/>
        <w:ind w:left="993" w:hanging="284"/>
      </w:pPr>
      <w:r w:rsidRPr="00F05867">
        <w:t>•</w:t>
      </w:r>
      <w:r w:rsidRPr="00F05867">
        <w:tab/>
        <w:t>an estimated amount of land to be rehabilitated in the next reporting period</w:t>
      </w:r>
    </w:p>
    <w:p w:rsidR="00683CF6" w:rsidRPr="00761358" w:rsidRDefault="00683CF6" w:rsidP="00683CF6">
      <w:pPr>
        <w:pStyle w:val="GG-body"/>
        <w:ind w:left="993" w:hanging="284"/>
      </w:pPr>
      <w:r w:rsidRPr="00F05867">
        <w:t>•</w:t>
      </w:r>
      <w:r w:rsidRPr="00F05867">
        <w:tab/>
        <w:t>strategies implemented to avoid or minimise disturbance; and</w:t>
      </w:r>
    </w:p>
    <w:p w:rsidR="00683CF6" w:rsidRPr="00761358" w:rsidRDefault="00683CF6" w:rsidP="00683CF6">
      <w:pPr>
        <w:pStyle w:val="GG-body"/>
        <w:ind w:left="993" w:hanging="284"/>
      </w:pPr>
      <w:r w:rsidRPr="00F05867">
        <w:t>•</w:t>
      </w:r>
      <w:r w:rsidRPr="00F05867">
        <w:tab/>
        <w:t>any potential improvements learned from previous rehabilitation activities.</w:t>
      </w:r>
    </w:p>
    <w:p w:rsidR="00683CF6" w:rsidRPr="00426C64" w:rsidRDefault="00683CF6" w:rsidP="00683CF6">
      <w:pPr>
        <w:pStyle w:val="GG-body"/>
        <w:ind w:left="709" w:hanging="425"/>
        <w:rPr>
          <w:b/>
        </w:rPr>
      </w:pPr>
      <w:r w:rsidRPr="00426C64">
        <w:rPr>
          <w:b/>
        </w:rPr>
        <w:t>3.10</w:t>
      </w:r>
      <w:r w:rsidRPr="00426C64">
        <w:rPr>
          <w:b/>
        </w:rPr>
        <w:tab/>
        <w:t>Reconciliation of native vegetation clearance</w:t>
      </w:r>
    </w:p>
    <w:p w:rsidR="00683CF6" w:rsidRPr="00761358" w:rsidRDefault="00683CF6" w:rsidP="00683CF6">
      <w:pPr>
        <w:pStyle w:val="GG-body"/>
        <w:ind w:left="709"/>
      </w:pPr>
      <w:r w:rsidRPr="00F05867">
        <w:t xml:space="preserve">Where the PEPR/MOP includes an approved native vegetation management plan (NVMP) for the clearance of native vegetation under the </w:t>
      </w:r>
      <w:r w:rsidRPr="00C36E6F">
        <w:rPr>
          <w:i/>
        </w:rPr>
        <w:t>Native Vegetation Act 1991</w:t>
      </w:r>
      <w:r w:rsidRPr="00F05867">
        <w:t>, include:</w:t>
      </w:r>
    </w:p>
    <w:p w:rsidR="00683CF6" w:rsidRPr="00761358" w:rsidRDefault="00683CF6" w:rsidP="00683CF6">
      <w:pPr>
        <w:pStyle w:val="GG-body"/>
        <w:ind w:left="993" w:hanging="284"/>
      </w:pPr>
      <w:r w:rsidRPr="00F05867">
        <w:t>•</w:t>
      </w:r>
      <w:r w:rsidRPr="00F05867">
        <w:tab/>
        <w:t>the approved maximum native vegetation clearance, as described in the PEPR/MOP (in hectares and shown on a plan)</w:t>
      </w:r>
    </w:p>
    <w:p w:rsidR="00683CF6" w:rsidRPr="00761358" w:rsidRDefault="00683CF6" w:rsidP="00683CF6">
      <w:pPr>
        <w:pStyle w:val="GG-body"/>
        <w:ind w:left="993" w:hanging="284"/>
      </w:pPr>
      <w:r w:rsidRPr="00F05867">
        <w:t>•</w:t>
      </w:r>
      <w:r w:rsidRPr="00F05867">
        <w:tab/>
        <w:t>the amount of native vegetation cleared in the reporting period (in hectares and shown on a plan)</w:t>
      </w:r>
    </w:p>
    <w:p w:rsidR="00683CF6" w:rsidRPr="00761358" w:rsidRDefault="00683CF6" w:rsidP="00683CF6">
      <w:pPr>
        <w:pStyle w:val="GG-body"/>
        <w:ind w:left="993" w:hanging="284"/>
      </w:pPr>
      <w:r w:rsidRPr="00F05867">
        <w:t>•</w:t>
      </w:r>
      <w:r w:rsidRPr="00F05867">
        <w:tab/>
        <w:t>the total amount cleared to date</w:t>
      </w:r>
    </w:p>
    <w:p w:rsidR="00683CF6" w:rsidRPr="00761358" w:rsidRDefault="00683CF6" w:rsidP="00683CF6">
      <w:pPr>
        <w:pStyle w:val="GG-body"/>
        <w:ind w:left="993" w:hanging="284"/>
      </w:pPr>
      <w:r w:rsidRPr="00F05867">
        <w:t>•</w:t>
      </w:r>
      <w:r w:rsidRPr="00F05867">
        <w:tab/>
        <w:t>an estimated amount proposed to be cleared in the next reporting period; and</w:t>
      </w:r>
    </w:p>
    <w:p w:rsidR="00683CF6" w:rsidRPr="00761358" w:rsidRDefault="00683CF6" w:rsidP="00683CF6">
      <w:pPr>
        <w:pStyle w:val="GG-body"/>
        <w:ind w:left="993" w:hanging="284"/>
      </w:pPr>
      <w:r w:rsidRPr="00F05867">
        <w:t>•</w:t>
      </w:r>
      <w:r w:rsidRPr="00F05867">
        <w:tab/>
        <w:t>provision of information, including annual monitoring and progress reports to demonstrate compliance with the NVMP where the Significant Environmental Benefit (SEB) is being provided by the tenement holder or mine operator by way of an on</w:t>
      </w:r>
      <w:r w:rsidRPr="00D717D1">
        <w:rPr>
          <w:i/>
        </w:rPr>
        <w:t>-</w:t>
      </w:r>
      <w:r w:rsidRPr="00F05867">
        <w:t>ground SEB offset.</w:t>
      </w:r>
    </w:p>
    <w:p w:rsidR="00683CF6" w:rsidRPr="00426C64" w:rsidRDefault="00683CF6" w:rsidP="00683CF6">
      <w:pPr>
        <w:pStyle w:val="GG-body"/>
        <w:ind w:left="709" w:hanging="425"/>
        <w:rPr>
          <w:b/>
        </w:rPr>
      </w:pPr>
      <w:r w:rsidRPr="00426C64">
        <w:rPr>
          <w:b/>
        </w:rPr>
        <w:t>3.11</w:t>
      </w:r>
      <w:r w:rsidRPr="00426C64">
        <w:rPr>
          <w:b/>
        </w:rPr>
        <w:tab/>
        <w:t>Environment Protection and Biodiversity Conservation Act 1999 reporting</w:t>
      </w:r>
    </w:p>
    <w:p w:rsidR="00683CF6" w:rsidRPr="00761358" w:rsidRDefault="00683CF6" w:rsidP="00683CF6">
      <w:pPr>
        <w:pStyle w:val="GG-body"/>
        <w:ind w:left="709"/>
      </w:pPr>
      <w:r w:rsidRPr="00F05867">
        <w:t xml:space="preserve">Where the authorised operations were the subject of an approval under the </w:t>
      </w:r>
      <w:r w:rsidRPr="00C36E6F">
        <w:rPr>
          <w:i/>
        </w:rPr>
        <w:t>Commonwealth Environment Protection and Biodiversity Conservation Act 1999</w:t>
      </w:r>
      <w:r w:rsidRPr="00F05867">
        <w:t xml:space="preserve"> (EPBC Act), include a summary report demonstrating compliance with all EPBC Act approval conditions.</w:t>
      </w:r>
    </w:p>
    <w:p w:rsidR="00683CF6" w:rsidRPr="00426C64" w:rsidRDefault="00683CF6" w:rsidP="00683CF6">
      <w:pPr>
        <w:pStyle w:val="GG-body"/>
        <w:ind w:left="709" w:hanging="425"/>
        <w:rPr>
          <w:b/>
        </w:rPr>
      </w:pPr>
      <w:r w:rsidRPr="00426C64">
        <w:rPr>
          <w:b/>
        </w:rPr>
        <w:t>3.12</w:t>
      </w:r>
      <w:r w:rsidRPr="00426C64">
        <w:rPr>
          <w:b/>
        </w:rPr>
        <w:tab/>
        <w:t>Exempt land</w:t>
      </w:r>
    </w:p>
    <w:p w:rsidR="00683CF6" w:rsidRPr="00761358" w:rsidRDefault="00683CF6" w:rsidP="00683CF6">
      <w:pPr>
        <w:pStyle w:val="GG-body"/>
        <w:ind w:left="709"/>
      </w:pPr>
      <w:r w:rsidRPr="00F05867">
        <w:t>Provide:</w:t>
      </w:r>
    </w:p>
    <w:p w:rsidR="00683CF6" w:rsidRPr="00F05867" w:rsidRDefault="00683CF6" w:rsidP="00683CF6">
      <w:pPr>
        <w:pStyle w:val="GG-body"/>
        <w:ind w:left="993" w:hanging="284"/>
      </w:pPr>
      <w:r w:rsidRPr="00F05867">
        <w:t>•</w:t>
      </w:r>
      <w:r w:rsidRPr="00F05867">
        <w:tab/>
        <w:t>a statement that all waivers for land relevant to the authorised operations are in place, and compliant with exempt land provisions, in accordance with Section 9 of the</w:t>
      </w:r>
      <w:r w:rsidRPr="00761358">
        <w:rPr>
          <w:i/>
        </w:rPr>
        <w:t xml:space="preserve"> Mining Act 1971</w:t>
      </w:r>
    </w:p>
    <w:p w:rsidR="00683CF6" w:rsidRPr="00761358" w:rsidRDefault="00683CF6" w:rsidP="00683CF6">
      <w:pPr>
        <w:pStyle w:val="GG-body"/>
        <w:ind w:left="993" w:hanging="284"/>
      </w:pPr>
      <w:r w:rsidRPr="00F05867">
        <w:t>•</w:t>
      </w:r>
      <w:r w:rsidRPr="00F05867">
        <w:tab/>
        <w:t>an update on whether notice has been given to the Mining Registrar that an exempt land agreement has been entered into</w:t>
      </w:r>
    </w:p>
    <w:p w:rsidR="00683CF6" w:rsidRPr="00F05867" w:rsidRDefault="00683CF6" w:rsidP="00683CF6">
      <w:pPr>
        <w:pStyle w:val="GG-body"/>
        <w:ind w:left="993" w:hanging="284"/>
      </w:pPr>
      <w:r w:rsidRPr="00F05867">
        <w:t>•</w:t>
      </w:r>
      <w:r w:rsidRPr="00F05867">
        <w:tab/>
        <w:t>where the authorised operations extract an amount exceeding 100,000 tonnes per annum or have an estimated rehabilitation liability (as set out in the PEPR/MOP) above $1,000,000AUD</w:t>
      </w:r>
      <w:r w:rsidRPr="00D717D1">
        <w:rPr>
          <w:i/>
        </w:rPr>
        <w:t>—</w:t>
      </w:r>
      <w:r w:rsidRPr="00F05867">
        <w:t>provide:</w:t>
      </w:r>
    </w:p>
    <w:p w:rsidR="00683CF6" w:rsidRPr="00761358" w:rsidRDefault="00683CF6" w:rsidP="00683CF6">
      <w:pPr>
        <w:pStyle w:val="GG-body"/>
        <w:ind w:left="1276" w:hanging="283"/>
      </w:pPr>
      <w:r>
        <w:t>◦</w:t>
      </w:r>
      <w:r w:rsidRPr="00F05867">
        <w:tab/>
        <w:t>the status of exempt land, including:</w:t>
      </w:r>
    </w:p>
    <w:p w:rsidR="00683CF6" w:rsidRPr="00F05867" w:rsidRDefault="00683CF6" w:rsidP="00683CF6">
      <w:pPr>
        <w:pStyle w:val="GG-body"/>
        <w:ind w:left="1560" w:hanging="284"/>
      </w:pPr>
      <w:r>
        <w:t>-</w:t>
      </w:r>
      <w:r w:rsidRPr="00F05867">
        <w:tab/>
        <w:t>name of person entitled to exemption</w:t>
      </w:r>
    </w:p>
    <w:p w:rsidR="00683CF6" w:rsidRPr="00F05867" w:rsidRDefault="00683CF6" w:rsidP="00683CF6">
      <w:pPr>
        <w:pStyle w:val="GG-body"/>
        <w:ind w:left="1560" w:hanging="284"/>
      </w:pPr>
      <w:r>
        <w:t>-</w:t>
      </w:r>
      <w:r w:rsidRPr="00F05867">
        <w:tab/>
        <w:t>certificate of title or crown land details</w:t>
      </w:r>
    </w:p>
    <w:p w:rsidR="00683CF6" w:rsidRPr="00F05867" w:rsidRDefault="00683CF6" w:rsidP="00683CF6">
      <w:pPr>
        <w:pStyle w:val="GG-body"/>
        <w:ind w:left="1560" w:hanging="284"/>
      </w:pPr>
      <w:r>
        <w:t>-</w:t>
      </w:r>
      <w:r w:rsidRPr="00F05867">
        <w:tab/>
        <w:t>reason for exemption</w:t>
      </w:r>
    </w:p>
    <w:p w:rsidR="00683CF6" w:rsidRDefault="00683CF6" w:rsidP="00683CF6">
      <w:r>
        <w:br w:type="page"/>
      </w:r>
    </w:p>
    <w:p w:rsidR="00683CF6" w:rsidRPr="00F05867" w:rsidRDefault="00683CF6" w:rsidP="00683CF6">
      <w:pPr>
        <w:pStyle w:val="GG-body"/>
        <w:ind w:left="1560" w:hanging="284"/>
      </w:pPr>
      <w:r>
        <w:t>-</w:t>
      </w:r>
      <w:r w:rsidRPr="00F05867">
        <w:tab/>
        <w:t>area of exemption (hectares)</w:t>
      </w:r>
    </w:p>
    <w:p w:rsidR="00683CF6" w:rsidRPr="00761358" w:rsidRDefault="00683CF6" w:rsidP="00683CF6">
      <w:pPr>
        <w:pStyle w:val="GG-body"/>
        <w:ind w:left="1560" w:hanging="284"/>
      </w:pPr>
      <w:r>
        <w:t>-</w:t>
      </w:r>
      <w:r w:rsidRPr="00F05867">
        <w:tab/>
        <w:t>date waiver registered; and</w:t>
      </w:r>
    </w:p>
    <w:p w:rsidR="00683CF6" w:rsidRPr="00761358" w:rsidRDefault="00683CF6" w:rsidP="00683CF6">
      <w:pPr>
        <w:pStyle w:val="GG-body"/>
        <w:ind w:left="1560" w:hanging="284"/>
      </w:pPr>
      <w:r>
        <w:t>-</w:t>
      </w:r>
      <w:r w:rsidRPr="00F05867">
        <w:tab/>
        <w:t>any relevant condition</w:t>
      </w:r>
    </w:p>
    <w:p w:rsidR="00683CF6" w:rsidRPr="00761358" w:rsidRDefault="00683CF6" w:rsidP="00683CF6">
      <w:pPr>
        <w:pStyle w:val="GG-body"/>
        <w:ind w:left="1276" w:hanging="283"/>
      </w:pPr>
      <w:r>
        <w:t>◦</w:t>
      </w:r>
      <w:r w:rsidRPr="00F05867">
        <w:tab/>
        <w:t>a plan showing all exempt land relevant to the authorised operations. The plan must detail the extent of authorised operations at the end of the reporting period.</w:t>
      </w:r>
    </w:p>
    <w:p w:rsidR="00683CF6" w:rsidRPr="00426C64" w:rsidRDefault="00683CF6" w:rsidP="00683CF6">
      <w:pPr>
        <w:pStyle w:val="GG-body"/>
        <w:ind w:left="709" w:hanging="425"/>
        <w:rPr>
          <w:b/>
        </w:rPr>
      </w:pPr>
      <w:r w:rsidRPr="00426C64">
        <w:rPr>
          <w:b/>
        </w:rPr>
        <w:t>3.13</w:t>
      </w:r>
      <w:r w:rsidRPr="00426C64">
        <w:rPr>
          <w:b/>
        </w:rPr>
        <w:tab/>
        <w:t>Complaints</w:t>
      </w:r>
    </w:p>
    <w:p w:rsidR="00683CF6" w:rsidRPr="00761358" w:rsidRDefault="00683CF6" w:rsidP="00683CF6">
      <w:pPr>
        <w:pStyle w:val="GG-body"/>
        <w:ind w:left="709"/>
      </w:pPr>
      <w:r w:rsidRPr="00F05867">
        <w:t>Provide a summary of any complaints received during the reporting period. For each complaint provide:</w:t>
      </w:r>
    </w:p>
    <w:p w:rsidR="00683CF6" w:rsidRPr="00761358" w:rsidRDefault="00683CF6" w:rsidP="00683CF6">
      <w:pPr>
        <w:pStyle w:val="GG-body"/>
        <w:ind w:left="993" w:hanging="284"/>
      </w:pPr>
      <w:r w:rsidRPr="00F05867">
        <w:t>•</w:t>
      </w:r>
      <w:r w:rsidRPr="00F05867">
        <w:tab/>
        <w:t>the date of complaint</w:t>
      </w:r>
    </w:p>
    <w:p w:rsidR="00683CF6" w:rsidRPr="00761358" w:rsidRDefault="00683CF6" w:rsidP="00683CF6">
      <w:pPr>
        <w:pStyle w:val="GG-body"/>
        <w:ind w:left="993" w:hanging="284"/>
      </w:pPr>
      <w:r w:rsidRPr="00F05867">
        <w:t>•</w:t>
      </w:r>
      <w:r w:rsidRPr="00F05867">
        <w:tab/>
        <w:t>the nature of the complaint</w:t>
      </w:r>
    </w:p>
    <w:p w:rsidR="00683CF6" w:rsidRPr="00761358" w:rsidRDefault="00683CF6" w:rsidP="00683CF6">
      <w:pPr>
        <w:pStyle w:val="GG-body"/>
        <w:ind w:left="993" w:hanging="284"/>
      </w:pPr>
      <w:r w:rsidRPr="00F05867">
        <w:t>•</w:t>
      </w:r>
      <w:r w:rsidRPr="00F05867">
        <w:tab/>
        <w:t>whether or not it related to a non</w:t>
      </w:r>
      <w:r w:rsidRPr="00D717D1">
        <w:rPr>
          <w:i/>
        </w:rPr>
        <w:t>-</w:t>
      </w:r>
      <w:r w:rsidRPr="00F05867">
        <w:t>compliance</w:t>
      </w:r>
    </w:p>
    <w:p w:rsidR="00683CF6" w:rsidRPr="00761358" w:rsidRDefault="00683CF6" w:rsidP="00683CF6">
      <w:pPr>
        <w:pStyle w:val="GG-body"/>
        <w:ind w:left="993" w:hanging="284"/>
      </w:pPr>
      <w:r w:rsidRPr="00F05867">
        <w:t>•</w:t>
      </w:r>
      <w:r w:rsidRPr="00F05867">
        <w:tab/>
        <w:t>what action was taken to address the complaint (or yet to be taken); and</w:t>
      </w:r>
    </w:p>
    <w:p w:rsidR="00683CF6" w:rsidRPr="00761358" w:rsidRDefault="00683CF6" w:rsidP="00683CF6">
      <w:pPr>
        <w:pStyle w:val="GG-body"/>
        <w:ind w:left="993" w:hanging="284"/>
      </w:pPr>
      <w:r w:rsidRPr="00F05867">
        <w:t>•</w:t>
      </w:r>
      <w:r w:rsidRPr="00F05867">
        <w:tab/>
        <w:t>the date the complaint was resolved.</w:t>
      </w:r>
    </w:p>
    <w:p w:rsidR="00683CF6" w:rsidRPr="00426C64" w:rsidRDefault="00683CF6" w:rsidP="00683CF6">
      <w:pPr>
        <w:pStyle w:val="GG-body"/>
        <w:ind w:left="709" w:hanging="425"/>
        <w:rPr>
          <w:b/>
        </w:rPr>
      </w:pPr>
      <w:r w:rsidRPr="00426C64">
        <w:rPr>
          <w:b/>
        </w:rPr>
        <w:t>3.14</w:t>
      </w:r>
      <w:r w:rsidRPr="00426C64">
        <w:rPr>
          <w:b/>
        </w:rPr>
        <w:tab/>
        <w:t>Management system reviews</w:t>
      </w:r>
    </w:p>
    <w:p w:rsidR="00683CF6" w:rsidRPr="00761358" w:rsidRDefault="00683CF6" w:rsidP="00683CF6">
      <w:pPr>
        <w:pStyle w:val="GG-body"/>
        <w:ind w:left="709"/>
      </w:pPr>
      <w:r w:rsidRPr="00F05867">
        <w:t>Where the authorised operations extract an amount exceeding 100,000 tonnes per annum or have an estimated rehabilitation liability (as set out in the PEPR/MOP) above $1,000,000AUD, provide a summary of any management system reviews undertaken during the reporting period in order to ensure compliance with relevant tenement conditions and environmental outcomes/objectives (including mine completion outcomes/objectives), including:</w:t>
      </w:r>
    </w:p>
    <w:p w:rsidR="00683CF6" w:rsidRPr="00761358" w:rsidRDefault="00683CF6" w:rsidP="00683CF6">
      <w:pPr>
        <w:pStyle w:val="GG-body"/>
        <w:ind w:left="993" w:hanging="284"/>
      </w:pPr>
      <w:r w:rsidRPr="00F05867">
        <w:t>•</w:t>
      </w:r>
      <w:r w:rsidRPr="00F05867">
        <w:tab/>
        <w:t>when an audit or review was undertaken</w:t>
      </w:r>
    </w:p>
    <w:p w:rsidR="00683CF6" w:rsidRPr="00761358" w:rsidRDefault="00683CF6" w:rsidP="00683CF6">
      <w:pPr>
        <w:pStyle w:val="GG-body"/>
        <w:ind w:left="993" w:hanging="284"/>
      </w:pPr>
      <w:r w:rsidRPr="00F05867">
        <w:t>•</w:t>
      </w:r>
      <w:r w:rsidRPr="00F05867">
        <w:tab/>
        <w:t>who undertook the audit or review</w:t>
      </w:r>
    </w:p>
    <w:p w:rsidR="00683CF6" w:rsidRPr="00761358" w:rsidRDefault="00683CF6" w:rsidP="00683CF6">
      <w:pPr>
        <w:pStyle w:val="GG-body"/>
        <w:ind w:left="993" w:hanging="284"/>
      </w:pPr>
      <w:r w:rsidRPr="00F05867">
        <w:t>•</w:t>
      </w:r>
      <w:r w:rsidRPr="00F05867">
        <w:tab/>
        <w:t>what aspect(s) of the management system was audited or reviewed</w:t>
      </w:r>
    </w:p>
    <w:p w:rsidR="00683CF6" w:rsidRPr="00761358" w:rsidRDefault="00683CF6" w:rsidP="00683CF6">
      <w:pPr>
        <w:pStyle w:val="GG-body"/>
        <w:ind w:left="993" w:hanging="284"/>
      </w:pPr>
      <w:r w:rsidRPr="00F05867">
        <w:t>•</w:t>
      </w:r>
      <w:r w:rsidRPr="00F05867">
        <w:tab/>
        <w:t>what issues, or recommendations for improvement, were noted</w:t>
      </w:r>
    </w:p>
    <w:p w:rsidR="00683CF6" w:rsidRPr="00761358" w:rsidRDefault="00683CF6" w:rsidP="00683CF6">
      <w:pPr>
        <w:pStyle w:val="GG-body"/>
        <w:ind w:left="993" w:hanging="284"/>
      </w:pPr>
      <w:r w:rsidRPr="00F05867">
        <w:t>•</w:t>
      </w:r>
      <w:r w:rsidRPr="00F05867">
        <w:tab/>
        <w:t>an assessment of any issues identified in the audit or review with the potential to lead to a non</w:t>
      </w:r>
      <w:r w:rsidRPr="00D717D1">
        <w:rPr>
          <w:i/>
        </w:rPr>
        <w:t>-</w:t>
      </w:r>
      <w:r w:rsidRPr="00F05867">
        <w:t>compliance with approved environmental outcomes/objective; and</w:t>
      </w:r>
    </w:p>
    <w:p w:rsidR="00683CF6" w:rsidRPr="00761358" w:rsidRDefault="00683CF6" w:rsidP="00683CF6">
      <w:pPr>
        <w:pStyle w:val="GG-body"/>
        <w:ind w:left="993" w:hanging="284"/>
      </w:pPr>
      <w:r w:rsidRPr="00F05867">
        <w:t>•</w:t>
      </w:r>
      <w:r w:rsidRPr="00F05867">
        <w:tab/>
        <w:t>what corrective action has been, or will be, taken to address any issues identified.</w:t>
      </w:r>
    </w:p>
    <w:p w:rsidR="00683CF6" w:rsidRPr="00426C64" w:rsidRDefault="00683CF6" w:rsidP="00683CF6">
      <w:pPr>
        <w:pStyle w:val="GG-body"/>
        <w:ind w:left="709" w:hanging="425"/>
        <w:rPr>
          <w:b/>
        </w:rPr>
      </w:pPr>
      <w:r w:rsidRPr="00426C64">
        <w:rPr>
          <w:b/>
        </w:rPr>
        <w:t>3.15</w:t>
      </w:r>
      <w:r w:rsidRPr="00426C64">
        <w:rPr>
          <w:b/>
        </w:rPr>
        <w:tab/>
        <w:t>Verification of uncertainty</w:t>
      </w:r>
    </w:p>
    <w:p w:rsidR="00683CF6" w:rsidRPr="00761358" w:rsidRDefault="00683CF6" w:rsidP="00683CF6">
      <w:pPr>
        <w:pStyle w:val="GG-body"/>
        <w:ind w:left="709"/>
      </w:pPr>
      <w:r w:rsidRPr="00F05867">
        <w:t>Where the authorised operations extract an amount exceeding 100,000 tonnes per annum or have an estimated rehabilitation liability (as set out in the PEPR/MOP) above $1,000,000AUD, provide:</w:t>
      </w:r>
    </w:p>
    <w:p w:rsidR="00683CF6" w:rsidRPr="00F05867" w:rsidRDefault="00683CF6" w:rsidP="00683CF6">
      <w:pPr>
        <w:pStyle w:val="GG-body"/>
        <w:ind w:left="993" w:hanging="284"/>
      </w:pPr>
      <w:r w:rsidRPr="00F05867">
        <w:t>•</w:t>
      </w:r>
      <w:r w:rsidRPr="00F05867">
        <w:tab/>
        <w:t>a description and status of works undertaken during the reporting period or proposed to be undertaken to address any identified uncertainties or assumptions made in the approved PEPR/MOP; and</w:t>
      </w:r>
    </w:p>
    <w:p w:rsidR="00683CF6" w:rsidRPr="00761358" w:rsidRDefault="00683CF6" w:rsidP="00683CF6">
      <w:pPr>
        <w:pStyle w:val="GG-body"/>
        <w:ind w:left="993" w:hanging="284"/>
      </w:pPr>
      <w:r w:rsidRPr="00F05867">
        <w:t>•</w:t>
      </w:r>
      <w:r w:rsidRPr="00F05867">
        <w:tab/>
        <w:t>a description and status of works undertaken during the reporting period or proposed to be undertaken to address any additional uncertainties or assumptions identified since the PEPR/MOP was approved.</w:t>
      </w:r>
    </w:p>
    <w:p w:rsidR="00683CF6" w:rsidRPr="00426C64" w:rsidRDefault="00683CF6" w:rsidP="00683CF6">
      <w:pPr>
        <w:pStyle w:val="GG-body"/>
        <w:ind w:left="709" w:hanging="425"/>
        <w:rPr>
          <w:b/>
        </w:rPr>
      </w:pPr>
      <w:r w:rsidRPr="00426C64">
        <w:rPr>
          <w:b/>
        </w:rPr>
        <w:t>3.16</w:t>
      </w:r>
      <w:r w:rsidRPr="00426C64">
        <w:rPr>
          <w:b/>
        </w:rPr>
        <w:tab/>
        <w:t>Changes to authorised operations and emerging environmental hazards</w:t>
      </w:r>
    </w:p>
    <w:p w:rsidR="00683CF6" w:rsidRPr="00F05867" w:rsidRDefault="00683CF6" w:rsidP="00683CF6">
      <w:pPr>
        <w:pStyle w:val="GG-body"/>
        <w:ind w:left="709"/>
      </w:pPr>
      <w:r w:rsidRPr="00F05867">
        <w:t>For the reporting period, provide a summary list of:</w:t>
      </w:r>
    </w:p>
    <w:p w:rsidR="00683CF6" w:rsidRPr="00F05867" w:rsidRDefault="00683CF6" w:rsidP="00683CF6">
      <w:pPr>
        <w:pStyle w:val="GG-body"/>
        <w:ind w:left="993" w:hanging="284"/>
      </w:pPr>
      <w:r w:rsidRPr="00F05867">
        <w:t>•</w:t>
      </w:r>
      <w:r w:rsidRPr="00F05867">
        <w:tab/>
        <w:t>any change(s) to authorised operations submitted as a review of a PEPR/MOP or submitted as a change notification in accordance with any guidelines published by the department from time to time</w:t>
      </w:r>
    </w:p>
    <w:p w:rsidR="00683CF6" w:rsidRPr="00761358" w:rsidRDefault="00683CF6" w:rsidP="00683CF6">
      <w:pPr>
        <w:pStyle w:val="GG-body"/>
        <w:ind w:left="993" w:hanging="284"/>
      </w:pPr>
      <w:r w:rsidRPr="00F05867">
        <w:t>•</w:t>
      </w:r>
      <w:r w:rsidRPr="00F05867">
        <w:tab/>
        <w:t>any PEPR/MOP approvals</w:t>
      </w:r>
    </w:p>
    <w:p w:rsidR="00683CF6" w:rsidRPr="00F05867" w:rsidRDefault="00683CF6" w:rsidP="00683CF6">
      <w:pPr>
        <w:pStyle w:val="GG-body"/>
        <w:ind w:left="993" w:hanging="284"/>
      </w:pPr>
      <w:r w:rsidRPr="00F05867">
        <w:t>•</w:t>
      </w:r>
      <w:r w:rsidRPr="00F05867">
        <w:tab/>
        <w:t>any changes to the tenement terms and conditions approved for the reporting period; and</w:t>
      </w:r>
    </w:p>
    <w:p w:rsidR="00683CF6" w:rsidRPr="00761358" w:rsidRDefault="00683CF6" w:rsidP="00683CF6">
      <w:pPr>
        <w:pStyle w:val="GG-body"/>
        <w:ind w:left="993" w:hanging="284"/>
      </w:pPr>
      <w:r w:rsidRPr="00F05867">
        <w:t>•</w:t>
      </w:r>
      <w:r w:rsidRPr="00F05867">
        <w:tab/>
        <w:t>a description of any new or emerging environmental hazards that apply, or appear to be arising, in relation to authorised operations.</w:t>
      </w:r>
    </w:p>
    <w:p w:rsidR="00683CF6" w:rsidRPr="00426C64" w:rsidRDefault="00683CF6" w:rsidP="00683CF6">
      <w:pPr>
        <w:pStyle w:val="GG-body"/>
        <w:ind w:left="709" w:hanging="425"/>
        <w:rPr>
          <w:b/>
        </w:rPr>
      </w:pPr>
      <w:r w:rsidRPr="00426C64">
        <w:rPr>
          <w:b/>
        </w:rPr>
        <w:t>3.17</w:t>
      </w:r>
      <w:r w:rsidRPr="00426C64">
        <w:rPr>
          <w:b/>
        </w:rPr>
        <w:tab/>
        <w:t>Technical reports</w:t>
      </w:r>
    </w:p>
    <w:p w:rsidR="00683CF6" w:rsidRPr="00761358" w:rsidRDefault="00683CF6" w:rsidP="00683CF6">
      <w:pPr>
        <w:pStyle w:val="GG-body"/>
        <w:ind w:left="709"/>
      </w:pPr>
      <w:r w:rsidRPr="00F05867">
        <w:t>Provide a summary list of all technical data, studies and reports generated during the reporting period that support the achievement of tenement conditions and environmental outcomes/objectives in the approved PEPR/MOP.</w:t>
      </w:r>
    </w:p>
    <w:p w:rsidR="00683CF6" w:rsidRPr="00426C64" w:rsidRDefault="00683CF6" w:rsidP="00683CF6">
      <w:pPr>
        <w:pStyle w:val="GG-body"/>
        <w:ind w:left="709" w:hanging="425"/>
        <w:rPr>
          <w:b/>
        </w:rPr>
      </w:pPr>
      <w:r w:rsidRPr="00426C64">
        <w:rPr>
          <w:b/>
        </w:rPr>
        <w:t>3.18</w:t>
      </w:r>
      <w:r w:rsidRPr="00426C64">
        <w:rPr>
          <w:b/>
        </w:rPr>
        <w:tab/>
        <w:t>Maps, plans and cross</w:t>
      </w:r>
      <w:r w:rsidRPr="00426C64">
        <w:rPr>
          <w:b/>
          <w:i/>
        </w:rPr>
        <w:t>-</w:t>
      </w:r>
      <w:r w:rsidRPr="00426C64">
        <w:rPr>
          <w:b/>
        </w:rPr>
        <w:t>sections</w:t>
      </w:r>
    </w:p>
    <w:p w:rsidR="00683CF6" w:rsidRPr="00F05867" w:rsidRDefault="00683CF6" w:rsidP="00683CF6">
      <w:pPr>
        <w:pStyle w:val="GG-body"/>
        <w:ind w:left="709"/>
      </w:pPr>
      <w:r w:rsidRPr="00F05867">
        <w:t>All maps, plans and cross</w:t>
      </w:r>
      <w:r w:rsidRPr="00D717D1">
        <w:rPr>
          <w:i/>
        </w:rPr>
        <w:t>-</w:t>
      </w:r>
      <w:r w:rsidRPr="00F05867">
        <w:t>sections included within the report must conform to the following standards:</w:t>
      </w:r>
    </w:p>
    <w:p w:rsidR="00683CF6" w:rsidRPr="00F05867" w:rsidRDefault="00683CF6" w:rsidP="00683CF6">
      <w:pPr>
        <w:pStyle w:val="GG-body"/>
        <w:ind w:left="993" w:hanging="284"/>
      </w:pPr>
      <w:r>
        <w:t>•</w:t>
      </w:r>
      <w:r>
        <w:tab/>
        <w:t xml:space="preserve">State the relevant datum—eg. </w:t>
      </w:r>
      <w:r w:rsidRPr="00F05867">
        <w:t>GDA2020, GDA94.</w:t>
      </w:r>
    </w:p>
    <w:p w:rsidR="00683CF6" w:rsidRPr="00F05867" w:rsidRDefault="00683CF6" w:rsidP="00683CF6">
      <w:pPr>
        <w:pStyle w:val="GG-body"/>
        <w:ind w:left="993" w:hanging="284"/>
      </w:pPr>
      <w:r w:rsidRPr="00F05867">
        <w:t>•</w:t>
      </w:r>
      <w:r w:rsidRPr="00F05867">
        <w:tab/>
        <w:t>Use metric units.</w:t>
      </w:r>
    </w:p>
    <w:p w:rsidR="00683CF6" w:rsidRPr="00F05867" w:rsidRDefault="00683CF6" w:rsidP="00683CF6">
      <w:pPr>
        <w:pStyle w:val="GG-body"/>
        <w:ind w:left="993" w:hanging="284"/>
      </w:pPr>
      <w:r w:rsidRPr="00F05867">
        <w:t>•</w:t>
      </w:r>
      <w:r w:rsidRPr="00F05867">
        <w:tab/>
        <w:t>Include a title, north arrow, scale bar, text and legend.</w:t>
      </w:r>
    </w:p>
    <w:p w:rsidR="00683CF6" w:rsidRPr="00F05867" w:rsidRDefault="00683CF6" w:rsidP="00683CF6">
      <w:pPr>
        <w:pStyle w:val="GG-body"/>
        <w:ind w:left="993" w:hanging="284"/>
      </w:pPr>
      <w:r w:rsidRPr="00F05867">
        <w:t>•</w:t>
      </w:r>
      <w:r w:rsidRPr="00F05867">
        <w:tab/>
        <w:t>State the date prepared and author.</w:t>
      </w:r>
    </w:p>
    <w:p w:rsidR="00683CF6" w:rsidRPr="00761358" w:rsidRDefault="00683CF6" w:rsidP="00683CF6">
      <w:pPr>
        <w:pStyle w:val="GG-body"/>
        <w:ind w:left="993" w:hanging="284"/>
      </w:pPr>
      <w:r w:rsidRPr="00F05867">
        <w:t>•</w:t>
      </w:r>
      <w:r w:rsidRPr="00F05867">
        <w:tab/>
        <w:t>Be of appropriate resolution and scale to show the represented information.</w:t>
      </w:r>
    </w:p>
    <w:p w:rsidR="00683CF6" w:rsidRPr="00426C64" w:rsidRDefault="00683CF6" w:rsidP="00683CF6">
      <w:pPr>
        <w:pStyle w:val="GG-body"/>
        <w:ind w:left="709" w:hanging="425"/>
        <w:rPr>
          <w:b/>
        </w:rPr>
      </w:pPr>
      <w:r w:rsidRPr="00426C64">
        <w:rPr>
          <w:b/>
        </w:rPr>
        <w:t>3.19</w:t>
      </w:r>
      <w:r w:rsidRPr="00426C64">
        <w:rPr>
          <w:b/>
        </w:rPr>
        <w:tab/>
        <w:t>Public liability insurance</w:t>
      </w:r>
    </w:p>
    <w:p w:rsidR="00683CF6" w:rsidRPr="00761358" w:rsidRDefault="00683CF6" w:rsidP="00683CF6">
      <w:pPr>
        <w:pStyle w:val="GG-body"/>
        <w:ind w:left="709"/>
      </w:pPr>
      <w:r w:rsidRPr="00F05867">
        <w:t>Provide an update on whether the tenement holder holds public liability insurance (third party or self</w:t>
      </w:r>
      <w:r w:rsidRPr="00D717D1">
        <w:rPr>
          <w:i/>
        </w:rPr>
        <w:t>-</w:t>
      </w:r>
      <w:r w:rsidRPr="00F05867">
        <w:t>insured) and whether a certificate evidencing the insurance and any endorsements or waivers relating to insurance coverage have been provided.</w:t>
      </w:r>
    </w:p>
    <w:p w:rsidR="00683CF6" w:rsidRPr="00426C64" w:rsidRDefault="00683CF6" w:rsidP="00683CF6">
      <w:pPr>
        <w:pStyle w:val="GG-body"/>
        <w:ind w:left="709" w:hanging="425"/>
        <w:rPr>
          <w:b/>
        </w:rPr>
      </w:pPr>
      <w:r w:rsidRPr="00426C64">
        <w:rPr>
          <w:b/>
        </w:rPr>
        <w:t>3.20</w:t>
      </w:r>
      <w:r w:rsidRPr="00426C64">
        <w:rPr>
          <w:b/>
        </w:rPr>
        <w:tab/>
        <w:t>Appendices</w:t>
      </w:r>
    </w:p>
    <w:p w:rsidR="00683CF6" w:rsidRPr="00761358" w:rsidRDefault="00683CF6" w:rsidP="00683CF6">
      <w:pPr>
        <w:pStyle w:val="GG-body"/>
        <w:ind w:left="709"/>
      </w:pPr>
      <w:r w:rsidRPr="00F05867">
        <w:t>Appendices are required in the compliance report where detailed information regarding monitorin</w:t>
      </w:r>
      <w:r>
        <w:t>g, investigations and technical </w:t>
      </w:r>
      <w:r w:rsidRPr="00F05867">
        <w:t>reports is required to demonstrate compliance with environmental outcomes/objectives (including completion outcomes/objectives). Key principles to be followed in the preparation of appendices are as follows:</w:t>
      </w:r>
    </w:p>
    <w:p w:rsidR="00683CF6" w:rsidRPr="00761358" w:rsidRDefault="00683CF6" w:rsidP="00683CF6">
      <w:pPr>
        <w:pStyle w:val="GG-body"/>
        <w:ind w:left="993" w:hanging="284"/>
      </w:pPr>
      <w:r w:rsidRPr="00F05867">
        <w:t>•</w:t>
      </w:r>
      <w:r w:rsidRPr="00F05867">
        <w:tab/>
        <w:t>When appending a technical report, a summary of the main findings and conclusions must be included in the technical report. Conclusions must be linked back to the approved PEPR/MOP and the relevant environmental outcome/objectives or tenement conditions.</w:t>
      </w:r>
    </w:p>
    <w:p w:rsidR="00683CF6" w:rsidRPr="00761358" w:rsidRDefault="00683CF6" w:rsidP="00683CF6">
      <w:pPr>
        <w:pStyle w:val="GG-body"/>
        <w:ind w:left="993" w:hanging="284"/>
      </w:pPr>
      <w:r w:rsidRPr="00F05867">
        <w:t>•</w:t>
      </w:r>
      <w:r w:rsidRPr="00F05867">
        <w:tab/>
        <w:t>Where large sets of data have been collected, charts and tables are to be used to summarise findings.</w:t>
      </w:r>
    </w:p>
    <w:p w:rsidR="00683CF6" w:rsidRDefault="00683CF6" w:rsidP="00683CF6">
      <w:pPr>
        <w:pStyle w:val="GG-body"/>
        <w:ind w:left="993" w:hanging="284"/>
      </w:pPr>
      <w:r w:rsidRPr="00F05867">
        <w:t>•</w:t>
      </w:r>
      <w:r w:rsidRPr="00F05867">
        <w:tab/>
        <w:t>Graphic representations of the data must clearly display labels, units and values.</w:t>
      </w:r>
      <w:r>
        <w:br w:type="page"/>
      </w:r>
    </w:p>
    <w:p w:rsidR="00683CF6" w:rsidRPr="00761358" w:rsidRDefault="00683CF6" w:rsidP="00683CF6">
      <w:pPr>
        <w:pStyle w:val="GG-body"/>
      </w:pPr>
      <w:r w:rsidRPr="00F05867">
        <w:t>For the purpose of this Terms of Reference:</w:t>
      </w:r>
    </w:p>
    <w:p w:rsidR="00683CF6" w:rsidRPr="00F05867" w:rsidRDefault="00683CF6" w:rsidP="00683CF6">
      <w:pPr>
        <w:pStyle w:val="GG-body"/>
        <w:ind w:left="426" w:hanging="284"/>
      </w:pPr>
      <w:r w:rsidRPr="00F05867">
        <w:t>1</w:t>
      </w:r>
      <w:r>
        <w:t>.</w:t>
      </w:r>
      <w:r w:rsidRPr="00F05867">
        <w:tab/>
        <w:t>the tonnes per annum for the purpose of annual production of extractive minerals and industrial mineral is determined from royalty returns submitted under section 17CA of the</w:t>
      </w:r>
      <w:r w:rsidRPr="00761358">
        <w:rPr>
          <w:i/>
        </w:rPr>
        <w:t xml:space="preserve"> Mining Act 1971</w:t>
      </w:r>
      <w:r w:rsidRPr="00F05867">
        <w:t>; and</w:t>
      </w:r>
    </w:p>
    <w:p w:rsidR="00683CF6" w:rsidRPr="00761358" w:rsidRDefault="00683CF6" w:rsidP="00683CF6">
      <w:pPr>
        <w:pStyle w:val="GG-body"/>
        <w:ind w:left="426" w:hanging="284"/>
      </w:pPr>
      <w:r w:rsidRPr="00F05867">
        <w:t>2</w:t>
      </w:r>
      <w:r>
        <w:t>.</w:t>
      </w:r>
      <w:r w:rsidRPr="00F05867">
        <w:tab/>
        <w:t>an approved PEPR rehabilitation liability is an estimated liability for the rehabilitation of the operations as set out in an approved program under Part 10A of the</w:t>
      </w:r>
      <w:r w:rsidRPr="00761358">
        <w:rPr>
          <w:i/>
        </w:rPr>
        <w:t xml:space="preserve"> Mining Act 1971</w:t>
      </w:r>
      <w:r w:rsidRPr="00F05867">
        <w:t>.</w:t>
      </w:r>
    </w:p>
    <w:p w:rsidR="00683CF6" w:rsidRPr="00761358" w:rsidRDefault="00683CF6" w:rsidP="00683CF6">
      <w:pPr>
        <w:pStyle w:val="GG-SDated"/>
      </w:pPr>
      <w:r>
        <w:t>Dated: 11 December 2020</w:t>
      </w:r>
    </w:p>
    <w:p w:rsidR="00683CF6" w:rsidRPr="00761358" w:rsidRDefault="00683CF6" w:rsidP="00683CF6">
      <w:pPr>
        <w:pStyle w:val="GG-SName"/>
      </w:pPr>
      <w:r w:rsidRPr="00F05867">
        <w:t>Hon. Daniel van Holst Pellekaan</w:t>
      </w:r>
    </w:p>
    <w:p w:rsidR="00683CF6" w:rsidRDefault="00683CF6" w:rsidP="00683CF6">
      <w:pPr>
        <w:pStyle w:val="GG-Signature"/>
      </w:pPr>
      <w:r w:rsidRPr="00F05867">
        <w:t>Minister for Energy and Mining</w:t>
      </w:r>
    </w:p>
    <w:p w:rsidR="00683CF6" w:rsidRDefault="00683CF6" w:rsidP="00683CF6">
      <w:pPr>
        <w:pStyle w:val="GG-body"/>
        <w:pBdr>
          <w:top w:val="single" w:sz="4" w:space="1" w:color="auto"/>
        </w:pBdr>
        <w:spacing w:before="100" w:after="0" w:line="14" w:lineRule="exact"/>
        <w:jc w:val="center"/>
      </w:pPr>
    </w:p>
    <w:p w:rsidR="00683CF6" w:rsidRPr="00F05867" w:rsidRDefault="00683CF6" w:rsidP="00683CF6">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rsidR="00683CF6" w:rsidRDefault="00683CF6" w:rsidP="00683CF6">
      <w:pPr>
        <w:pStyle w:val="GG-Title1"/>
      </w:pPr>
      <w:r w:rsidRPr="00F05867">
        <w:t>Mining Regulations 2020</w:t>
      </w:r>
    </w:p>
    <w:p w:rsidR="00683CF6" w:rsidRPr="00761358" w:rsidRDefault="00683CF6" w:rsidP="00683CF6">
      <w:pPr>
        <w:pStyle w:val="GG-Title2"/>
      </w:pPr>
      <w:r w:rsidRPr="00F05867">
        <w:t>Regulation 77</w:t>
      </w:r>
    </w:p>
    <w:p w:rsidR="00683CF6" w:rsidRPr="00F05867" w:rsidRDefault="00683CF6" w:rsidP="00683CF6">
      <w:pPr>
        <w:pStyle w:val="GG-Title3"/>
      </w:pPr>
      <w:r w:rsidRPr="00F05867">
        <w:t xml:space="preserve">Terms </w:t>
      </w:r>
      <w:r>
        <w:t>o</w:t>
      </w:r>
      <w:r w:rsidRPr="00F05867">
        <w:t xml:space="preserve">f Reference </w:t>
      </w:r>
      <w:r>
        <w:t>f</w:t>
      </w:r>
      <w:r w:rsidRPr="00F05867">
        <w:t>or Mineral Exploration Compliance Reports</w:t>
      </w:r>
    </w:p>
    <w:p w:rsidR="00683CF6" w:rsidRDefault="00683CF6" w:rsidP="00683CF6">
      <w:pPr>
        <w:pStyle w:val="GG-body"/>
      </w:pPr>
      <w:r w:rsidRPr="00F05867">
        <w:t>The tenement holder must submit a compliance report in accordance with regulation 77 of the</w:t>
      </w:r>
      <w:r w:rsidRPr="00761358">
        <w:rPr>
          <w:i/>
        </w:rPr>
        <w:t xml:space="preserve"> Mining Regulations 2020</w:t>
      </w:r>
      <w:r w:rsidRPr="00F05867">
        <w:t xml:space="preserve"> and determinations set out in this Terms of Reference.</w:t>
      </w:r>
    </w:p>
    <w:p w:rsidR="00683CF6" w:rsidRPr="00761358" w:rsidRDefault="00683CF6" w:rsidP="00683CF6">
      <w:pPr>
        <w:pStyle w:val="GG-body"/>
      </w:pPr>
      <w:r w:rsidRPr="00F05867">
        <w:t>In accordance with regulation</w:t>
      </w:r>
      <w:r>
        <w:t xml:space="preserve"> 77</w:t>
      </w:r>
      <w:r w:rsidRPr="00F05867">
        <w:t xml:space="preserve"> of the</w:t>
      </w:r>
      <w:r w:rsidRPr="00761358">
        <w:rPr>
          <w:i/>
        </w:rPr>
        <w:t xml:space="preserve"> Mining Regulations 2020</w:t>
      </w:r>
      <w:r w:rsidRPr="00F05867">
        <w:t>, this notice will have effect from 1 January 2021.</w:t>
      </w:r>
    </w:p>
    <w:p w:rsidR="00683CF6" w:rsidRPr="00E74C62" w:rsidRDefault="00683CF6" w:rsidP="00683CF6">
      <w:pPr>
        <w:pStyle w:val="GG-body"/>
        <w:ind w:left="284" w:hanging="284"/>
        <w:rPr>
          <w:b/>
        </w:rPr>
      </w:pPr>
      <w:r w:rsidRPr="00E74C62">
        <w:rPr>
          <w:b/>
        </w:rPr>
        <w:t>1</w:t>
      </w:r>
      <w:r w:rsidRPr="00E74C62">
        <w:rPr>
          <w:b/>
        </w:rPr>
        <w:tab/>
        <w:t>FORMAT AND SUBMISSION OF REPORTS</w:t>
      </w:r>
    </w:p>
    <w:p w:rsidR="00683CF6" w:rsidRPr="00F05867" w:rsidRDefault="00683CF6" w:rsidP="00683CF6">
      <w:pPr>
        <w:pStyle w:val="GG-body"/>
        <w:ind w:left="284"/>
      </w:pPr>
      <w:r w:rsidRPr="00F05867">
        <w:t>A compliance report must be submitted in accordance with regulation 77(4)(b) and 77(6)(b) of the</w:t>
      </w:r>
      <w:r w:rsidRPr="00761358">
        <w:rPr>
          <w:i/>
        </w:rPr>
        <w:t xml:space="preserve"> Mining Regulations 2020</w:t>
      </w:r>
      <w:r w:rsidRPr="00F05867">
        <w:t xml:space="preserve"> in the following form unless otherwise specified by the Director of Mines or delegate:</w:t>
      </w:r>
    </w:p>
    <w:p w:rsidR="00683CF6" w:rsidRPr="00F05867" w:rsidRDefault="00683CF6" w:rsidP="00683CF6">
      <w:pPr>
        <w:pStyle w:val="GG-body"/>
        <w:ind w:left="567" w:hanging="283"/>
      </w:pPr>
      <w:r w:rsidRPr="00F05867">
        <w:t>•</w:t>
      </w:r>
      <w:r w:rsidRPr="00F05867">
        <w:tab/>
        <w:t>An electronic version of the report must be submitted using the exploration compliance report template provided on the DEM Minerals website.</w:t>
      </w:r>
    </w:p>
    <w:p w:rsidR="00683CF6" w:rsidRPr="00761358" w:rsidRDefault="00683CF6" w:rsidP="00683CF6">
      <w:pPr>
        <w:pStyle w:val="GG-body"/>
        <w:ind w:left="567" w:hanging="283"/>
      </w:pPr>
      <w:r w:rsidRPr="00F05867">
        <w:t>•</w:t>
      </w:r>
      <w:r w:rsidRPr="00F05867">
        <w:tab/>
        <w:t>The electronic version must be submitted online through the DEM website.</w:t>
      </w:r>
    </w:p>
    <w:p w:rsidR="00683CF6" w:rsidRPr="00F05867" w:rsidRDefault="00683CF6" w:rsidP="00683CF6">
      <w:pPr>
        <w:pStyle w:val="GG-body"/>
        <w:ind w:left="567" w:hanging="283"/>
      </w:pPr>
      <w:r w:rsidRPr="00F05867">
        <w:t>•</w:t>
      </w:r>
      <w:r w:rsidRPr="00F05867">
        <w:tab/>
        <w:t>The electronic version must be submitted in one single Acrobat PDF file.</w:t>
      </w:r>
    </w:p>
    <w:p w:rsidR="00683CF6" w:rsidRPr="00F05867" w:rsidRDefault="00683CF6" w:rsidP="00683CF6">
      <w:pPr>
        <w:pStyle w:val="GG-body"/>
        <w:ind w:left="567" w:hanging="283"/>
      </w:pPr>
      <w:r w:rsidRPr="00F05867">
        <w:t>•</w:t>
      </w:r>
      <w:r w:rsidRPr="00F05867">
        <w:tab/>
        <w:t>Microsoft Word</w:t>
      </w:r>
      <w:r w:rsidRPr="00D717D1">
        <w:rPr>
          <w:i/>
        </w:rPr>
        <w:t>-</w:t>
      </w:r>
      <w:r w:rsidRPr="00F05867">
        <w:t>compatible files must be submitted if requested by the Director of Mines (or delegate), or other authorised officers.</w:t>
      </w:r>
    </w:p>
    <w:p w:rsidR="00683CF6" w:rsidRPr="00F05867" w:rsidRDefault="00683CF6" w:rsidP="00683CF6">
      <w:pPr>
        <w:pStyle w:val="GG-body"/>
        <w:ind w:left="567" w:hanging="283"/>
      </w:pPr>
      <w:r w:rsidRPr="00F05867">
        <w:t>•</w:t>
      </w:r>
      <w:r w:rsidRPr="00F05867">
        <w:tab/>
        <w:t>The report can be submitted by email or hard copy if requested by the Director of Mines or other authorised officers.</w:t>
      </w:r>
    </w:p>
    <w:p w:rsidR="00683CF6" w:rsidRPr="00761358" w:rsidRDefault="00683CF6" w:rsidP="00683CF6">
      <w:pPr>
        <w:pStyle w:val="GG-body"/>
        <w:ind w:left="567" w:hanging="283"/>
      </w:pPr>
      <w:r w:rsidRPr="00F05867">
        <w:t>•</w:t>
      </w:r>
      <w:r w:rsidRPr="00F05867">
        <w:tab/>
        <w:t>Include a signed (digital signatures allowed) statement by the tenement holder declaring that the content of the report has been reviewed and is accurate.</w:t>
      </w:r>
    </w:p>
    <w:p w:rsidR="00683CF6" w:rsidRPr="00E74C62" w:rsidRDefault="00683CF6" w:rsidP="00683CF6">
      <w:pPr>
        <w:pStyle w:val="GG-body"/>
        <w:ind w:left="284" w:hanging="284"/>
        <w:rPr>
          <w:b/>
        </w:rPr>
      </w:pPr>
      <w:r w:rsidRPr="00E74C62">
        <w:rPr>
          <w:b/>
        </w:rPr>
        <w:t>2</w:t>
      </w:r>
      <w:r w:rsidRPr="00E74C62">
        <w:rPr>
          <w:b/>
        </w:rPr>
        <w:tab/>
        <w:t>REQUIREMENT FOR SUBMISSION AND REPORTING PERIOD</w:t>
      </w:r>
    </w:p>
    <w:p w:rsidR="00683CF6" w:rsidRPr="00761358" w:rsidRDefault="00683CF6" w:rsidP="00683CF6">
      <w:pPr>
        <w:pStyle w:val="GG-body"/>
        <w:ind w:left="284"/>
      </w:pPr>
      <w:r w:rsidRPr="00F05867">
        <w:t>For the purposes of regulation 77(4)(a) of the</w:t>
      </w:r>
      <w:r w:rsidRPr="00761358">
        <w:rPr>
          <w:i/>
        </w:rPr>
        <w:t xml:space="preserve"> Mining Regulations 2020</w:t>
      </w:r>
      <w:r w:rsidRPr="00F05867">
        <w:t>, it is determined that an exploration compliance report must be submitted annually within 60 days after the end of each reporting period.</w:t>
      </w:r>
    </w:p>
    <w:p w:rsidR="00683CF6" w:rsidRPr="00761358" w:rsidRDefault="00683CF6" w:rsidP="00683CF6">
      <w:pPr>
        <w:pStyle w:val="GG-body"/>
        <w:ind w:left="284"/>
      </w:pPr>
      <w:r w:rsidRPr="00F05867">
        <w:t>Where a compliance report is submitted by the tenement holder in respect to more than one tenement, the Minister determines for the purposes of subregulation 77(3)(b) of the</w:t>
      </w:r>
      <w:r w:rsidRPr="00761358">
        <w:rPr>
          <w:i/>
        </w:rPr>
        <w:t xml:space="preserve"> Mining Regulations 2020</w:t>
      </w:r>
      <w:r w:rsidRPr="00F05867">
        <w:t xml:space="preserve"> that an exploration compliance report must be provided to the Minister;</w:t>
      </w:r>
    </w:p>
    <w:p w:rsidR="00683CF6" w:rsidRPr="00F05867" w:rsidRDefault="00683CF6" w:rsidP="00683CF6">
      <w:pPr>
        <w:pStyle w:val="GG-body"/>
        <w:ind w:left="567" w:hanging="283"/>
      </w:pPr>
      <w:r w:rsidRPr="00F05867">
        <w:t>1.</w:t>
      </w:r>
      <w:r w:rsidRPr="00F05867">
        <w:tab/>
        <w:t>each 12</w:t>
      </w:r>
      <w:r w:rsidRPr="00D717D1">
        <w:rPr>
          <w:i/>
        </w:rPr>
        <w:t>-</w:t>
      </w:r>
      <w:r w:rsidRPr="00F05867">
        <w:t>month period ending on the anniversary of the day on which the oldest of mineral tenement was granted; or</w:t>
      </w:r>
    </w:p>
    <w:p w:rsidR="00683CF6" w:rsidRPr="00761358" w:rsidRDefault="00683CF6" w:rsidP="00683CF6">
      <w:pPr>
        <w:pStyle w:val="GG-body"/>
        <w:ind w:left="567" w:hanging="283"/>
      </w:pPr>
      <w:r w:rsidRPr="00F05867">
        <w:t>2.</w:t>
      </w:r>
      <w:r w:rsidRPr="00F05867">
        <w:tab/>
        <w:t xml:space="preserve">where the tenement holder submitted a compliance report for more than one tenement under regulation 86 of the repealed </w:t>
      </w:r>
      <w:r w:rsidRPr="005A5EEA">
        <w:rPr>
          <w:i/>
        </w:rPr>
        <w:t>Min</w:t>
      </w:r>
      <w:r>
        <w:rPr>
          <w:i/>
        </w:rPr>
        <w:t>ing </w:t>
      </w:r>
      <w:r w:rsidRPr="005A5EEA">
        <w:rPr>
          <w:i/>
        </w:rPr>
        <w:t>Regulations 2011</w:t>
      </w:r>
      <w:r w:rsidRPr="00D717D1">
        <w:rPr>
          <w:i/>
        </w:rPr>
        <w:t>—</w:t>
      </w:r>
      <w:r w:rsidRPr="00F05867">
        <w:t xml:space="preserve">on the date and on the frequency that the tenement holder submitted reports under the repealed </w:t>
      </w:r>
      <w:r>
        <w:rPr>
          <w:i/>
        </w:rPr>
        <w:t>Mining </w:t>
      </w:r>
      <w:r w:rsidRPr="005A5EEA">
        <w:rPr>
          <w:i/>
        </w:rPr>
        <w:t>Regulations 2011</w:t>
      </w:r>
      <w:r w:rsidRPr="00F05867">
        <w:t>.</w:t>
      </w:r>
    </w:p>
    <w:p w:rsidR="00683CF6" w:rsidRPr="00E74C62" w:rsidRDefault="00683CF6" w:rsidP="00683CF6">
      <w:pPr>
        <w:pStyle w:val="GG-body"/>
        <w:ind w:left="284" w:hanging="284"/>
        <w:rPr>
          <w:b/>
        </w:rPr>
      </w:pPr>
      <w:r w:rsidRPr="00E74C62">
        <w:rPr>
          <w:b/>
        </w:rPr>
        <w:t>3</w:t>
      </w:r>
      <w:r w:rsidRPr="00E74C62">
        <w:rPr>
          <w:b/>
        </w:rPr>
        <w:tab/>
        <w:t>CONTENT OF EXPLORATION COMPLIANCE REPORT</w:t>
      </w:r>
    </w:p>
    <w:p w:rsidR="00683CF6" w:rsidRPr="00761358" w:rsidRDefault="00683CF6" w:rsidP="00683CF6">
      <w:pPr>
        <w:pStyle w:val="GG-body"/>
        <w:ind w:left="284"/>
      </w:pPr>
      <w:r w:rsidRPr="00F05867">
        <w:t>A compliance report must, in accordance with regulation 77(4)(c) and 77(6)(c) of the</w:t>
      </w:r>
      <w:r w:rsidRPr="00761358">
        <w:rPr>
          <w:i/>
        </w:rPr>
        <w:t xml:space="preserve"> Mining Regulations 2020</w:t>
      </w:r>
      <w:r w:rsidRPr="00F05867">
        <w:t>, contain the following information as determined by the Minister:</w:t>
      </w:r>
    </w:p>
    <w:p w:rsidR="00683CF6" w:rsidRPr="00044E3F" w:rsidRDefault="00683CF6" w:rsidP="00E7069A">
      <w:pPr>
        <w:pStyle w:val="GG-body"/>
        <w:spacing w:after="60"/>
        <w:ind w:left="709" w:hanging="425"/>
        <w:rPr>
          <w:b/>
        </w:rPr>
      </w:pPr>
      <w:r w:rsidRPr="00044E3F">
        <w:rPr>
          <w:b/>
        </w:rPr>
        <w:t>3.1</w:t>
      </w:r>
      <w:r w:rsidRPr="00044E3F">
        <w:rPr>
          <w:b/>
        </w:rPr>
        <w:tab/>
        <w:t>General information</w:t>
      </w:r>
    </w:p>
    <w:p w:rsidR="00683CF6" w:rsidRPr="00F05867" w:rsidRDefault="00683CF6" w:rsidP="00E7069A">
      <w:pPr>
        <w:pStyle w:val="GG-body"/>
        <w:spacing w:after="60"/>
        <w:ind w:left="709"/>
      </w:pPr>
      <w:r w:rsidRPr="00F05867">
        <w:t>Include:</w:t>
      </w:r>
    </w:p>
    <w:p w:rsidR="00683CF6" w:rsidRPr="00F05867" w:rsidRDefault="00683CF6" w:rsidP="00E7069A">
      <w:pPr>
        <w:pStyle w:val="GG-body"/>
        <w:spacing w:after="60"/>
        <w:ind w:left="993" w:hanging="284"/>
      </w:pPr>
      <w:r w:rsidRPr="00F05867">
        <w:t>•</w:t>
      </w:r>
      <w:r w:rsidRPr="00F05867">
        <w:tab/>
        <w:t>tenement details (type and tenement number i.e. EL, MC or RL). If joint reporting arrangements exist, include all relevant tenements, agreed submission date and the joint reporting project name</w:t>
      </w:r>
    </w:p>
    <w:p w:rsidR="00683CF6" w:rsidRPr="00F05867" w:rsidRDefault="00683CF6" w:rsidP="00E7069A">
      <w:pPr>
        <w:pStyle w:val="GG-body"/>
        <w:spacing w:after="60"/>
        <w:ind w:left="993" w:hanging="284"/>
      </w:pPr>
      <w:r w:rsidRPr="00F05867">
        <w:t>•</w:t>
      </w:r>
      <w:r w:rsidRPr="00F05867">
        <w:tab/>
        <w:t>tenement holder(s) (include company name, address and contact details)</w:t>
      </w:r>
    </w:p>
    <w:p w:rsidR="00683CF6" w:rsidRPr="00F05867" w:rsidRDefault="00683CF6" w:rsidP="00E7069A">
      <w:pPr>
        <w:pStyle w:val="GG-body"/>
        <w:spacing w:after="60"/>
        <w:ind w:left="993" w:hanging="284"/>
      </w:pPr>
      <w:r w:rsidRPr="00F05867">
        <w:t>•</w:t>
      </w:r>
      <w:r w:rsidRPr="00F05867">
        <w:tab/>
        <w:t>any operating company(s), other than the tenement holder(s), that have worked on the listed tenements during the reporting period (include company name, address and contact details)</w:t>
      </w:r>
    </w:p>
    <w:p w:rsidR="00683CF6" w:rsidRPr="00F05867" w:rsidRDefault="00683CF6" w:rsidP="00E7069A">
      <w:pPr>
        <w:pStyle w:val="GG-body"/>
        <w:spacing w:after="60"/>
        <w:ind w:left="993" w:hanging="284"/>
      </w:pPr>
      <w:r w:rsidRPr="00F05867">
        <w:t>•</w:t>
      </w:r>
      <w:r w:rsidRPr="00F05867">
        <w:tab/>
        <w:t>report author and contact details</w:t>
      </w:r>
    </w:p>
    <w:p w:rsidR="00683CF6" w:rsidRPr="00F05867" w:rsidRDefault="00683CF6" w:rsidP="00E7069A">
      <w:pPr>
        <w:pStyle w:val="GG-body"/>
        <w:spacing w:after="60"/>
        <w:ind w:left="993" w:hanging="284"/>
      </w:pPr>
      <w:r w:rsidRPr="00F05867">
        <w:t>•</w:t>
      </w:r>
      <w:r w:rsidRPr="00F05867">
        <w:tab/>
        <w:t>general location details</w:t>
      </w:r>
    </w:p>
    <w:p w:rsidR="00683CF6" w:rsidRPr="00F05867" w:rsidRDefault="00683CF6" w:rsidP="00E7069A">
      <w:pPr>
        <w:pStyle w:val="GG-body"/>
        <w:spacing w:after="60"/>
        <w:ind w:left="993" w:hanging="284"/>
      </w:pPr>
      <w:r w:rsidRPr="00F05867">
        <w:t>•</w:t>
      </w:r>
      <w:r w:rsidRPr="00F05867">
        <w:tab/>
        <w:t>project/prospect name (if applicable)</w:t>
      </w:r>
    </w:p>
    <w:p w:rsidR="00683CF6" w:rsidRPr="00F05867" w:rsidRDefault="00683CF6" w:rsidP="00E7069A">
      <w:pPr>
        <w:pStyle w:val="GG-body"/>
        <w:spacing w:after="60"/>
        <w:ind w:left="993" w:hanging="284"/>
      </w:pPr>
      <w:r w:rsidRPr="00F05867">
        <w:t>•</w:t>
      </w:r>
      <w:r w:rsidRPr="00F05867">
        <w:tab/>
        <w:t>indicate either yes or no to the following questions:</w:t>
      </w:r>
    </w:p>
    <w:p w:rsidR="00683CF6" w:rsidRPr="00F05867" w:rsidRDefault="00683CF6" w:rsidP="00E7069A">
      <w:pPr>
        <w:pStyle w:val="GG-body"/>
        <w:spacing w:after="60"/>
        <w:ind w:left="1134"/>
      </w:pPr>
      <w:r w:rsidRPr="00F05867">
        <w:t>Have any exploration operations been conducted during the current reporting period (excludes work conducted in accordance with the generic PEPR)?</w:t>
      </w:r>
    </w:p>
    <w:p w:rsidR="00683CF6" w:rsidRPr="00F05867" w:rsidRDefault="00683CF6" w:rsidP="00E7069A">
      <w:pPr>
        <w:pStyle w:val="GG-body"/>
        <w:spacing w:after="60"/>
        <w:ind w:left="1134"/>
      </w:pPr>
      <w:r w:rsidRPr="00F05867">
        <w:t>Have rehabilitation operations been undertaken during the reporting period?</w:t>
      </w:r>
    </w:p>
    <w:p w:rsidR="00683CF6" w:rsidRPr="00F05867" w:rsidRDefault="00683CF6" w:rsidP="00E7069A">
      <w:pPr>
        <w:pStyle w:val="GG-body"/>
        <w:spacing w:after="60"/>
        <w:ind w:left="1134"/>
      </w:pPr>
      <w:r w:rsidRPr="00F05867">
        <w:t>Is there any outstanding rehabilitation from current or previous reporting periods to be undertaken?</w:t>
      </w:r>
    </w:p>
    <w:p w:rsidR="00683CF6" w:rsidRPr="00761358" w:rsidRDefault="00683CF6" w:rsidP="00E7069A">
      <w:pPr>
        <w:pStyle w:val="GG-body"/>
        <w:spacing w:after="60"/>
        <w:ind w:left="993"/>
      </w:pPr>
      <w:r w:rsidRPr="00F05867">
        <w:t xml:space="preserve">If the answer is </w:t>
      </w:r>
      <w:r w:rsidRPr="00EB30C9">
        <w:t>‘</w:t>
      </w:r>
      <w:r w:rsidRPr="00F05867">
        <w:t>yes</w:t>
      </w:r>
      <w:r w:rsidRPr="00EB30C9">
        <w:t>’</w:t>
      </w:r>
      <w:r w:rsidRPr="00F05867">
        <w:t xml:space="preserve"> to any one of the above questions, complete all sections of the exploration compliance report template. If the answered is </w:t>
      </w:r>
      <w:r w:rsidRPr="00EB30C9">
        <w:t>‘</w:t>
      </w:r>
      <w:r w:rsidRPr="00F05867">
        <w:t>no</w:t>
      </w:r>
      <w:r w:rsidRPr="00EB30C9">
        <w:t>’</w:t>
      </w:r>
      <w:r w:rsidRPr="00F05867">
        <w:t xml:space="preserve"> to all of the above questions, complete only the general details and declaration in section A of the exploration compliance report template.</w:t>
      </w:r>
    </w:p>
    <w:p w:rsidR="00683CF6" w:rsidRPr="00044E3F" w:rsidRDefault="00683CF6" w:rsidP="00E7069A">
      <w:pPr>
        <w:pStyle w:val="GG-body"/>
        <w:spacing w:after="60"/>
        <w:ind w:left="709" w:hanging="425"/>
        <w:rPr>
          <w:b/>
        </w:rPr>
      </w:pPr>
      <w:r w:rsidRPr="00044E3F">
        <w:rPr>
          <w:b/>
        </w:rPr>
        <w:t>3.2</w:t>
      </w:r>
      <w:r w:rsidRPr="00044E3F">
        <w:rPr>
          <w:b/>
        </w:rPr>
        <w:tab/>
        <w:t>Exploration operations</w:t>
      </w:r>
    </w:p>
    <w:p w:rsidR="00683CF6" w:rsidRPr="00761358" w:rsidRDefault="00683CF6" w:rsidP="00E7069A">
      <w:pPr>
        <w:pStyle w:val="GG-body"/>
        <w:spacing w:after="60"/>
        <w:ind w:left="709"/>
      </w:pPr>
      <w:r w:rsidRPr="00F05867">
        <w:t>Provide a summary of exploration PEPR approvals and program notifications, if applicable, obtained during the current and previous reporting period. This includes ELs prior to the grant of subsequent licences. Display this information using table 1 in the exploration compliance report template.</w:t>
      </w:r>
    </w:p>
    <w:p w:rsidR="00683CF6" w:rsidRPr="000B3436" w:rsidRDefault="00683CF6" w:rsidP="00683CF6">
      <w:pPr>
        <w:pStyle w:val="GG-body"/>
        <w:ind w:left="709"/>
      </w:pPr>
      <w:r w:rsidRPr="00F05867">
        <w:t>Provide a summary of all exploration operations undertaken (that required a PEPR to be approved) during the current reporting period. Display this information using table 2 in the exploration compliance report template.</w:t>
      </w:r>
      <w:r>
        <w:rPr>
          <w:b/>
        </w:rPr>
        <w:br w:type="page"/>
      </w:r>
    </w:p>
    <w:p w:rsidR="00683CF6" w:rsidRPr="00044E3F" w:rsidRDefault="00683CF6" w:rsidP="00683CF6">
      <w:pPr>
        <w:pStyle w:val="GG-body"/>
        <w:ind w:left="709" w:hanging="425"/>
        <w:rPr>
          <w:b/>
        </w:rPr>
      </w:pPr>
      <w:r w:rsidRPr="00044E3F">
        <w:rPr>
          <w:b/>
        </w:rPr>
        <w:t>3.3</w:t>
      </w:r>
      <w:r w:rsidRPr="00044E3F">
        <w:rPr>
          <w:b/>
        </w:rPr>
        <w:tab/>
        <w:t>Changes to exploration operations and emerging environmental hazards</w:t>
      </w:r>
    </w:p>
    <w:p w:rsidR="00683CF6" w:rsidRPr="00761358" w:rsidRDefault="00683CF6" w:rsidP="00683CF6">
      <w:pPr>
        <w:pStyle w:val="GG-body"/>
        <w:ind w:left="709"/>
      </w:pPr>
      <w:r w:rsidRPr="00F05867">
        <w:t>For the reporting period, provide a summary list of:</w:t>
      </w:r>
    </w:p>
    <w:p w:rsidR="00683CF6" w:rsidRPr="00761358" w:rsidRDefault="00683CF6" w:rsidP="00683CF6">
      <w:pPr>
        <w:pStyle w:val="GG-body"/>
        <w:ind w:left="993" w:hanging="284"/>
      </w:pPr>
      <w:r w:rsidRPr="00F05867">
        <w:t>•</w:t>
      </w:r>
      <w:r w:rsidRPr="00F05867">
        <w:tab/>
        <w:t>any change(s) to authorised operations submitted as a review of a PEPR; and</w:t>
      </w:r>
    </w:p>
    <w:p w:rsidR="00683CF6" w:rsidRPr="00761358" w:rsidRDefault="00683CF6" w:rsidP="00683CF6">
      <w:pPr>
        <w:pStyle w:val="GG-body"/>
        <w:ind w:left="993" w:hanging="284"/>
      </w:pPr>
      <w:r w:rsidRPr="00F05867">
        <w:t>•</w:t>
      </w:r>
      <w:r w:rsidRPr="00F05867">
        <w:tab/>
        <w:t>a description of any new or emerging environmental hazards</w:t>
      </w:r>
      <w:r w:rsidRPr="00D717D1">
        <w:rPr>
          <w:i/>
        </w:rPr>
        <w:t>—</w:t>
      </w:r>
      <w:r>
        <w:t xml:space="preserve">eg. </w:t>
      </w:r>
      <w:r w:rsidRPr="00F05867">
        <w:t xml:space="preserve">risks and/or impacts </w:t>
      </w:r>
      <w:r w:rsidRPr="00D717D1">
        <w:rPr>
          <w:i/>
        </w:rPr>
        <w:t>-</w:t>
      </w:r>
      <w:r w:rsidRPr="00F05867">
        <w:t xml:space="preserve"> that apply, or appear to be arising, in relation to authorised exploration operations.</w:t>
      </w:r>
    </w:p>
    <w:p w:rsidR="00683CF6" w:rsidRPr="00044E3F" w:rsidRDefault="00683CF6" w:rsidP="00683CF6">
      <w:pPr>
        <w:pStyle w:val="GG-body"/>
        <w:ind w:left="709" w:hanging="425"/>
        <w:rPr>
          <w:b/>
        </w:rPr>
      </w:pPr>
      <w:r w:rsidRPr="00044E3F">
        <w:rPr>
          <w:b/>
        </w:rPr>
        <w:t>3.4</w:t>
      </w:r>
      <w:r w:rsidRPr="00044E3F">
        <w:rPr>
          <w:b/>
        </w:rPr>
        <w:tab/>
        <w:t>Compliance with environmental outcomes</w:t>
      </w:r>
    </w:p>
    <w:p w:rsidR="00683CF6" w:rsidRPr="00761358" w:rsidRDefault="00683CF6" w:rsidP="00683CF6">
      <w:pPr>
        <w:pStyle w:val="GG-body"/>
        <w:ind w:left="709"/>
      </w:pPr>
      <w:r w:rsidRPr="00F05867">
        <w:t>This section must include a clear statement that operations were, or were not, compliant with each environmental outcome stated within approved PEPRs, and compliance criteria data that clearly demonstrates whether the outcome was (or was not) fully achieved. Display this information using table 3 in the exploration compliance report template.</w:t>
      </w:r>
    </w:p>
    <w:p w:rsidR="00683CF6" w:rsidRPr="00044E3F" w:rsidRDefault="00683CF6" w:rsidP="00683CF6">
      <w:pPr>
        <w:pStyle w:val="GG-body"/>
        <w:ind w:left="709" w:hanging="425"/>
        <w:rPr>
          <w:b/>
        </w:rPr>
      </w:pPr>
      <w:r w:rsidRPr="00044E3F">
        <w:rPr>
          <w:b/>
        </w:rPr>
        <w:t>3.5</w:t>
      </w:r>
      <w:r w:rsidRPr="00044E3F">
        <w:rPr>
          <w:b/>
        </w:rPr>
        <w:tab/>
        <w:t>Rectification of noncompliance</w:t>
      </w:r>
    </w:p>
    <w:p w:rsidR="00683CF6" w:rsidRPr="00F05867" w:rsidRDefault="00683CF6" w:rsidP="00683CF6">
      <w:pPr>
        <w:pStyle w:val="GG-body"/>
        <w:ind w:left="709"/>
      </w:pPr>
      <w:r w:rsidRPr="00F05867">
        <w:t>Where instances of non</w:t>
      </w:r>
      <w:r w:rsidRPr="00D717D1">
        <w:rPr>
          <w:i/>
        </w:rPr>
        <w:t>-</w:t>
      </w:r>
      <w:r w:rsidRPr="00F05867">
        <w:t>compliance have occurred during the current reporting period, provide the following information for each non</w:t>
      </w:r>
      <w:r w:rsidRPr="00D717D1">
        <w:rPr>
          <w:i/>
        </w:rPr>
        <w:t>-</w:t>
      </w:r>
      <w:r w:rsidRPr="00F05867">
        <w:t>compliance:</w:t>
      </w:r>
    </w:p>
    <w:p w:rsidR="00683CF6" w:rsidRPr="00F05867" w:rsidRDefault="00683CF6" w:rsidP="00683CF6">
      <w:pPr>
        <w:pStyle w:val="GG-body"/>
        <w:ind w:left="993" w:hanging="284"/>
      </w:pPr>
      <w:r w:rsidRPr="00F05867">
        <w:t>•</w:t>
      </w:r>
      <w:r w:rsidRPr="00F05867">
        <w:tab/>
        <w:t>Date of the incident.</w:t>
      </w:r>
    </w:p>
    <w:p w:rsidR="00683CF6" w:rsidRPr="00F05867" w:rsidRDefault="00683CF6" w:rsidP="00683CF6">
      <w:pPr>
        <w:pStyle w:val="GG-body"/>
        <w:ind w:left="993" w:hanging="284"/>
      </w:pPr>
      <w:r w:rsidRPr="00F05867">
        <w:t>•</w:t>
      </w:r>
      <w:r w:rsidRPr="00F05867">
        <w:tab/>
        <w:t>Type and description of the reportable incident.</w:t>
      </w:r>
    </w:p>
    <w:p w:rsidR="00683CF6" w:rsidRPr="00F05867" w:rsidRDefault="00683CF6" w:rsidP="00683CF6">
      <w:pPr>
        <w:pStyle w:val="GG-body"/>
        <w:ind w:left="993" w:hanging="284"/>
      </w:pPr>
      <w:r w:rsidRPr="00F05867">
        <w:t>•</w:t>
      </w:r>
      <w:r w:rsidRPr="00F05867">
        <w:tab/>
        <w:t>Date the incident was reported under regulation 79 of the</w:t>
      </w:r>
      <w:r w:rsidRPr="00761358">
        <w:rPr>
          <w:i/>
        </w:rPr>
        <w:t xml:space="preserve"> Mining Regulations 2020</w:t>
      </w:r>
      <w:r w:rsidRPr="00F05867">
        <w:t>.</w:t>
      </w:r>
    </w:p>
    <w:p w:rsidR="00683CF6" w:rsidRPr="00F05867" w:rsidRDefault="00683CF6" w:rsidP="00683CF6">
      <w:pPr>
        <w:pStyle w:val="GG-body"/>
        <w:ind w:left="993" w:hanging="284"/>
      </w:pPr>
      <w:r w:rsidRPr="00F05867">
        <w:t>•</w:t>
      </w:r>
      <w:r w:rsidRPr="00F05867">
        <w:tab/>
        <w:t>Cause of the non</w:t>
      </w:r>
      <w:r w:rsidRPr="00D717D1">
        <w:rPr>
          <w:i/>
        </w:rPr>
        <w:t>-</w:t>
      </w:r>
      <w:r w:rsidRPr="00F05867">
        <w:t>compliance.</w:t>
      </w:r>
    </w:p>
    <w:p w:rsidR="00683CF6" w:rsidRPr="00F05867" w:rsidRDefault="00683CF6" w:rsidP="00683CF6">
      <w:pPr>
        <w:pStyle w:val="GG-body"/>
        <w:ind w:left="993" w:hanging="284"/>
      </w:pPr>
      <w:r w:rsidRPr="00F05867">
        <w:t>•</w:t>
      </w:r>
      <w:r w:rsidRPr="00F05867">
        <w:tab/>
        <w:t>Any actions taken, or yet to be taken, to rectify the non</w:t>
      </w:r>
      <w:r w:rsidRPr="00D717D1">
        <w:rPr>
          <w:i/>
        </w:rPr>
        <w:t>-</w:t>
      </w:r>
      <w:r w:rsidRPr="00F05867">
        <w:t>compliance and to prevent the reoccurrence of any such non</w:t>
      </w:r>
      <w:r w:rsidRPr="00D717D1">
        <w:rPr>
          <w:i/>
        </w:rPr>
        <w:t>-</w:t>
      </w:r>
      <w:r w:rsidRPr="00F05867">
        <w:t>compliance.</w:t>
      </w:r>
    </w:p>
    <w:p w:rsidR="00683CF6" w:rsidRPr="00761358" w:rsidRDefault="00683CF6" w:rsidP="00683CF6">
      <w:pPr>
        <w:pStyle w:val="GG-body"/>
        <w:ind w:left="993" w:hanging="284"/>
      </w:pPr>
      <w:r w:rsidRPr="00F05867">
        <w:t>•</w:t>
      </w:r>
      <w:r w:rsidRPr="00F05867">
        <w:tab/>
        <w:t>Where non</w:t>
      </w:r>
      <w:r w:rsidRPr="00D717D1">
        <w:rPr>
          <w:i/>
        </w:rPr>
        <w:t>-</w:t>
      </w:r>
      <w:r w:rsidRPr="00F05867">
        <w:t>compliances under regulation 79 of the</w:t>
      </w:r>
      <w:r w:rsidRPr="00761358">
        <w:rPr>
          <w:i/>
        </w:rPr>
        <w:t xml:space="preserve"> Mining Regulations 2020</w:t>
      </w:r>
      <w:r w:rsidRPr="00F05867">
        <w:t xml:space="preserve"> have previously been reported in compliance reports, and not fully rectified at the time of reporting, a progress report to assess the effectiveness of rectification.</w:t>
      </w:r>
    </w:p>
    <w:p w:rsidR="00683CF6" w:rsidRPr="00761358" w:rsidRDefault="00683CF6" w:rsidP="00683CF6">
      <w:pPr>
        <w:pStyle w:val="GG-body"/>
        <w:ind w:left="709"/>
      </w:pPr>
      <w:r w:rsidRPr="00F05867">
        <w:t>Display this information using table 4 in the exploration compliance report template.</w:t>
      </w:r>
    </w:p>
    <w:p w:rsidR="00683CF6" w:rsidRPr="00761358" w:rsidRDefault="00683CF6" w:rsidP="00683CF6">
      <w:pPr>
        <w:pStyle w:val="GG-body"/>
        <w:ind w:left="709"/>
      </w:pPr>
      <w:r w:rsidRPr="00F05867">
        <w:t>List any DEM compliance inspection reports (date of inspection and tenements) where additional rehabilitation has been requested and demonstrate how these issues have been addressed.</w:t>
      </w:r>
    </w:p>
    <w:p w:rsidR="00683CF6" w:rsidRPr="00044E3F" w:rsidRDefault="00683CF6" w:rsidP="00683CF6">
      <w:pPr>
        <w:pStyle w:val="GG-body"/>
        <w:ind w:left="709" w:hanging="425"/>
        <w:rPr>
          <w:b/>
        </w:rPr>
      </w:pPr>
      <w:r w:rsidRPr="00044E3F">
        <w:rPr>
          <w:b/>
        </w:rPr>
        <w:t>3.6</w:t>
      </w:r>
      <w:r w:rsidRPr="00044E3F">
        <w:rPr>
          <w:b/>
        </w:rPr>
        <w:tab/>
        <w:t>Landowner consultation</w:t>
      </w:r>
    </w:p>
    <w:p w:rsidR="00683CF6" w:rsidRPr="00F05867" w:rsidRDefault="00683CF6" w:rsidP="00683CF6">
      <w:pPr>
        <w:pStyle w:val="GG-body"/>
        <w:ind w:left="709"/>
      </w:pPr>
      <w:r w:rsidRPr="00F05867">
        <w:t>Where land was entered to conduct exploration operations during the reporting period (includes rehabilitation), provide the following information:</w:t>
      </w:r>
    </w:p>
    <w:p w:rsidR="00683CF6" w:rsidRPr="00F05867" w:rsidRDefault="00683CF6" w:rsidP="00683CF6">
      <w:pPr>
        <w:pStyle w:val="GG-body"/>
        <w:ind w:left="993" w:hanging="284"/>
      </w:pPr>
      <w:r w:rsidRPr="00F05867">
        <w:t>•</w:t>
      </w:r>
      <w:r w:rsidRPr="00F05867">
        <w:tab/>
        <w:t>Landowner details (name and contact details) and a description of land use/tenure.</w:t>
      </w:r>
    </w:p>
    <w:p w:rsidR="00683CF6" w:rsidRPr="00F05867" w:rsidRDefault="00683CF6" w:rsidP="00683CF6">
      <w:pPr>
        <w:pStyle w:val="GG-body"/>
        <w:ind w:left="993" w:hanging="284"/>
      </w:pPr>
      <w:r w:rsidRPr="00F05867">
        <w:t>•</w:t>
      </w:r>
      <w:r w:rsidRPr="00F05867">
        <w:tab/>
        <w:t>Any landowner(s) concerns raised during the reporting period.</w:t>
      </w:r>
    </w:p>
    <w:p w:rsidR="00683CF6" w:rsidRPr="00F05867" w:rsidRDefault="00683CF6" w:rsidP="00683CF6">
      <w:pPr>
        <w:pStyle w:val="GG-body"/>
        <w:ind w:left="993" w:hanging="284"/>
      </w:pPr>
      <w:r w:rsidRPr="00F05867">
        <w:t>•</w:t>
      </w:r>
      <w:r w:rsidRPr="00F05867">
        <w:tab/>
        <w:t>How concerns raised by the landowner(s) were addressed.</w:t>
      </w:r>
    </w:p>
    <w:p w:rsidR="00683CF6" w:rsidRPr="00F05867" w:rsidRDefault="00683CF6" w:rsidP="00683CF6">
      <w:pPr>
        <w:pStyle w:val="GG-body"/>
        <w:ind w:left="993" w:hanging="284"/>
      </w:pPr>
      <w:r w:rsidRPr="00F05867">
        <w:t>•</w:t>
      </w:r>
      <w:r w:rsidRPr="00F05867">
        <w:tab/>
        <w:t>Date when notice of entry (Form 21) forms were served on the landowners or alternatively, if an agreement was entered into with the landowner in lieu of Form 21, the date the agreement was signed by all relevant parties.</w:t>
      </w:r>
    </w:p>
    <w:p w:rsidR="00683CF6" w:rsidRPr="00F05867" w:rsidRDefault="00683CF6" w:rsidP="00683CF6">
      <w:pPr>
        <w:pStyle w:val="GG-body"/>
        <w:ind w:left="993" w:hanging="284"/>
      </w:pPr>
      <w:r w:rsidRPr="00F05867">
        <w:t>•</w:t>
      </w:r>
      <w:r w:rsidRPr="00F05867">
        <w:tab/>
        <w:t>Where applicable, indicate the class of exempt land where exploration operations were undertaken and specify the date waivers (Form 23) were signed by the relevant parties.</w:t>
      </w:r>
    </w:p>
    <w:p w:rsidR="00683CF6" w:rsidRPr="00F05867" w:rsidRDefault="00683CF6" w:rsidP="00683CF6">
      <w:pPr>
        <w:pStyle w:val="GG-body"/>
        <w:ind w:left="993" w:hanging="284"/>
      </w:pPr>
      <w:r w:rsidRPr="00F05867">
        <w:t>•</w:t>
      </w:r>
      <w:r w:rsidRPr="00F05867">
        <w:tab/>
        <w:t>Indicate if notice of entry forms and waivers of exemptions have been served on the Mining Registrar.</w:t>
      </w:r>
    </w:p>
    <w:p w:rsidR="00683CF6" w:rsidRPr="00761358" w:rsidRDefault="00683CF6" w:rsidP="00683CF6">
      <w:pPr>
        <w:pStyle w:val="GG-body"/>
        <w:ind w:left="993" w:hanging="284"/>
      </w:pPr>
      <w:r w:rsidRPr="00F05867">
        <w:t>•</w:t>
      </w:r>
      <w:r w:rsidRPr="00F05867">
        <w:tab/>
        <w:t>Where applicable, provide evidence that approvals were obtained from relevant land managers such as local councils, Department of Defence (Woomera Prohibited Area), Dog Fence Board and pipeline authorities.</w:t>
      </w:r>
    </w:p>
    <w:p w:rsidR="00683CF6" w:rsidRPr="00761358" w:rsidRDefault="00683CF6" w:rsidP="00683CF6">
      <w:pPr>
        <w:pStyle w:val="GG-body"/>
        <w:ind w:left="709"/>
      </w:pPr>
      <w:r w:rsidRPr="00F05867">
        <w:t>Display this information using table 5 in the exploration compliance report template.</w:t>
      </w:r>
    </w:p>
    <w:p w:rsidR="00683CF6" w:rsidRPr="00761358" w:rsidRDefault="00683CF6" w:rsidP="00683CF6">
      <w:pPr>
        <w:pStyle w:val="GG-body"/>
        <w:ind w:left="709"/>
      </w:pPr>
      <w:r w:rsidRPr="00F05867">
        <w:t>Note: Landowner details are only required for properties entered during the reporting period.</w:t>
      </w:r>
    </w:p>
    <w:p w:rsidR="00683CF6" w:rsidRPr="00044E3F" w:rsidRDefault="00683CF6" w:rsidP="00683CF6">
      <w:pPr>
        <w:pStyle w:val="GG-body"/>
        <w:ind w:left="709" w:hanging="425"/>
        <w:rPr>
          <w:b/>
        </w:rPr>
      </w:pPr>
      <w:r w:rsidRPr="00044E3F">
        <w:rPr>
          <w:b/>
        </w:rPr>
        <w:t>3.7</w:t>
      </w:r>
      <w:r w:rsidRPr="00044E3F">
        <w:rPr>
          <w:b/>
        </w:rPr>
        <w:tab/>
        <w:t>Complaints</w:t>
      </w:r>
    </w:p>
    <w:p w:rsidR="00683CF6" w:rsidRPr="00F05867" w:rsidRDefault="00683CF6" w:rsidP="00683CF6">
      <w:pPr>
        <w:pStyle w:val="GG-body"/>
        <w:ind w:left="709"/>
      </w:pPr>
      <w:r w:rsidRPr="00F05867">
        <w:t>Indicate how concerns or complaints raised by third parties were resolved by providing the following information:</w:t>
      </w:r>
    </w:p>
    <w:p w:rsidR="00683CF6" w:rsidRPr="00F05867" w:rsidRDefault="00683CF6" w:rsidP="00683CF6">
      <w:pPr>
        <w:pStyle w:val="GG-body"/>
        <w:ind w:left="993" w:hanging="284"/>
      </w:pPr>
      <w:r w:rsidRPr="00F05867">
        <w:t>•</w:t>
      </w:r>
      <w:r w:rsidRPr="00F05867">
        <w:tab/>
        <w:t>Date of complaint.</w:t>
      </w:r>
    </w:p>
    <w:p w:rsidR="00683CF6" w:rsidRPr="00F05867" w:rsidRDefault="00683CF6" w:rsidP="00683CF6">
      <w:pPr>
        <w:pStyle w:val="GG-body"/>
        <w:ind w:left="993" w:hanging="284"/>
      </w:pPr>
      <w:r w:rsidRPr="00F05867">
        <w:t>•</w:t>
      </w:r>
      <w:r w:rsidRPr="00F05867">
        <w:tab/>
        <w:t>Nature of complaint.</w:t>
      </w:r>
    </w:p>
    <w:p w:rsidR="00683CF6" w:rsidRPr="00F05867" w:rsidRDefault="00683CF6" w:rsidP="00683CF6">
      <w:pPr>
        <w:pStyle w:val="GG-body"/>
        <w:ind w:left="993" w:hanging="284"/>
      </w:pPr>
      <w:r w:rsidRPr="00F05867">
        <w:t>•</w:t>
      </w:r>
      <w:r w:rsidRPr="00F05867">
        <w:tab/>
        <w:t>Whether or not it related to a non</w:t>
      </w:r>
      <w:r w:rsidRPr="00D717D1">
        <w:rPr>
          <w:i/>
        </w:rPr>
        <w:t>-</w:t>
      </w:r>
      <w:r w:rsidRPr="00F05867">
        <w:t>compliance.</w:t>
      </w:r>
    </w:p>
    <w:p w:rsidR="00683CF6" w:rsidRPr="00F05867" w:rsidRDefault="00683CF6" w:rsidP="00683CF6">
      <w:pPr>
        <w:pStyle w:val="GG-body"/>
        <w:ind w:left="993" w:hanging="284"/>
      </w:pPr>
      <w:r w:rsidRPr="00F05867">
        <w:t>•</w:t>
      </w:r>
      <w:r w:rsidRPr="00F05867">
        <w:tab/>
        <w:t>What action was</w:t>
      </w:r>
      <w:r>
        <w:t xml:space="preserve"> taken to address the complaint </w:t>
      </w:r>
      <w:r w:rsidRPr="00F05867">
        <w:t>(or yet to be taken).</w:t>
      </w:r>
    </w:p>
    <w:p w:rsidR="00683CF6" w:rsidRPr="00761358" w:rsidRDefault="00683CF6" w:rsidP="00683CF6">
      <w:pPr>
        <w:pStyle w:val="GG-body"/>
        <w:ind w:left="993" w:hanging="284"/>
      </w:pPr>
      <w:r w:rsidRPr="00F05867">
        <w:t>•</w:t>
      </w:r>
      <w:r w:rsidRPr="00F05867">
        <w:tab/>
        <w:t>Date the complaint was resolved. </w:t>
      </w:r>
    </w:p>
    <w:p w:rsidR="00683CF6" w:rsidRPr="00761358" w:rsidRDefault="00683CF6" w:rsidP="00683CF6">
      <w:pPr>
        <w:pStyle w:val="GG-body"/>
        <w:ind w:left="709"/>
      </w:pPr>
      <w:r w:rsidRPr="00F05867">
        <w:t>Display this information using table 6 in the exploration compliance report template.</w:t>
      </w:r>
    </w:p>
    <w:p w:rsidR="00683CF6" w:rsidRPr="00044E3F" w:rsidRDefault="00683CF6" w:rsidP="00683CF6">
      <w:pPr>
        <w:pStyle w:val="GG-body"/>
        <w:ind w:left="709" w:hanging="425"/>
        <w:rPr>
          <w:b/>
        </w:rPr>
      </w:pPr>
      <w:r w:rsidRPr="00044E3F">
        <w:rPr>
          <w:b/>
        </w:rPr>
        <w:t>3.8</w:t>
      </w:r>
      <w:r w:rsidRPr="00044E3F">
        <w:rPr>
          <w:b/>
        </w:rPr>
        <w:tab/>
        <w:t>Rehabilitation activities</w:t>
      </w:r>
    </w:p>
    <w:p w:rsidR="00683CF6" w:rsidRPr="00F05867" w:rsidRDefault="00683CF6" w:rsidP="00683CF6">
      <w:pPr>
        <w:pStyle w:val="GG-body"/>
        <w:ind w:left="709"/>
      </w:pPr>
      <w:r w:rsidRPr="00F05867">
        <w:t>Include the following information:</w:t>
      </w:r>
    </w:p>
    <w:p w:rsidR="00683CF6" w:rsidRPr="00F05867" w:rsidRDefault="00683CF6" w:rsidP="00683CF6">
      <w:pPr>
        <w:pStyle w:val="GG-body"/>
        <w:ind w:left="993" w:hanging="284"/>
      </w:pPr>
      <w:r w:rsidRPr="00F05867">
        <w:t>•</w:t>
      </w:r>
      <w:r w:rsidRPr="00F05867">
        <w:tab/>
        <w:t>Describe the rehabilitation methods used to achieve compliance with approved PEPRs</w:t>
      </w:r>
      <w:r w:rsidRPr="00D717D1">
        <w:rPr>
          <w:i/>
        </w:rPr>
        <w:t>—</w:t>
      </w:r>
      <w:r>
        <w:t xml:space="preserve">eg. </w:t>
      </w:r>
      <w:r w:rsidRPr="00F05867">
        <w:t>how drillsites/lines, tracks, camps and costeans were rehabilitated, and indicate if any of these methods differ from those outlined in approved PEPR(s).</w:t>
      </w:r>
    </w:p>
    <w:p w:rsidR="00683CF6" w:rsidRPr="00F05867" w:rsidRDefault="00683CF6" w:rsidP="00683CF6">
      <w:pPr>
        <w:pStyle w:val="GG-body"/>
        <w:ind w:left="993" w:hanging="284"/>
      </w:pPr>
      <w:r w:rsidRPr="00F05867">
        <w:t>•</w:t>
      </w:r>
      <w:r w:rsidRPr="00F05867">
        <w:tab/>
        <w:t>Summarise the rehabilitation status, including overall disturbance, of all exploration sites during the current and previous reporting period. This includes ELs prior to the grant of subsequent licences. Display this information using table 7 in the exploration compliance report template.</w:t>
      </w:r>
    </w:p>
    <w:p w:rsidR="00683CF6" w:rsidRPr="00F05867" w:rsidRDefault="00683CF6" w:rsidP="00683CF6">
      <w:pPr>
        <w:pStyle w:val="GG-body"/>
        <w:ind w:left="993" w:hanging="284"/>
      </w:pPr>
      <w:r w:rsidRPr="00F05867">
        <w:t>•</w:t>
      </w:r>
      <w:r w:rsidRPr="00F05867">
        <w:tab/>
        <w:t>Detail the location and rehabilitation status of all exploration sites during the current reporting period and un</w:t>
      </w:r>
      <w:r w:rsidRPr="00D717D1">
        <w:rPr>
          <w:i/>
        </w:rPr>
        <w:t>-</w:t>
      </w:r>
      <w:r w:rsidRPr="00F05867">
        <w:t>rehabilitated sites from previous reporting periods. Display this information using tables 8–12 in the exploration compliance report template.</w:t>
      </w:r>
    </w:p>
    <w:p w:rsidR="00683CF6" w:rsidRPr="00761358" w:rsidRDefault="00683CF6" w:rsidP="00683CF6">
      <w:pPr>
        <w:pStyle w:val="GG-body"/>
        <w:ind w:left="993" w:hanging="284"/>
      </w:pPr>
      <w:r w:rsidRPr="00F05867">
        <w:t>•</w:t>
      </w:r>
      <w:r w:rsidRPr="00F05867">
        <w:tab/>
        <w:t>Provide a description of rehabilitation activities planned for the next reporting period.</w:t>
      </w:r>
    </w:p>
    <w:p w:rsidR="00683CF6" w:rsidRPr="00761358" w:rsidRDefault="00683CF6" w:rsidP="00683CF6">
      <w:pPr>
        <w:pStyle w:val="GG-body"/>
        <w:ind w:left="1276" w:hanging="567"/>
      </w:pPr>
      <w:r w:rsidRPr="001954A0">
        <w:rPr>
          <w:b/>
          <w:i/>
        </w:rPr>
        <w:t>Note:</w:t>
      </w:r>
      <w:r>
        <w:tab/>
      </w:r>
      <w:r w:rsidRPr="00F05867">
        <w:t>Excel spreadsheets can be used in place of tables 8</w:t>
      </w:r>
      <w:r>
        <w:t>-</w:t>
      </w:r>
      <w:r w:rsidRPr="00F05867">
        <w:t>12 provided standard headers outlined in the template are maintained.</w:t>
      </w:r>
    </w:p>
    <w:p w:rsidR="00683CF6" w:rsidRDefault="00683CF6" w:rsidP="00683CF6">
      <w:pPr>
        <w:rPr>
          <w:b/>
        </w:rPr>
      </w:pPr>
      <w:r>
        <w:rPr>
          <w:b/>
        </w:rPr>
        <w:br w:type="page"/>
      </w:r>
    </w:p>
    <w:p w:rsidR="00683CF6" w:rsidRPr="000760C7" w:rsidRDefault="00683CF6" w:rsidP="00683CF6">
      <w:pPr>
        <w:pStyle w:val="GG-body"/>
        <w:ind w:left="709" w:hanging="425"/>
        <w:rPr>
          <w:b/>
        </w:rPr>
      </w:pPr>
      <w:r w:rsidRPr="000760C7">
        <w:rPr>
          <w:b/>
        </w:rPr>
        <w:t>3.9</w:t>
      </w:r>
      <w:r w:rsidRPr="000760C7">
        <w:rPr>
          <w:b/>
        </w:rPr>
        <w:tab/>
        <w:t>Reconciliation of native vegetation clearance</w:t>
      </w:r>
    </w:p>
    <w:p w:rsidR="00683CF6" w:rsidRPr="00F05867" w:rsidRDefault="00683CF6" w:rsidP="00683CF6">
      <w:pPr>
        <w:pStyle w:val="GG-body"/>
        <w:ind w:left="709"/>
      </w:pPr>
      <w:r w:rsidRPr="00F05867">
        <w:t>Where the PEPR includes an approved native vegetation management plan (NVMP) for the clearance of native vegetation</w:t>
      </w:r>
      <w:r>
        <w:t xml:space="preserve"> </w:t>
      </w:r>
      <w:r w:rsidRPr="00F05867">
        <w:t xml:space="preserve">under the </w:t>
      </w:r>
      <w:r w:rsidRPr="000760C7">
        <w:rPr>
          <w:i/>
        </w:rPr>
        <w:t>Native Vegetation Act 1991</w:t>
      </w:r>
      <w:r w:rsidRPr="00F05867">
        <w:t>, include:</w:t>
      </w:r>
    </w:p>
    <w:p w:rsidR="00683CF6" w:rsidRPr="00F05867" w:rsidRDefault="00683CF6" w:rsidP="00683CF6">
      <w:pPr>
        <w:pStyle w:val="GG-body"/>
        <w:ind w:left="993" w:hanging="284"/>
      </w:pPr>
      <w:r w:rsidRPr="00F05867">
        <w:t>•</w:t>
      </w:r>
      <w:r w:rsidRPr="00F05867">
        <w:tab/>
        <w:t>The approved maximum native vegetation clearance, as described in the PEPR (in hectares and shown on a plan).</w:t>
      </w:r>
    </w:p>
    <w:p w:rsidR="00683CF6" w:rsidRPr="00F05867" w:rsidRDefault="00683CF6" w:rsidP="00683CF6">
      <w:pPr>
        <w:pStyle w:val="GG-body"/>
        <w:ind w:left="993" w:hanging="284"/>
      </w:pPr>
      <w:r w:rsidRPr="00F05867">
        <w:t>•</w:t>
      </w:r>
      <w:r w:rsidRPr="00F05867">
        <w:tab/>
        <w:t>The amount of native vegetation cleared in the reporting period (in hectares and shown on a plan) x the total amount cleared to date, and x an estimated amount proposed to be cleared in the next reporting period.</w:t>
      </w:r>
    </w:p>
    <w:p w:rsidR="00683CF6" w:rsidRPr="00761358" w:rsidRDefault="00683CF6" w:rsidP="00683CF6">
      <w:pPr>
        <w:pStyle w:val="GG-body"/>
        <w:ind w:left="993" w:hanging="284"/>
      </w:pPr>
      <w:r w:rsidRPr="00F05867">
        <w:t>•</w:t>
      </w:r>
      <w:r w:rsidRPr="00F05867">
        <w:tab/>
        <w:t>Provision of information, including annual monitoring and progress reports to demonstrate compliance with the NVMP where the Significant Environmental Benefit (SEB) is being provided by the tenement holder or mine operator by way of an on</w:t>
      </w:r>
      <w:r w:rsidRPr="00D717D1">
        <w:rPr>
          <w:i/>
        </w:rPr>
        <w:t>-</w:t>
      </w:r>
      <w:r w:rsidRPr="00F05867">
        <w:t>ground SEB offset.</w:t>
      </w:r>
    </w:p>
    <w:p w:rsidR="00683CF6" w:rsidRPr="00044E3F" w:rsidRDefault="00683CF6" w:rsidP="00683CF6">
      <w:pPr>
        <w:pStyle w:val="GG-body"/>
        <w:ind w:left="709" w:hanging="425"/>
        <w:rPr>
          <w:b/>
        </w:rPr>
      </w:pPr>
      <w:r w:rsidRPr="00044E3F">
        <w:rPr>
          <w:b/>
        </w:rPr>
        <w:t>3.10</w:t>
      </w:r>
      <w:r w:rsidRPr="00044E3F">
        <w:rPr>
          <w:b/>
        </w:rPr>
        <w:tab/>
        <w:t>Groundwater</w:t>
      </w:r>
    </w:p>
    <w:p w:rsidR="00683CF6" w:rsidRPr="00F05867" w:rsidRDefault="00683CF6" w:rsidP="00683CF6">
      <w:pPr>
        <w:pStyle w:val="GG-body"/>
        <w:ind w:left="709"/>
      </w:pPr>
      <w:r w:rsidRPr="00F05867">
        <w:t>Include the following information:</w:t>
      </w:r>
    </w:p>
    <w:p w:rsidR="00683CF6" w:rsidRPr="00F05867" w:rsidRDefault="00683CF6" w:rsidP="00683CF6">
      <w:pPr>
        <w:pStyle w:val="GG-body"/>
        <w:ind w:left="993" w:hanging="284"/>
      </w:pPr>
      <w:r w:rsidRPr="00F05867">
        <w:t>•</w:t>
      </w:r>
      <w:r w:rsidRPr="00F05867">
        <w:tab/>
        <w:t xml:space="preserve">Indicate if drilling was conducted in a prescribed wells or water resource area (prescribed under the </w:t>
      </w:r>
      <w:r w:rsidRPr="00010E7C">
        <w:rPr>
          <w:i/>
        </w:rPr>
        <w:t>Landscape South Australia Act 2019</w:t>
      </w:r>
      <w:r w:rsidRPr="00F05867">
        <w:t>).</w:t>
      </w:r>
    </w:p>
    <w:p w:rsidR="00683CF6" w:rsidRPr="00F05867" w:rsidRDefault="00683CF6" w:rsidP="00683CF6">
      <w:pPr>
        <w:pStyle w:val="GG-body"/>
        <w:ind w:left="993" w:hanging="284"/>
      </w:pPr>
      <w:r w:rsidRPr="00F05867">
        <w:t>•</w:t>
      </w:r>
      <w:r w:rsidRPr="00F05867">
        <w:tab/>
        <w:t>Indicate the name of the drilling company used to conduct the program.</w:t>
      </w:r>
    </w:p>
    <w:p w:rsidR="00683CF6" w:rsidRPr="00F05867" w:rsidRDefault="00683CF6" w:rsidP="00683CF6">
      <w:pPr>
        <w:pStyle w:val="GG-body"/>
        <w:ind w:left="993" w:hanging="284"/>
      </w:pPr>
      <w:r w:rsidRPr="00F05867">
        <w:t>•</w:t>
      </w:r>
      <w:r w:rsidRPr="00F05867">
        <w:tab/>
        <w:t>A description of the groundwater conditions encountered during drilling</w:t>
      </w:r>
      <w:r w:rsidRPr="00D717D1">
        <w:rPr>
          <w:i/>
        </w:rPr>
        <w:t>—</w:t>
      </w:r>
      <w:r w:rsidRPr="00F05867">
        <w:t>eg</w:t>
      </w:r>
      <w:r>
        <w:t>.</w:t>
      </w:r>
      <w:r w:rsidRPr="00F05867">
        <w:t xml:space="preserve"> artesian, sub</w:t>
      </w:r>
      <w:r w:rsidRPr="00D717D1">
        <w:rPr>
          <w:i/>
        </w:rPr>
        <w:t>-</w:t>
      </w:r>
      <w:r w:rsidRPr="00F05867">
        <w:t>artesian, confined and/or multiple aquifers, no aquifers or a single unconfined aquifer.</w:t>
      </w:r>
    </w:p>
    <w:p w:rsidR="00683CF6" w:rsidRPr="00F05867" w:rsidRDefault="00683CF6" w:rsidP="00683CF6">
      <w:pPr>
        <w:pStyle w:val="GG-body"/>
        <w:ind w:left="993" w:hanging="284"/>
      </w:pPr>
      <w:r w:rsidRPr="00F05867">
        <w:t>•</w:t>
      </w:r>
      <w:r w:rsidRPr="00F05867">
        <w:tab/>
        <w:t>Where groundwater was encountered, provide supporting evidence that confirms the groundwater conditions.</w:t>
      </w:r>
    </w:p>
    <w:p w:rsidR="00683CF6" w:rsidRPr="00F05867" w:rsidRDefault="00683CF6" w:rsidP="00683CF6">
      <w:pPr>
        <w:pStyle w:val="GG-body"/>
        <w:ind w:left="993" w:hanging="284"/>
      </w:pPr>
      <w:r w:rsidRPr="00F05867">
        <w:t>•</w:t>
      </w:r>
      <w:r w:rsidRPr="00F05867">
        <w:tab/>
        <w:t>Specify the well driller</w:t>
      </w:r>
      <w:r w:rsidRPr="00D717D1">
        <w:rPr>
          <w:i/>
        </w:rPr>
        <w:t>’</w:t>
      </w:r>
      <w:r w:rsidRPr="00F05867">
        <w:t>s licence class i.e. 1, 2 or 3 of the driller(s) used.</w:t>
      </w:r>
    </w:p>
    <w:p w:rsidR="00683CF6" w:rsidRPr="00F05867" w:rsidRDefault="00683CF6" w:rsidP="00683CF6">
      <w:pPr>
        <w:pStyle w:val="GG-body"/>
        <w:ind w:left="993" w:hanging="284"/>
      </w:pPr>
      <w:r w:rsidRPr="00F05867">
        <w:t>•</w:t>
      </w:r>
      <w:r w:rsidRPr="00F05867">
        <w:tab/>
        <w:t>If groundwater was encountered, indicate if the Department for Environment and Water (DEW) drilling inspector was notified 14 days prior to commencement of the program.</w:t>
      </w:r>
    </w:p>
    <w:p w:rsidR="00683CF6" w:rsidRPr="00F05867" w:rsidRDefault="00683CF6" w:rsidP="00683CF6">
      <w:pPr>
        <w:pStyle w:val="GG-body"/>
        <w:ind w:left="993" w:hanging="284"/>
      </w:pPr>
      <w:r w:rsidRPr="00F05867">
        <w:t>•</w:t>
      </w:r>
      <w:r w:rsidRPr="00F05867">
        <w:tab/>
      </w:r>
      <w:r w:rsidRPr="00010E7C">
        <w:rPr>
          <w:spacing w:val="-2"/>
        </w:rPr>
        <w:t>The environmental value of each aquifer present determined according to the current Environment Protection (Water Quality) Policy.</w:t>
      </w:r>
    </w:p>
    <w:p w:rsidR="00683CF6" w:rsidRPr="00F05867" w:rsidRDefault="00683CF6" w:rsidP="00683CF6">
      <w:pPr>
        <w:pStyle w:val="GG-body"/>
        <w:ind w:left="993" w:hanging="284"/>
      </w:pPr>
      <w:r w:rsidRPr="00F05867">
        <w:t>•</w:t>
      </w:r>
      <w:r w:rsidRPr="00F05867">
        <w:tab/>
        <w:t>Where a single confined aquifer, multiple aquifers or artesian aquifers were intersected, provide evidence demonstrating that drillholes were constructed and abandoned in accordance with M</w:t>
      </w:r>
      <w:r>
        <w:t>ineral exploration drillholes—</w:t>
      </w:r>
      <w:r w:rsidRPr="00F05867">
        <w:t>general specifications for construction and backfilling, Earth Resources Information Sheet M21, available on the DEM Minerals website. Provide specific details on how this was achieved, including details on the placement of cement grout plugs required to restore controlling geological conditions prior to drilling. Display this information in a drillhole abandonment or completion diagram(s) and using table 13 in the exploration compliance report template.</w:t>
      </w:r>
    </w:p>
    <w:p w:rsidR="00683CF6" w:rsidRPr="00761358" w:rsidRDefault="00683CF6" w:rsidP="00683CF6">
      <w:pPr>
        <w:pStyle w:val="GG-body"/>
        <w:ind w:left="993" w:hanging="284"/>
      </w:pPr>
      <w:r w:rsidRPr="00F05867">
        <w:t>•</w:t>
      </w:r>
      <w:r w:rsidRPr="00F05867">
        <w:tab/>
        <w:t>If cement grout plugs were required, indicate if plugs were set to the satisfaction of the DEW drilling inspector.</w:t>
      </w:r>
    </w:p>
    <w:p w:rsidR="00683CF6" w:rsidRPr="00044E3F" w:rsidRDefault="00683CF6" w:rsidP="00683CF6">
      <w:pPr>
        <w:pStyle w:val="GG-body"/>
        <w:ind w:left="709" w:hanging="425"/>
        <w:rPr>
          <w:b/>
        </w:rPr>
      </w:pPr>
      <w:r w:rsidRPr="00044E3F">
        <w:rPr>
          <w:b/>
        </w:rPr>
        <w:t>3.11</w:t>
      </w:r>
      <w:r w:rsidRPr="00044E3F">
        <w:rPr>
          <w:b/>
        </w:rPr>
        <w:tab/>
        <w:t>Photos</w:t>
      </w:r>
    </w:p>
    <w:p w:rsidR="00683CF6" w:rsidRPr="00F05867" w:rsidRDefault="00683CF6" w:rsidP="00683CF6">
      <w:pPr>
        <w:pStyle w:val="GG-body"/>
        <w:ind w:left="709"/>
      </w:pPr>
      <w:r w:rsidRPr="00F05867">
        <w:t>Include photographs that:</w:t>
      </w:r>
    </w:p>
    <w:p w:rsidR="00683CF6" w:rsidRPr="00F05867" w:rsidRDefault="00683CF6" w:rsidP="00683CF6">
      <w:pPr>
        <w:pStyle w:val="GG-body"/>
        <w:ind w:left="993" w:hanging="284"/>
      </w:pPr>
      <w:r w:rsidRPr="00F05867">
        <w:t>•</w:t>
      </w:r>
      <w:r w:rsidRPr="00F05867">
        <w:tab/>
        <w:t>have been obtained during site visits</w:t>
      </w:r>
    </w:p>
    <w:p w:rsidR="00683CF6" w:rsidRPr="00F05867" w:rsidRDefault="00683CF6" w:rsidP="00683CF6">
      <w:pPr>
        <w:pStyle w:val="GG-body"/>
        <w:ind w:left="993" w:hanging="284"/>
      </w:pPr>
      <w:r w:rsidRPr="00F05867">
        <w:t>•</w:t>
      </w:r>
      <w:r w:rsidRPr="00F05867">
        <w:tab/>
        <w:t>help describe relevant environmental and operational aspects in the PEPR</w:t>
      </w:r>
    </w:p>
    <w:p w:rsidR="00683CF6" w:rsidRPr="00761358" w:rsidRDefault="00683CF6" w:rsidP="00683CF6">
      <w:pPr>
        <w:pStyle w:val="GG-body"/>
        <w:ind w:left="993" w:hanging="284"/>
      </w:pPr>
      <w:r w:rsidRPr="00F05867">
        <w:t>•</w:t>
      </w:r>
      <w:r w:rsidRPr="00F05867">
        <w:tab/>
        <w:t>are required to demonstrate compliance with approved programs and environmental outcomes.</w:t>
      </w:r>
    </w:p>
    <w:p w:rsidR="00683CF6" w:rsidRPr="00761358" w:rsidRDefault="00683CF6" w:rsidP="00683CF6">
      <w:pPr>
        <w:pStyle w:val="GG-body"/>
        <w:ind w:left="709"/>
      </w:pPr>
      <w:r w:rsidRPr="00F05867">
        <w:t>Photos should be clearly labelled and include GPS coordinates (GDA2020, GDA94), site identification details and the date taken.</w:t>
      </w:r>
    </w:p>
    <w:p w:rsidR="00683CF6" w:rsidRPr="00044E3F" w:rsidRDefault="00683CF6" w:rsidP="00683CF6">
      <w:pPr>
        <w:pStyle w:val="GG-body"/>
        <w:ind w:left="709" w:hanging="425"/>
        <w:rPr>
          <w:b/>
        </w:rPr>
      </w:pPr>
      <w:r w:rsidRPr="00044E3F">
        <w:rPr>
          <w:b/>
        </w:rPr>
        <w:t>3.12</w:t>
      </w:r>
      <w:r w:rsidRPr="00044E3F">
        <w:rPr>
          <w:b/>
        </w:rPr>
        <w:tab/>
        <w:t>Maps</w:t>
      </w:r>
    </w:p>
    <w:p w:rsidR="00683CF6" w:rsidRPr="00F05867" w:rsidRDefault="00683CF6" w:rsidP="00683CF6">
      <w:pPr>
        <w:pStyle w:val="GG-body"/>
        <w:ind w:left="709"/>
      </w:pPr>
      <w:r w:rsidRPr="00F05867">
        <w:t>In addition to any maps provided to demonstrate compliance with approved outcomes, provide an appropriate map of exploration operations showing:</w:t>
      </w:r>
    </w:p>
    <w:p w:rsidR="00683CF6" w:rsidRPr="00F05867" w:rsidRDefault="00683CF6" w:rsidP="00683CF6">
      <w:pPr>
        <w:pStyle w:val="GG-body"/>
        <w:ind w:left="993" w:hanging="284"/>
      </w:pPr>
      <w:r w:rsidRPr="00F05867">
        <w:t>•</w:t>
      </w:r>
      <w:r w:rsidRPr="00F05867">
        <w:tab/>
        <w:t>relevant tenement boundaries</w:t>
      </w:r>
    </w:p>
    <w:p w:rsidR="00683CF6" w:rsidRPr="00F05867" w:rsidRDefault="00683CF6" w:rsidP="00683CF6">
      <w:pPr>
        <w:pStyle w:val="GG-body"/>
        <w:ind w:left="993" w:hanging="284"/>
      </w:pPr>
      <w:r w:rsidRPr="00F05867">
        <w:t>•</w:t>
      </w:r>
      <w:r w:rsidRPr="00F05867">
        <w:tab/>
        <w:t>local topographic features and other pertinent information, including environmentally sensitive area(s)</w:t>
      </w:r>
    </w:p>
    <w:p w:rsidR="00683CF6" w:rsidRPr="00F05867" w:rsidRDefault="00683CF6" w:rsidP="00683CF6">
      <w:pPr>
        <w:pStyle w:val="GG-body"/>
        <w:ind w:left="993" w:hanging="284"/>
      </w:pPr>
      <w:r w:rsidRPr="00F05867">
        <w:t>•</w:t>
      </w:r>
      <w:r w:rsidRPr="00F05867">
        <w:tab/>
        <w:t>property boundaries with landowner names</w:t>
      </w:r>
    </w:p>
    <w:p w:rsidR="00683CF6" w:rsidRPr="00F05867" w:rsidRDefault="00683CF6" w:rsidP="00683CF6">
      <w:pPr>
        <w:pStyle w:val="GG-body"/>
        <w:ind w:left="993" w:hanging="284"/>
      </w:pPr>
      <w:r w:rsidRPr="00F05867">
        <w:t>•</w:t>
      </w:r>
      <w:r w:rsidRPr="00F05867">
        <w:tab/>
        <w:t>drillhole/costean locations</w:t>
      </w:r>
    </w:p>
    <w:p w:rsidR="00683CF6" w:rsidRPr="00F05867" w:rsidRDefault="00683CF6" w:rsidP="00683CF6">
      <w:pPr>
        <w:pStyle w:val="GG-body"/>
        <w:ind w:left="993" w:hanging="284"/>
      </w:pPr>
      <w:r w:rsidRPr="00F05867">
        <w:t>•</w:t>
      </w:r>
      <w:r w:rsidRPr="00F05867">
        <w:tab/>
        <w:t>water bores</w:t>
      </w:r>
    </w:p>
    <w:p w:rsidR="00683CF6" w:rsidRPr="00F05867" w:rsidRDefault="00683CF6" w:rsidP="00683CF6">
      <w:pPr>
        <w:pStyle w:val="GG-body"/>
        <w:ind w:left="993" w:hanging="284"/>
      </w:pPr>
      <w:r w:rsidRPr="00F05867">
        <w:t>•</w:t>
      </w:r>
      <w:r w:rsidRPr="00F05867">
        <w:tab/>
        <w:t>existing access routes, new tracks created and cross</w:t>
      </w:r>
      <w:r w:rsidRPr="000760C7">
        <w:t>-</w:t>
      </w:r>
      <w:r w:rsidRPr="00F05867">
        <w:t>country access routes</w:t>
      </w:r>
    </w:p>
    <w:p w:rsidR="00683CF6" w:rsidRPr="00F05867" w:rsidRDefault="00683CF6" w:rsidP="00683CF6">
      <w:pPr>
        <w:pStyle w:val="GG-body"/>
        <w:ind w:left="993" w:hanging="284"/>
      </w:pPr>
      <w:r w:rsidRPr="00F05867">
        <w:t>•</w:t>
      </w:r>
      <w:r w:rsidRPr="00F05867">
        <w:tab/>
        <w:t>campsite locations</w:t>
      </w:r>
    </w:p>
    <w:p w:rsidR="00683CF6" w:rsidRPr="00F05867" w:rsidRDefault="00683CF6" w:rsidP="00683CF6">
      <w:pPr>
        <w:pStyle w:val="GG-body"/>
        <w:ind w:left="993" w:hanging="284"/>
      </w:pPr>
      <w:r w:rsidRPr="00F05867">
        <w:t>•</w:t>
      </w:r>
      <w:r w:rsidRPr="00F05867">
        <w:tab/>
        <w:t>any other exploration or ancillary operations undertaken during the course of the exploration program</w:t>
      </w:r>
    </w:p>
    <w:p w:rsidR="00683CF6" w:rsidRPr="00761358" w:rsidRDefault="00683CF6" w:rsidP="00683CF6">
      <w:pPr>
        <w:pStyle w:val="GG-body"/>
        <w:ind w:left="993" w:hanging="284"/>
      </w:pPr>
      <w:r w:rsidRPr="00F05867">
        <w:t>•</w:t>
      </w:r>
      <w:r w:rsidRPr="00F05867">
        <w:tab/>
        <w:t>rehabilitation status with indicative symbology/colours.</w:t>
      </w:r>
    </w:p>
    <w:p w:rsidR="00683CF6" w:rsidRPr="00F05867" w:rsidRDefault="00683CF6" w:rsidP="00683CF6">
      <w:pPr>
        <w:pStyle w:val="GG-body"/>
        <w:ind w:left="709"/>
      </w:pPr>
      <w:r w:rsidRPr="00F05867">
        <w:t>Maps included within the report must conform to the following standards:</w:t>
      </w:r>
    </w:p>
    <w:p w:rsidR="00683CF6" w:rsidRPr="00F05867" w:rsidRDefault="00683CF6" w:rsidP="00683CF6">
      <w:pPr>
        <w:pStyle w:val="GG-body"/>
        <w:ind w:left="993" w:hanging="284"/>
      </w:pPr>
      <w:r>
        <w:t>•</w:t>
      </w:r>
      <w:r>
        <w:tab/>
        <w:t>state the relevant datum—</w:t>
      </w:r>
      <w:r w:rsidRPr="00F05867">
        <w:t>eg</w:t>
      </w:r>
      <w:r>
        <w:t>.</w:t>
      </w:r>
      <w:r w:rsidRPr="00F05867">
        <w:t xml:space="preserve"> GDA2020, GDA94</w:t>
      </w:r>
    </w:p>
    <w:p w:rsidR="00683CF6" w:rsidRPr="00F05867" w:rsidRDefault="00683CF6" w:rsidP="00683CF6">
      <w:pPr>
        <w:pStyle w:val="GG-body"/>
        <w:ind w:left="993" w:hanging="284"/>
      </w:pPr>
      <w:r w:rsidRPr="00F05867">
        <w:t>•</w:t>
      </w:r>
      <w:r w:rsidRPr="00F05867">
        <w:tab/>
        <w:t>use metric units</w:t>
      </w:r>
    </w:p>
    <w:p w:rsidR="00683CF6" w:rsidRPr="00F05867" w:rsidRDefault="00683CF6" w:rsidP="00683CF6">
      <w:pPr>
        <w:pStyle w:val="GG-body"/>
        <w:ind w:left="993" w:hanging="284"/>
      </w:pPr>
      <w:r w:rsidRPr="00F05867">
        <w:t>•</w:t>
      </w:r>
      <w:r w:rsidRPr="00F05867">
        <w:tab/>
        <w:t>include a title, north arrow, scale bar, text and legend</w:t>
      </w:r>
    </w:p>
    <w:p w:rsidR="00683CF6" w:rsidRPr="00F05867" w:rsidRDefault="00683CF6" w:rsidP="00683CF6">
      <w:pPr>
        <w:pStyle w:val="GG-body"/>
        <w:ind w:left="993" w:hanging="284"/>
      </w:pPr>
      <w:r w:rsidRPr="00F05867">
        <w:t>•</w:t>
      </w:r>
      <w:r w:rsidRPr="00F05867">
        <w:tab/>
        <w:t>state the date prepared and author</w:t>
      </w:r>
    </w:p>
    <w:p w:rsidR="00683CF6" w:rsidRPr="00761358" w:rsidRDefault="00683CF6" w:rsidP="00683CF6">
      <w:pPr>
        <w:pStyle w:val="GG-body"/>
        <w:ind w:left="993" w:hanging="284"/>
      </w:pPr>
      <w:r w:rsidRPr="00F05867">
        <w:t>•</w:t>
      </w:r>
      <w:r w:rsidRPr="00F05867">
        <w:tab/>
        <w:t>be of appropriate resolution and scale to show the represented information.</w:t>
      </w:r>
    </w:p>
    <w:p w:rsidR="00683CF6" w:rsidRDefault="00683CF6" w:rsidP="00683CF6">
      <w:pPr>
        <w:rPr>
          <w:b/>
        </w:rPr>
      </w:pPr>
      <w:r>
        <w:rPr>
          <w:b/>
        </w:rPr>
        <w:br w:type="page"/>
      </w:r>
    </w:p>
    <w:p w:rsidR="00683CF6" w:rsidRPr="00044E3F" w:rsidRDefault="00683CF6" w:rsidP="00683CF6">
      <w:pPr>
        <w:pStyle w:val="GG-body"/>
        <w:ind w:left="709" w:hanging="425"/>
        <w:rPr>
          <w:b/>
        </w:rPr>
      </w:pPr>
      <w:r w:rsidRPr="00044E3F">
        <w:rPr>
          <w:b/>
        </w:rPr>
        <w:t>3.13</w:t>
      </w:r>
      <w:r w:rsidRPr="00044E3F">
        <w:rPr>
          <w:b/>
        </w:rPr>
        <w:tab/>
        <w:t>Public liability insurance</w:t>
      </w:r>
    </w:p>
    <w:p w:rsidR="00683CF6" w:rsidRPr="00761358" w:rsidRDefault="00683CF6" w:rsidP="00683CF6">
      <w:pPr>
        <w:pStyle w:val="GG-body"/>
        <w:ind w:left="709"/>
      </w:pPr>
      <w:r w:rsidRPr="00F05867">
        <w:t>Provide an update on whether the tenement holder holds public liability insurance (third party or self</w:t>
      </w:r>
      <w:r w:rsidRPr="00D717D1">
        <w:rPr>
          <w:i/>
        </w:rPr>
        <w:t>-</w:t>
      </w:r>
      <w:r w:rsidRPr="00F05867">
        <w:t>insured) and whether a certificate evidencing the insurance and any endorsements or waivers relating to insurance coverage have been provided.</w:t>
      </w:r>
    </w:p>
    <w:p w:rsidR="00683CF6" w:rsidRPr="00761358" w:rsidRDefault="00683CF6" w:rsidP="00683CF6">
      <w:pPr>
        <w:pStyle w:val="GG-SDated"/>
      </w:pPr>
      <w:r>
        <w:t>Dated: 11 December 2020</w:t>
      </w:r>
    </w:p>
    <w:p w:rsidR="00683CF6" w:rsidRPr="00761358" w:rsidRDefault="00683CF6" w:rsidP="00683CF6">
      <w:pPr>
        <w:pStyle w:val="GG-SName"/>
      </w:pPr>
      <w:r w:rsidRPr="00F05867">
        <w:t>Hon. Daniel van Holst Pellekaan</w:t>
      </w:r>
    </w:p>
    <w:p w:rsidR="00683CF6" w:rsidRDefault="00683CF6" w:rsidP="00683CF6">
      <w:pPr>
        <w:pStyle w:val="GG-Signature"/>
        <w:spacing w:after="80"/>
      </w:pPr>
      <w:r w:rsidRPr="00F05867">
        <w:t>Minister for Energy and Mining</w:t>
      </w:r>
    </w:p>
    <w:p w:rsidR="00683CF6" w:rsidRDefault="00683CF6" w:rsidP="00683CF6">
      <w:pPr>
        <w:pStyle w:val="GG-body"/>
        <w:ind w:left="709"/>
      </w:pPr>
      <w:r w:rsidRPr="00F05867">
        <w:t>For the purposes of regulation 77(8) of the</w:t>
      </w:r>
      <w:r w:rsidRPr="00761358">
        <w:rPr>
          <w:i/>
        </w:rPr>
        <w:t xml:space="preserve"> Mining Regulations 2020</w:t>
      </w:r>
      <w:r w:rsidRPr="00F05867">
        <w:t>, it is determined that the holder of an exploration licence is exempted from the requirement to furnish the Minister with a compliance report under regulation 77(2) of the</w:t>
      </w:r>
      <w:r w:rsidRPr="00761358">
        <w:rPr>
          <w:i/>
        </w:rPr>
        <w:t xml:space="preserve"> Mining Regulations 2020</w:t>
      </w:r>
      <w:r w:rsidRPr="00F05867">
        <w:t xml:space="preserve"> where the operations on that licence are limited to operations within the ambit of an adopted program under section 70B(8) of the</w:t>
      </w:r>
      <w:r w:rsidRPr="00761358">
        <w:rPr>
          <w:i/>
        </w:rPr>
        <w:t xml:space="preserve"> Mining Act 1971</w:t>
      </w:r>
      <w:r w:rsidRPr="00F05867">
        <w:t xml:space="preserve"> and regulation 65 of the</w:t>
      </w:r>
      <w:r w:rsidRPr="00761358">
        <w:rPr>
          <w:i/>
        </w:rPr>
        <w:t xml:space="preserve"> Mining Regulations 2020</w:t>
      </w:r>
      <w:r w:rsidRPr="00F05867">
        <w:t xml:space="preserve"> (unless determined otherwise on a case by case basis).</w:t>
      </w:r>
    </w:p>
    <w:p w:rsidR="00683CF6" w:rsidRPr="00761358" w:rsidRDefault="00683CF6" w:rsidP="00683CF6">
      <w:pPr>
        <w:pStyle w:val="GG-SDated"/>
      </w:pPr>
      <w:r>
        <w:t>Dated: 15 December 2020</w:t>
      </w:r>
    </w:p>
    <w:p w:rsidR="00683CF6" w:rsidRDefault="00683CF6" w:rsidP="00683CF6">
      <w:pPr>
        <w:pStyle w:val="GG-SName"/>
      </w:pPr>
      <w:r>
        <w:t>Dr Paul Heithersay</w:t>
      </w:r>
    </w:p>
    <w:p w:rsidR="00683CF6" w:rsidRDefault="00683CF6" w:rsidP="00683CF6">
      <w:pPr>
        <w:pStyle w:val="GG-Signature"/>
      </w:pPr>
      <w:r>
        <w:t>Director of Mines</w:t>
      </w:r>
    </w:p>
    <w:p w:rsidR="00683CF6" w:rsidRDefault="00683CF6" w:rsidP="00683CF6">
      <w:pPr>
        <w:pStyle w:val="GG-body"/>
        <w:pBdr>
          <w:top w:val="single" w:sz="4" w:space="1" w:color="auto"/>
        </w:pBdr>
        <w:spacing w:before="100" w:after="0" w:line="14" w:lineRule="exact"/>
        <w:jc w:val="center"/>
      </w:pPr>
    </w:p>
    <w:p w:rsidR="00683CF6" w:rsidRPr="00F05867" w:rsidRDefault="00683CF6" w:rsidP="00683CF6">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rsidR="00683CF6" w:rsidRPr="00767048" w:rsidRDefault="00683CF6" w:rsidP="00683CF6">
      <w:pPr>
        <w:pStyle w:val="GG-Title1"/>
      </w:pPr>
      <w:r w:rsidRPr="00767048">
        <w:t>Mining Regulations 2020</w:t>
      </w:r>
    </w:p>
    <w:p w:rsidR="00683CF6" w:rsidRDefault="00683CF6" w:rsidP="00683CF6">
      <w:pPr>
        <w:pStyle w:val="GG-Title2"/>
      </w:pPr>
      <w:r w:rsidRPr="00767048">
        <w:t>Regulation 79</w:t>
      </w:r>
    </w:p>
    <w:p w:rsidR="00683CF6" w:rsidRPr="00767048" w:rsidRDefault="00683CF6" w:rsidP="00683CF6">
      <w:pPr>
        <w:pStyle w:val="GG-Title3"/>
      </w:pPr>
      <w:r w:rsidRPr="00767048">
        <w:t>Incident Report Template</w:t>
      </w:r>
    </w:p>
    <w:p w:rsidR="00683CF6" w:rsidRDefault="00683CF6" w:rsidP="00683CF6">
      <w:pPr>
        <w:pStyle w:val="GG-body"/>
        <w:rPr>
          <w:shd w:val="clear" w:color="auto" w:fill="FFFFFF"/>
        </w:rPr>
      </w:pPr>
      <w:r w:rsidRPr="00767048">
        <w:rPr>
          <w:color w:val="000000"/>
          <w:shd w:val="clear" w:color="auto" w:fill="FFFFFF"/>
        </w:rPr>
        <w:t>For t</w:t>
      </w:r>
      <w:r w:rsidRPr="00767048">
        <w:rPr>
          <w:shd w:val="clear" w:color="auto" w:fill="FFFFFF"/>
        </w:rPr>
        <w:t xml:space="preserve">he purposes of regulation 79(3) of the </w:t>
      </w:r>
      <w:r w:rsidRPr="006C53FA">
        <w:rPr>
          <w:i/>
          <w:shd w:val="clear" w:color="auto" w:fill="FFFFFF"/>
        </w:rPr>
        <w:t>Mining Regulations 2020</w:t>
      </w:r>
      <w:r w:rsidRPr="00767048">
        <w:rPr>
          <w:shd w:val="clear" w:color="auto" w:fill="FFFFFF"/>
        </w:rPr>
        <w:t>, the Minister for Energy and Mining determine</w:t>
      </w:r>
      <w:r w:rsidRPr="00767048">
        <w:rPr>
          <w:color w:val="000000"/>
        </w:rPr>
        <w:t>s</w:t>
      </w:r>
      <w:r w:rsidRPr="00767048">
        <w:rPr>
          <w:shd w:val="clear" w:color="auto" w:fill="FFFFFF"/>
        </w:rPr>
        <w:t xml:space="preserve"> that an incident report must be provided to the Minister in the manner and form and contain such information as set out in this template.</w:t>
      </w:r>
    </w:p>
    <w:p w:rsidR="00683CF6" w:rsidRPr="00767048" w:rsidRDefault="00683CF6" w:rsidP="00683CF6">
      <w:pPr>
        <w:pStyle w:val="GG-body"/>
        <w:rPr>
          <w:color w:val="000000"/>
        </w:rPr>
      </w:pPr>
      <w:r w:rsidRPr="000F39BB">
        <w:rPr>
          <w:color w:val="000000"/>
        </w:rPr>
        <w:t>I</w:t>
      </w:r>
      <w:r>
        <w:rPr>
          <w:color w:val="000000"/>
        </w:rPr>
        <w:t>n accordance with regulation 79</w:t>
      </w:r>
      <w:r w:rsidRPr="000F39BB">
        <w:rPr>
          <w:color w:val="000000"/>
        </w:rPr>
        <w:t xml:space="preserve">(3) of the </w:t>
      </w:r>
      <w:r w:rsidRPr="000F39BB">
        <w:rPr>
          <w:i/>
          <w:color w:val="000000"/>
        </w:rPr>
        <w:t>Mining Regulations 2020</w:t>
      </w:r>
      <w:r w:rsidRPr="000F39BB">
        <w:rPr>
          <w:color w:val="000000"/>
        </w:rPr>
        <w:t xml:space="preserve"> this template will have effect from 1 January 2021.</w:t>
      </w:r>
    </w:p>
    <w:p w:rsidR="00683CF6" w:rsidRPr="006C53FA" w:rsidRDefault="00683CF6" w:rsidP="00683CF6">
      <w:pPr>
        <w:pStyle w:val="GG-body"/>
        <w:rPr>
          <w:b/>
        </w:rPr>
      </w:pPr>
      <w:r w:rsidRPr="006C53FA">
        <w:rPr>
          <w:b/>
        </w:rPr>
        <w:t>Instructions</w:t>
      </w:r>
    </w:p>
    <w:p w:rsidR="00683CF6" w:rsidRPr="00767048" w:rsidRDefault="00683CF6" w:rsidP="00683CF6">
      <w:pPr>
        <w:pStyle w:val="GG-body"/>
        <w:ind w:left="426" w:hanging="284"/>
        <w:rPr>
          <w:lang w:eastAsia="en-AU"/>
        </w:rPr>
      </w:pPr>
      <w:r>
        <w:rPr>
          <w:lang w:eastAsia="en-AU"/>
        </w:rPr>
        <w:t>1.</w:t>
      </w:r>
      <w:r>
        <w:rPr>
          <w:lang w:eastAsia="en-AU"/>
        </w:rPr>
        <w:tab/>
      </w:r>
      <w:r w:rsidRPr="00767048">
        <w:rPr>
          <w:lang w:eastAsia="en-AU"/>
        </w:rPr>
        <w:t>This form should be completed accurately with as much detail as is available.</w:t>
      </w:r>
    </w:p>
    <w:p w:rsidR="00683CF6" w:rsidRPr="00767048" w:rsidRDefault="00683CF6" w:rsidP="00683CF6">
      <w:pPr>
        <w:pStyle w:val="GG-body"/>
        <w:ind w:left="426" w:hanging="284"/>
        <w:rPr>
          <w:lang w:eastAsia="en-AU"/>
        </w:rPr>
      </w:pPr>
      <w:r>
        <w:rPr>
          <w:lang w:eastAsia="en-AU"/>
        </w:rPr>
        <w:t>2.</w:t>
      </w:r>
      <w:r>
        <w:rPr>
          <w:lang w:eastAsia="en-AU"/>
        </w:rPr>
        <w:tab/>
      </w:r>
      <w:r w:rsidRPr="00767048">
        <w:rPr>
          <w:lang w:eastAsia="en-AU"/>
        </w:rPr>
        <w:t xml:space="preserve">Submit this completed form online to the Department for Energy and Mining (DEM) website via </w:t>
      </w:r>
      <w:hyperlink r:id="rId151" w:anchor="/form/5ebcf5f5ad9c5c0a087bc25c" w:history="1">
        <w:r w:rsidRPr="00767048">
          <w:rPr>
            <w:color w:val="0000FF"/>
            <w:lang w:eastAsia="en-AU"/>
          </w:rPr>
          <w:t>sa.gov.au</w:t>
        </w:r>
      </w:hyperlink>
      <w:r w:rsidRPr="00767048">
        <w:rPr>
          <w:lang w:eastAsia="en-AU"/>
        </w:rPr>
        <w:t>.</w:t>
      </w:r>
    </w:p>
    <w:p w:rsidR="00683CF6" w:rsidRPr="00767048" w:rsidRDefault="00683CF6" w:rsidP="00683CF6">
      <w:pPr>
        <w:pStyle w:val="GG-body"/>
        <w:ind w:left="426" w:hanging="284"/>
        <w:rPr>
          <w:lang w:eastAsia="en-AU"/>
        </w:rPr>
      </w:pPr>
      <w:r>
        <w:rPr>
          <w:lang w:eastAsia="en-AU"/>
        </w:rPr>
        <w:t>3.</w:t>
      </w:r>
      <w:r>
        <w:rPr>
          <w:lang w:eastAsia="en-AU"/>
        </w:rPr>
        <w:tab/>
      </w:r>
      <w:r w:rsidRPr="00767048">
        <w:rPr>
          <w:lang w:eastAsia="en-AU"/>
        </w:rPr>
        <w:t>A comprehensive written report template can be downloaded via the DEM website.</w:t>
      </w:r>
    </w:p>
    <w:p w:rsidR="00683CF6" w:rsidRPr="00767048" w:rsidRDefault="00683CF6" w:rsidP="00683CF6">
      <w:pPr>
        <w:pStyle w:val="GG-body"/>
        <w:ind w:left="426" w:hanging="284"/>
        <w:rPr>
          <w:lang w:eastAsia="en-AU"/>
        </w:rPr>
      </w:pPr>
      <w:r>
        <w:rPr>
          <w:lang w:eastAsia="en-AU"/>
        </w:rPr>
        <w:t>4.</w:t>
      </w:r>
      <w:r>
        <w:rPr>
          <w:lang w:eastAsia="en-AU"/>
        </w:rPr>
        <w:tab/>
      </w:r>
      <w:r w:rsidRPr="00767048">
        <w:rPr>
          <w:lang w:eastAsia="en-AU"/>
        </w:rPr>
        <w:t>A leading indicator criteria triggered template can be downloaded via the DEM website.</w:t>
      </w:r>
    </w:p>
    <w:p w:rsidR="00683CF6" w:rsidRPr="006C53FA" w:rsidRDefault="00683CF6" w:rsidP="00683CF6">
      <w:pPr>
        <w:pStyle w:val="GG-body"/>
        <w:rPr>
          <w:b/>
        </w:rPr>
      </w:pPr>
      <w:r w:rsidRPr="006C53FA">
        <w:rPr>
          <w:b/>
        </w:rPr>
        <w:t>Definitions</w:t>
      </w:r>
    </w:p>
    <w:tbl>
      <w:tblPr>
        <w:tblStyle w:val="TableGrid2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2209"/>
        <w:gridCol w:w="7145"/>
      </w:tblGrid>
      <w:tr w:rsidR="00683CF6" w:rsidRPr="00767048" w:rsidTr="00046B75">
        <w:trPr>
          <w:trHeight w:val="3303"/>
        </w:trPr>
        <w:tc>
          <w:tcPr>
            <w:tcW w:w="1181" w:type="pct"/>
            <w:tcMar>
              <w:left w:w="0" w:type="dxa"/>
            </w:tcMar>
          </w:tcPr>
          <w:p w:rsidR="00683CF6" w:rsidRPr="00D545C5" w:rsidRDefault="00683CF6" w:rsidP="00046B75">
            <w:pPr>
              <w:spacing w:line="168" w:lineRule="exact"/>
              <w:rPr>
                <w:b/>
                <w:bCs/>
                <w:szCs w:val="17"/>
              </w:rPr>
            </w:pPr>
            <w:r w:rsidRPr="00D545C5">
              <w:rPr>
                <w:b/>
                <w:bCs/>
                <w:szCs w:val="17"/>
              </w:rPr>
              <w:t>Reportable incident</w:t>
            </w:r>
          </w:p>
        </w:tc>
        <w:tc>
          <w:tcPr>
            <w:tcW w:w="3819" w:type="pct"/>
          </w:tcPr>
          <w:p w:rsidR="00683CF6" w:rsidRPr="00D545C5" w:rsidRDefault="00683CF6" w:rsidP="00046B75">
            <w:pPr>
              <w:spacing w:after="40" w:line="168" w:lineRule="exact"/>
              <w:ind w:left="284" w:hanging="284"/>
              <w:rPr>
                <w:szCs w:val="17"/>
              </w:rPr>
            </w:pPr>
            <w:r w:rsidRPr="00D545C5">
              <w:rPr>
                <w:szCs w:val="17"/>
              </w:rPr>
              <w:t>(a)</w:t>
            </w:r>
            <w:r w:rsidRPr="00D545C5">
              <w:rPr>
                <w:szCs w:val="17"/>
              </w:rPr>
              <w:tab/>
              <w:t>a contravention of, or a failure to comply with, a condition of a mineral tenement; or </w:t>
            </w:r>
          </w:p>
          <w:p w:rsidR="00683CF6" w:rsidRPr="00D545C5" w:rsidRDefault="00683CF6" w:rsidP="00046B75">
            <w:pPr>
              <w:spacing w:after="40" w:line="168" w:lineRule="exact"/>
              <w:ind w:left="284" w:hanging="284"/>
              <w:rPr>
                <w:szCs w:val="17"/>
              </w:rPr>
            </w:pPr>
            <w:r w:rsidRPr="00D545C5">
              <w:rPr>
                <w:szCs w:val="17"/>
              </w:rPr>
              <w:t>(b)</w:t>
            </w:r>
            <w:r w:rsidRPr="00D545C5">
              <w:rPr>
                <w:szCs w:val="17"/>
              </w:rPr>
              <w:tab/>
              <w:t>a failure to achieve, or a breach of, an outcome specified in a program under Part 10A of the Act; or</w:t>
            </w:r>
          </w:p>
          <w:p w:rsidR="00683CF6" w:rsidRPr="00D545C5" w:rsidRDefault="00683CF6" w:rsidP="00046B75">
            <w:pPr>
              <w:spacing w:after="40" w:line="168" w:lineRule="exact"/>
              <w:ind w:left="284" w:hanging="284"/>
              <w:rPr>
                <w:szCs w:val="17"/>
              </w:rPr>
            </w:pPr>
            <w:r w:rsidRPr="00D545C5">
              <w:rPr>
                <w:szCs w:val="17"/>
              </w:rPr>
              <w:t>(c)</w:t>
            </w:r>
            <w:r w:rsidRPr="00D545C5">
              <w:rPr>
                <w:szCs w:val="17"/>
              </w:rPr>
              <w:tab/>
              <w:t>a contravention of, or a failure to comply with, a condition of a program under Part 10A of the Act; or</w:t>
            </w:r>
          </w:p>
          <w:p w:rsidR="00683CF6" w:rsidRPr="00D545C5" w:rsidRDefault="00683CF6" w:rsidP="00046B75">
            <w:pPr>
              <w:spacing w:after="40" w:line="168" w:lineRule="exact"/>
              <w:ind w:left="284" w:hanging="284"/>
              <w:rPr>
                <w:szCs w:val="17"/>
              </w:rPr>
            </w:pPr>
            <w:r w:rsidRPr="00D545C5">
              <w:rPr>
                <w:szCs w:val="17"/>
              </w:rPr>
              <w:t>(d)</w:t>
            </w:r>
            <w:r w:rsidRPr="00D545C5">
              <w:rPr>
                <w:szCs w:val="17"/>
              </w:rPr>
              <w:tab/>
              <w:t>a triggering of any leading indicator criteria set out in a program under Part 10A of the Act; or </w:t>
            </w:r>
          </w:p>
          <w:p w:rsidR="00683CF6" w:rsidRPr="00D545C5" w:rsidRDefault="00683CF6" w:rsidP="00046B75">
            <w:pPr>
              <w:spacing w:after="40" w:line="168" w:lineRule="exact"/>
              <w:ind w:left="284" w:hanging="284"/>
              <w:rPr>
                <w:szCs w:val="17"/>
              </w:rPr>
            </w:pPr>
            <w:r w:rsidRPr="00D545C5">
              <w:rPr>
                <w:szCs w:val="17"/>
              </w:rPr>
              <w:t>(e)</w:t>
            </w:r>
            <w:r w:rsidRPr="00D545C5">
              <w:rPr>
                <w:szCs w:val="17"/>
              </w:rPr>
              <w:tab/>
              <w:t>action that causes undue damage to the environment in connection with any operations carried out under a mineral tenement; or</w:t>
            </w:r>
          </w:p>
          <w:p w:rsidR="00683CF6" w:rsidRPr="00D545C5" w:rsidRDefault="00683CF6" w:rsidP="00046B75">
            <w:pPr>
              <w:spacing w:after="40" w:line="168" w:lineRule="exact"/>
              <w:ind w:left="284" w:hanging="284"/>
              <w:rPr>
                <w:szCs w:val="17"/>
              </w:rPr>
            </w:pPr>
            <w:r w:rsidRPr="00D545C5">
              <w:rPr>
                <w:szCs w:val="17"/>
              </w:rPr>
              <w:t>(f)</w:t>
            </w:r>
            <w:r w:rsidRPr="00D545C5">
              <w:rPr>
                <w:szCs w:val="17"/>
              </w:rPr>
              <w:tab/>
              <w:t>a failure to comply with a direction under Part 10B of the Act within the time allowed in the direction; or</w:t>
            </w:r>
          </w:p>
          <w:p w:rsidR="00683CF6" w:rsidRPr="00D545C5" w:rsidRDefault="00683CF6" w:rsidP="00046B75">
            <w:pPr>
              <w:spacing w:after="40" w:line="168" w:lineRule="exact"/>
              <w:ind w:left="284" w:hanging="284"/>
              <w:rPr>
                <w:szCs w:val="17"/>
              </w:rPr>
            </w:pPr>
            <w:r w:rsidRPr="00D545C5">
              <w:rPr>
                <w:szCs w:val="17"/>
              </w:rPr>
              <w:t>(g)</w:t>
            </w:r>
            <w:r w:rsidRPr="00D545C5">
              <w:rPr>
                <w:szCs w:val="17"/>
              </w:rPr>
              <w:tab/>
              <w:t>action that constitutes an authorised operation without being duly authorised by or under the Act; or</w:t>
            </w:r>
          </w:p>
          <w:p w:rsidR="00683CF6" w:rsidRPr="00D545C5" w:rsidRDefault="00683CF6" w:rsidP="00046B75">
            <w:pPr>
              <w:spacing w:after="40" w:line="168" w:lineRule="exact"/>
              <w:ind w:left="284" w:hanging="284"/>
              <w:rPr>
                <w:szCs w:val="17"/>
              </w:rPr>
            </w:pPr>
            <w:r w:rsidRPr="00D545C5">
              <w:rPr>
                <w:szCs w:val="17"/>
              </w:rPr>
              <w:t>(h)</w:t>
            </w:r>
            <w:r w:rsidRPr="00D545C5">
              <w:rPr>
                <w:szCs w:val="17"/>
              </w:rPr>
              <w:tab/>
              <w:t>a failure to achieve, or a breach of, an outcome specified in a mine operations plan under Part 11B of the Act; or</w:t>
            </w:r>
          </w:p>
          <w:p w:rsidR="00683CF6" w:rsidRPr="00D545C5" w:rsidRDefault="00683CF6" w:rsidP="00046B75">
            <w:pPr>
              <w:spacing w:after="40" w:line="168" w:lineRule="exact"/>
              <w:ind w:left="284" w:hanging="284"/>
              <w:rPr>
                <w:szCs w:val="17"/>
              </w:rPr>
            </w:pPr>
            <w:r w:rsidRPr="00D545C5">
              <w:rPr>
                <w:szCs w:val="17"/>
              </w:rPr>
              <w:t>(i)</w:t>
            </w:r>
            <w:r w:rsidRPr="00D545C5">
              <w:rPr>
                <w:szCs w:val="17"/>
              </w:rPr>
              <w:tab/>
              <w:t>a breach of the general duty under Part 11B of the Act; or</w:t>
            </w:r>
          </w:p>
          <w:p w:rsidR="00683CF6" w:rsidRPr="00D545C5" w:rsidRDefault="00683CF6" w:rsidP="00046B75">
            <w:pPr>
              <w:spacing w:after="120" w:line="168" w:lineRule="exact"/>
              <w:ind w:left="284" w:hanging="284"/>
              <w:rPr>
                <w:szCs w:val="17"/>
              </w:rPr>
            </w:pPr>
            <w:r w:rsidRPr="00D545C5">
              <w:rPr>
                <w:szCs w:val="17"/>
              </w:rPr>
              <w:t>(j)</w:t>
            </w:r>
            <w:r w:rsidRPr="00D545C5">
              <w:rPr>
                <w:szCs w:val="17"/>
              </w:rPr>
              <w:tab/>
              <w:t>a failure to comply with an order under Part 11B of the Act within the time allowed in the order.</w:t>
            </w:r>
          </w:p>
        </w:tc>
      </w:tr>
      <w:tr w:rsidR="00683CF6" w:rsidRPr="00767048" w:rsidTr="00601C8A">
        <w:trPr>
          <w:trHeight w:val="1597"/>
        </w:trPr>
        <w:tc>
          <w:tcPr>
            <w:tcW w:w="1181" w:type="pct"/>
            <w:tcMar>
              <w:left w:w="0" w:type="dxa"/>
            </w:tcMar>
          </w:tcPr>
          <w:p w:rsidR="00683CF6" w:rsidRPr="00D545C5" w:rsidRDefault="00683CF6" w:rsidP="00046B75">
            <w:pPr>
              <w:spacing w:line="168" w:lineRule="exact"/>
              <w:rPr>
                <w:b/>
                <w:bCs/>
                <w:szCs w:val="17"/>
              </w:rPr>
            </w:pPr>
            <w:r w:rsidRPr="00D545C5">
              <w:rPr>
                <w:b/>
                <w:bCs/>
                <w:szCs w:val="17"/>
              </w:rPr>
              <w:t>Leading indicator criteria</w:t>
            </w:r>
          </w:p>
        </w:tc>
        <w:tc>
          <w:tcPr>
            <w:tcW w:w="3819" w:type="pct"/>
          </w:tcPr>
          <w:p w:rsidR="00683CF6" w:rsidRPr="00D545C5" w:rsidRDefault="00683CF6" w:rsidP="00046B75">
            <w:pPr>
              <w:spacing w:line="168" w:lineRule="exact"/>
              <w:rPr>
                <w:szCs w:val="17"/>
              </w:rPr>
            </w:pPr>
            <w:r w:rsidRPr="00D545C5">
              <w:rPr>
                <w:szCs w:val="17"/>
                <w:shd w:val="clear" w:color="auto" w:fill="FFFFFF"/>
              </w:rPr>
              <w:t>Criteria used to give an early warning that a control strategy in a program under Part 10A of the Act may fail or be failing.</w:t>
            </w:r>
          </w:p>
        </w:tc>
      </w:tr>
    </w:tbl>
    <w:p w:rsidR="00683CF6" w:rsidRPr="00682A40" w:rsidRDefault="00683CF6" w:rsidP="00683CF6">
      <w:pPr>
        <w:pStyle w:val="GG-body"/>
        <w:spacing w:before="120"/>
        <w:rPr>
          <w:b/>
        </w:rPr>
      </w:pPr>
      <w:r w:rsidRPr="00682A40">
        <w:rPr>
          <w:b/>
        </w:rPr>
        <w:t>Acronyms</w:t>
      </w:r>
    </w:p>
    <w:p w:rsidR="00683CF6" w:rsidRPr="00767048" w:rsidRDefault="00683CF6" w:rsidP="00683CF6">
      <w:pPr>
        <w:pStyle w:val="GG-body"/>
        <w:spacing w:after="60"/>
        <w:ind w:left="851" w:hanging="851"/>
      </w:pPr>
      <w:r w:rsidRPr="00682A40">
        <w:rPr>
          <w:b/>
          <w:bCs/>
        </w:rPr>
        <w:t>SA EPA</w:t>
      </w:r>
      <w:r>
        <w:rPr>
          <w:bCs/>
        </w:rPr>
        <w:tab/>
      </w:r>
      <w:r w:rsidRPr="00767048">
        <w:t>South Australian Environment Protection Authority</w:t>
      </w:r>
    </w:p>
    <w:p w:rsidR="00683CF6" w:rsidRPr="00767048" w:rsidRDefault="00683CF6" w:rsidP="00683CF6">
      <w:pPr>
        <w:pStyle w:val="GG-body"/>
        <w:spacing w:after="60"/>
        <w:ind w:left="851" w:hanging="851"/>
      </w:pPr>
      <w:r w:rsidRPr="00682A40">
        <w:rPr>
          <w:b/>
          <w:bCs/>
        </w:rPr>
        <w:t>DEM</w:t>
      </w:r>
      <w:r w:rsidRPr="00767048">
        <w:rPr>
          <w:rFonts w:ascii="Arial" w:hAnsi="Arial"/>
        </w:rPr>
        <w:tab/>
      </w:r>
      <w:r w:rsidRPr="00767048">
        <w:t>Department for Energy and Mining</w:t>
      </w:r>
    </w:p>
    <w:p w:rsidR="00683CF6" w:rsidRPr="00767048" w:rsidRDefault="00683CF6" w:rsidP="00683CF6">
      <w:pPr>
        <w:pStyle w:val="GG-body"/>
        <w:ind w:left="851" w:hanging="851"/>
      </w:pPr>
      <w:r w:rsidRPr="00682A40">
        <w:rPr>
          <w:b/>
          <w:bCs/>
        </w:rPr>
        <w:t>PEPR</w:t>
      </w:r>
      <w:r w:rsidRPr="00767048">
        <w:rPr>
          <w:rFonts w:ascii="Arial" w:hAnsi="Arial"/>
        </w:rPr>
        <w:tab/>
      </w:r>
      <w:r w:rsidRPr="00767048">
        <w:t>Program for Environment Protection and Rehabilitation</w:t>
      </w:r>
    </w:p>
    <w:p w:rsidR="00683CF6" w:rsidRPr="00767048" w:rsidRDefault="00683CF6" w:rsidP="00683CF6">
      <w:pPr>
        <w:spacing w:after="160" w:line="259" w:lineRule="auto"/>
        <w:jc w:val="left"/>
        <w:rPr>
          <w:sz w:val="20"/>
        </w:rPr>
      </w:pPr>
      <w:r w:rsidRPr="00767048">
        <w:rPr>
          <w:sz w:val="20"/>
        </w:rPr>
        <w:br w:type="page"/>
      </w:r>
    </w:p>
    <w:p w:rsidR="00683CF6" w:rsidRPr="00767048" w:rsidRDefault="00683CF6" w:rsidP="00683CF6">
      <w:pPr>
        <w:spacing w:before="240" w:after="100" w:line="420" w:lineRule="exact"/>
        <w:jc w:val="left"/>
        <w:rPr>
          <w:rFonts w:ascii="Arial" w:hAnsi="Arial" w:cs="Arial"/>
          <w:b/>
          <w:color w:val="0070C0"/>
          <w:sz w:val="40"/>
          <w:szCs w:val="40"/>
        </w:rPr>
      </w:pPr>
      <w:r w:rsidRPr="00767048">
        <w:rPr>
          <w:rFonts w:ascii="Arial" w:hAnsi="Arial" w:cs="Arial"/>
          <w:b/>
          <w:color w:val="0070C0"/>
          <w:sz w:val="40"/>
          <w:szCs w:val="40"/>
        </w:rPr>
        <w:t>Initial incident report</w:t>
      </w:r>
    </w:p>
    <w:p w:rsidR="00683CF6" w:rsidRPr="00767048" w:rsidRDefault="00683CF6" w:rsidP="00E7069A">
      <w:pPr>
        <w:keepNext/>
        <w:spacing w:before="120" w:after="120" w:line="240" w:lineRule="exact"/>
        <w:jc w:val="left"/>
        <w:outlineLvl w:val="1"/>
        <w:rPr>
          <w:rFonts w:ascii="Arial Bold" w:hAnsi="Arial Bold" w:cs="Arial"/>
          <w:b/>
          <w:bCs/>
          <w:iCs/>
          <w:color w:val="0070C0"/>
          <w:sz w:val="22"/>
        </w:rPr>
      </w:pPr>
      <w:bookmarkStart w:id="134" w:name="_Toc59098620"/>
      <w:bookmarkStart w:id="135" w:name="_Toc59098745"/>
      <w:bookmarkStart w:id="136" w:name="_Toc59098958"/>
      <w:r w:rsidRPr="00767048">
        <w:rPr>
          <w:rFonts w:ascii="Arial Bold" w:hAnsi="Arial Bold" w:cs="Arial"/>
          <w:b/>
          <w:bCs/>
          <w:iCs/>
          <w:color w:val="0070C0"/>
          <w:sz w:val="22"/>
        </w:rPr>
        <w:t>TENEMENT HOLDER IDENTIFICATION DETAILS</w:t>
      </w:r>
      <w:bookmarkEnd w:id="134"/>
      <w:bookmarkEnd w:id="135"/>
      <w:bookmarkEnd w:id="136"/>
    </w:p>
    <w:sdt>
      <w:sdtPr>
        <w:rPr>
          <w:rFonts w:ascii="Arial" w:eastAsia="Calibri" w:hAnsi="Arial"/>
          <w:szCs w:val="17"/>
        </w:rPr>
        <w:id w:val="-1046366589"/>
        <w15:repeatingSection/>
      </w:sdtPr>
      <w:sdtEndPr>
        <w:rPr>
          <w:szCs w:val="22"/>
        </w:rPr>
      </w:sdtEndPr>
      <w:sdtContent>
        <w:sdt>
          <w:sdtPr>
            <w:rPr>
              <w:rFonts w:ascii="Arial" w:eastAsia="Calibri" w:hAnsi="Arial"/>
              <w:szCs w:val="17"/>
            </w:rPr>
            <w:id w:val="286777014"/>
            <w:placeholder>
              <w:docPart w:val="ACDEDDD1258C4AAAAEAA41FC384FC1FE"/>
            </w:placeholder>
            <w15:repeatingSectionItem/>
          </w:sdtPr>
          <w:sdtEndPr>
            <w:rPr>
              <w:szCs w:val="22"/>
            </w:rPr>
          </w:sdtEndPr>
          <w:sdtContent>
            <w:tbl>
              <w:tblPr>
                <w:tblStyle w:val="TableGrid21"/>
                <w:tblW w:w="5000" w:type="pct"/>
                <w:tblCellMar>
                  <w:top w:w="28" w:type="dxa"/>
                  <w:left w:w="57" w:type="dxa"/>
                  <w:bottom w:w="28" w:type="dxa"/>
                  <w:right w:w="57" w:type="dxa"/>
                </w:tblCellMar>
                <w:tblLook w:val="04A0" w:firstRow="1" w:lastRow="0" w:firstColumn="1" w:lastColumn="0" w:noHBand="0" w:noVBand="1"/>
              </w:tblPr>
              <w:tblGrid>
                <w:gridCol w:w="2199"/>
                <w:gridCol w:w="825"/>
                <w:gridCol w:w="2750"/>
                <w:gridCol w:w="1238"/>
                <w:gridCol w:w="2337"/>
              </w:tblGrid>
              <w:tr w:rsidR="00683CF6" w:rsidRPr="00767048" w:rsidTr="00046B75">
                <w:trPr>
                  <w:trHeight w:val="340"/>
                </w:trPr>
                <w:tc>
                  <w:tcPr>
                    <w:tcW w:w="1176" w:type="pct"/>
                    <w:tcBorders>
                      <w:top w:val="nil"/>
                      <w:left w:val="nil"/>
                      <w:bottom w:val="nil"/>
                      <w:right w:val="single" w:sz="4" w:space="0" w:color="2765A2"/>
                    </w:tcBorders>
                    <w:tcMar>
                      <w:left w:w="0" w:type="dxa"/>
                    </w:tcMar>
                  </w:tcPr>
                  <w:p w:rsidR="00683CF6" w:rsidRPr="00767048" w:rsidRDefault="00683CF6" w:rsidP="00046B75">
                    <w:pPr>
                      <w:spacing w:line="200" w:lineRule="exact"/>
                      <w:rPr>
                        <w:rFonts w:ascii="Arial" w:hAnsi="Arial"/>
                        <w:sz w:val="16"/>
                      </w:rPr>
                    </w:pPr>
                    <w:r w:rsidRPr="00767048">
                      <w:rPr>
                        <w:rFonts w:ascii="Arial" w:hAnsi="Arial"/>
                        <w:sz w:val="16"/>
                      </w:rPr>
                      <w:t>Project/Mine name(s)</w:t>
                    </w:r>
                  </w:p>
                </w:tc>
                <w:tc>
                  <w:tcPr>
                    <w:tcW w:w="3824" w:type="pct"/>
                    <w:gridSpan w:val="4"/>
                    <w:tcBorders>
                      <w:top w:val="single" w:sz="4" w:space="0" w:color="2765A2"/>
                      <w:left w:val="single" w:sz="4" w:space="0" w:color="2765A2"/>
                      <w:bottom w:val="single" w:sz="4" w:space="0" w:color="2765A2"/>
                      <w:right w:val="single" w:sz="4" w:space="0" w:color="2765A2"/>
                    </w:tcBorders>
                  </w:tcPr>
                  <w:p w:rsidR="00683CF6" w:rsidRPr="00767048" w:rsidRDefault="00607847" w:rsidP="00046B75">
                    <w:pPr>
                      <w:spacing w:line="200" w:lineRule="exact"/>
                      <w:rPr>
                        <w:rFonts w:ascii="Arial" w:hAnsi="Arial"/>
                        <w:sz w:val="16"/>
                      </w:rPr>
                    </w:pPr>
                    <w:sdt>
                      <w:sdtPr>
                        <w:rPr>
                          <w:rFonts w:ascii="Arial" w:hAnsi="Arial"/>
                          <w:sz w:val="16"/>
                        </w:rPr>
                        <w:id w:val="1171451646"/>
                        <w:placeholder>
                          <w:docPart w:val="DB9F9C5B945A4BD48B4C31726DB460A1"/>
                        </w:placeholder>
                        <w:showingPlcHdr/>
                        <w:text w:multiLine="1"/>
                      </w:sdtPr>
                      <w:sdtEndPr/>
                      <w:sdtContent>
                        <w:r w:rsidR="00683CF6" w:rsidRPr="00767048">
                          <w:rPr>
                            <w:rFonts w:ascii="Arial" w:hAnsi="Arial"/>
                            <w:color w:val="808080"/>
                            <w:sz w:val="16"/>
                          </w:rPr>
                          <w:t>Include the commonly used name of the exploration project or mine(s)</w:t>
                        </w:r>
                      </w:sdtContent>
                    </w:sdt>
                  </w:p>
                </w:tc>
              </w:tr>
              <w:tr w:rsidR="00683CF6" w:rsidRPr="00767048" w:rsidTr="00046B75">
                <w:trPr>
                  <w:trHeight w:val="340"/>
                </w:trPr>
                <w:tc>
                  <w:tcPr>
                    <w:tcW w:w="1176" w:type="pct"/>
                    <w:tcBorders>
                      <w:top w:val="nil"/>
                      <w:left w:val="nil"/>
                      <w:bottom w:val="nil"/>
                      <w:right w:val="single" w:sz="4" w:space="0" w:color="2765A2"/>
                    </w:tcBorders>
                    <w:tcMar>
                      <w:left w:w="0" w:type="dxa"/>
                    </w:tcMar>
                  </w:tcPr>
                  <w:p w:rsidR="00683CF6" w:rsidRPr="00767048" w:rsidRDefault="00683CF6" w:rsidP="00046B75">
                    <w:pPr>
                      <w:spacing w:line="200" w:lineRule="exact"/>
                      <w:rPr>
                        <w:rFonts w:ascii="Arial" w:hAnsi="Arial"/>
                        <w:sz w:val="16"/>
                      </w:rPr>
                    </w:pPr>
                    <w:r w:rsidRPr="00767048">
                      <w:rPr>
                        <w:rFonts w:ascii="Arial" w:hAnsi="Arial"/>
                        <w:sz w:val="16"/>
                      </w:rPr>
                      <w:t>Tenement holder(s)</w:t>
                    </w:r>
                  </w:p>
                </w:tc>
                <w:tc>
                  <w:tcPr>
                    <w:tcW w:w="3824" w:type="pct"/>
                    <w:gridSpan w:val="4"/>
                    <w:tcBorders>
                      <w:top w:val="single" w:sz="4" w:space="0" w:color="2765A2"/>
                      <w:left w:val="single" w:sz="4" w:space="0" w:color="2765A2"/>
                      <w:bottom w:val="single" w:sz="4" w:space="0" w:color="2765A2"/>
                      <w:right w:val="single" w:sz="4" w:space="0" w:color="2765A2"/>
                    </w:tcBorders>
                  </w:tcPr>
                  <w:p w:rsidR="00683CF6" w:rsidRPr="00767048" w:rsidRDefault="00607847" w:rsidP="00046B75">
                    <w:pPr>
                      <w:spacing w:line="200" w:lineRule="exact"/>
                      <w:rPr>
                        <w:rFonts w:ascii="Arial" w:hAnsi="Arial"/>
                        <w:sz w:val="16"/>
                      </w:rPr>
                    </w:pPr>
                    <w:sdt>
                      <w:sdtPr>
                        <w:rPr>
                          <w:rFonts w:ascii="Arial" w:hAnsi="Arial"/>
                          <w:sz w:val="16"/>
                        </w:rPr>
                        <w:id w:val="-418484974"/>
                        <w:placeholder>
                          <w:docPart w:val="FEB38426D713483E8F0F59BE336E9CDC"/>
                        </w:placeholder>
                        <w:showingPlcHdr/>
                        <w:text w:multiLine="1"/>
                      </w:sdtPr>
                      <w:sdtEndPr/>
                      <w:sdtContent>
                        <w:r w:rsidR="00683CF6" w:rsidRPr="00767048">
                          <w:rPr>
                            <w:rFonts w:ascii="Arial" w:hAnsi="Arial"/>
                            <w:color w:val="808080"/>
                            <w:sz w:val="16"/>
                          </w:rPr>
                          <w:t>Include the full name and business address of the holder of the mining tenement</w:t>
                        </w:r>
                      </w:sdtContent>
                    </w:sdt>
                  </w:p>
                </w:tc>
              </w:tr>
              <w:tr w:rsidR="00683CF6" w:rsidRPr="00767048" w:rsidTr="00046B75">
                <w:trPr>
                  <w:trHeight w:val="340"/>
                </w:trPr>
                <w:tc>
                  <w:tcPr>
                    <w:tcW w:w="1176" w:type="pct"/>
                    <w:tcBorders>
                      <w:top w:val="nil"/>
                      <w:left w:val="nil"/>
                      <w:bottom w:val="nil"/>
                      <w:right w:val="single" w:sz="4" w:space="0" w:color="2765A2"/>
                    </w:tcBorders>
                    <w:tcMar>
                      <w:left w:w="0" w:type="dxa"/>
                    </w:tcMar>
                  </w:tcPr>
                  <w:p w:rsidR="00683CF6" w:rsidRPr="00767048" w:rsidRDefault="00683CF6" w:rsidP="00046B75">
                    <w:pPr>
                      <w:spacing w:line="200" w:lineRule="exact"/>
                      <w:rPr>
                        <w:rFonts w:ascii="Arial" w:hAnsi="Arial"/>
                        <w:sz w:val="16"/>
                      </w:rPr>
                    </w:pPr>
                    <w:r w:rsidRPr="00767048">
                      <w:rPr>
                        <w:rFonts w:ascii="Arial" w:hAnsi="Arial"/>
                        <w:sz w:val="16"/>
                      </w:rPr>
                      <w:t>Operating company(s)</w:t>
                    </w:r>
                  </w:p>
                </w:tc>
                <w:tc>
                  <w:tcPr>
                    <w:tcW w:w="3824" w:type="pct"/>
                    <w:gridSpan w:val="4"/>
                    <w:tcBorders>
                      <w:top w:val="single" w:sz="4" w:space="0" w:color="2765A2"/>
                      <w:left w:val="single" w:sz="4" w:space="0" w:color="2765A2"/>
                      <w:bottom w:val="single" w:sz="4" w:space="0" w:color="2765A2"/>
                      <w:right w:val="single" w:sz="4" w:space="0" w:color="2765A2"/>
                    </w:tcBorders>
                  </w:tcPr>
                  <w:p w:rsidR="00683CF6" w:rsidRPr="00767048" w:rsidRDefault="00607847" w:rsidP="00046B75">
                    <w:pPr>
                      <w:spacing w:line="200" w:lineRule="exact"/>
                      <w:rPr>
                        <w:rFonts w:ascii="Arial" w:hAnsi="Arial"/>
                        <w:sz w:val="16"/>
                      </w:rPr>
                    </w:pPr>
                    <w:sdt>
                      <w:sdtPr>
                        <w:rPr>
                          <w:rFonts w:ascii="Arial" w:hAnsi="Arial"/>
                          <w:sz w:val="16"/>
                        </w:rPr>
                        <w:id w:val="-1500347930"/>
                        <w:placeholder>
                          <w:docPart w:val="CD3DBC6A942248E19EFFFE66B4A3B349"/>
                        </w:placeholder>
                        <w:showingPlcHdr/>
                        <w:text w:multiLine="1"/>
                      </w:sdtPr>
                      <w:sdtEndPr/>
                      <w:sdtContent>
                        <w:r w:rsidR="00683CF6" w:rsidRPr="00767048">
                          <w:rPr>
                            <w:rFonts w:ascii="Arial" w:hAnsi="Arial"/>
                            <w:color w:val="808080"/>
                            <w:sz w:val="16"/>
                          </w:rPr>
                          <w:t>Include company name and address of company(s) that have worked on the listed tenements during the reporting period (other than the tenement holder)</w:t>
                        </w:r>
                      </w:sdtContent>
                    </w:sdt>
                  </w:p>
                </w:tc>
              </w:tr>
              <w:tr w:rsidR="00683CF6" w:rsidRPr="00767048" w:rsidTr="00046B75">
                <w:trPr>
                  <w:trHeight w:val="94"/>
                </w:trPr>
                <w:tc>
                  <w:tcPr>
                    <w:tcW w:w="1176" w:type="pct"/>
                    <w:vMerge w:val="restart"/>
                    <w:tcBorders>
                      <w:top w:val="nil"/>
                      <w:left w:val="nil"/>
                      <w:right w:val="single" w:sz="4" w:space="0" w:color="2765A2"/>
                    </w:tcBorders>
                    <w:tcMar>
                      <w:left w:w="0" w:type="dxa"/>
                    </w:tcMar>
                  </w:tcPr>
                  <w:p w:rsidR="00683CF6" w:rsidRPr="00767048" w:rsidRDefault="00683CF6" w:rsidP="00046B75">
                    <w:pPr>
                      <w:spacing w:line="200" w:lineRule="exact"/>
                      <w:rPr>
                        <w:rFonts w:ascii="Arial" w:hAnsi="Arial"/>
                        <w:sz w:val="16"/>
                      </w:rPr>
                    </w:pPr>
                    <w:r w:rsidRPr="00767048">
                      <w:rPr>
                        <w:rFonts w:ascii="Arial" w:hAnsi="Arial"/>
                        <w:sz w:val="16"/>
                      </w:rPr>
                      <w:t>Contact person</w:t>
                    </w:r>
                  </w:p>
                </w:tc>
                <w:tc>
                  <w:tcPr>
                    <w:tcW w:w="441" w:type="pct"/>
                    <w:tcBorders>
                      <w:top w:val="single" w:sz="4" w:space="0" w:color="2765A2"/>
                      <w:left w:val="single" w:sz="4" w:space="0" w:color="2765A2"/>
                      <w:bottom w:val="single" w:sz="4" w:space="0" w:color="2765A2"/>
                      <w:right w:val="single" w:sz="4" w:space="0" w:color="2765A2"/>
                    </w:tcBorders>
                  </w:tcPr>
                  <w:p w:rsidR="00683CF6" w:rsidRPr="00767048" w:rsidRDefault="00683CF6" w:rsidP="00046B75">
                    <w:pPr>
                      <w:spacing w:line="200" w:lineRule="exact"/>
                      <w:rPr>
                        <w:rFonts w:ascii="Arial" w:hAnsi="Arial"/>
                        <w:sz w:val="16"/>
                      </w:rPr>
                    </w:pPr>
                    <w:r w:rsidRPr="00767048">
                      <w:rPr>
                        <w:rFonts w:ascii="Arial" w:hAnsi="Arial"/>
                        <w:sz w:val="16"/>
                      </w:rPr>
                      <w:t>Name</w:t>
                    </w:r>
                  </w:p>
                </w:tc>
                <w:tc>
                  <w:tcPr>
                    <w:tcW w:w="3382" w:type="pct"/>
                    <w:gridSpan w:val="3"/>
                    <w:tcBorders>
                      <w:top w:val="single" w:sz="4" w:space="0" w:color="2765A2"/>
                      <w:left w:val="single" w:sz="4" w:space="0" w:color="2765A2"/>
                      <w:bottom w:val="single" w:sz="4" w:space="0" w:color="2765A2"/>
                      <w:right w:val="single" w:sz="4" w:space="0" w:color="2765A2"/>
                    </w:tcBorders>
                  </w:tcPr>
                  <w:p w:rsidR="00683CF6" w:rsidRPr="00767048" w:rsidRDefault="00607847" w:rsidP="00046B75">
                    <w:pPr>
                      <w:spacing w:line="200" w:lineRule="exact"/>
                      <w:rPr>
                        <w:rFonts w:ascii="Arial" w:hAnsi="Arial"/>
                        <w:sz w:val="16"/>
                      </w:rPr>
                    </w:pPr>
                    <w:sdt>
                      <w:sdtPr>
                        <w:rPr>
                          <w:rFonts w:ascii="Arial" w:hAnsi="Arial"/>
                          <w:sz w:val="16"/>
                        </w:rPr>
                        <w:id w:val="-1085686618"/>
                        <w:placeholder>
                          <w:docPart w:val="CC8C08698BF14418B278835F821B5422"/>
                        </w:placeholder>
                        <w:showingPlcHdr/>
                        <w:text w:multiLine="1"/>
                      </w:sdtPr>
                      <w:sdtEndPr/>
                      <w:sdtContent>
                        <w:r w:rsidR="00683CF6" w:rsidRPr="00767048">
                          <w:rPr>
                            <w:rFonts w:ascii="Arial" w:hAnsi="Arial"/>
                            <w:color w:val="808080"/>
                            <w:sz w:val="16"/>
                          </w:rPr>
                          <w:t>Click to enter text</w:t>
                        </w:r>
                      </w:sdtContent>
                    </w:sdt>
                  </w:p>
                </w:tc>
              </w:tr>
              <w:tr w:rsidR="00683CF6" w:rsidRPr="00767048" w:rsidTr="00046B75">
                <w:trPr>
                  <w:trHeight w:val="93"/>
                </w:trPr>
                <w:tc>
                  <w:tcPr>
                    <w:tcW w:w="1176" w:type="pct"/>
                    <w:vMerge/>
                    <w:tcBorders>
                      <w:left w:val="nil"/>
                      <w:right w:val="single" w:sz="4" w:space="0" w:color="2765A2"/>
                    </w:tcBorders>
                    <w:tcMar>
                      <w:left w:w="0" w:type="dxa"/>
                    </w:tcMar>
                  </w:tcPr>
                  <w:p w:rsidR="00683CF6" w:rsidRPr="00767048" w:rsidRDefault="00683CF6" w:rsidP="00046B75">
                    <w:pPr>
                      <w:spacing w:line="200" w:lineRule="exact"/>
                      <w:rPr>
                        <w:rFonts w:ascii="Arial" w:hAnsi="Arial"/>
                        <w:sz w:val="16"/>
                      </w:rPr>
                    </w:pPr>
                  </w:p>
                </w:tc>
                <w:tc>
                  <w:tcPr>
                    <w:tcW w:w="441" w:type="pct"/>
                    <w:tcBorders>
                      <w:top w:val="single" w:sz="4" w:space="0" w:color="2765A2"/>
                      <w:left w:val="single" w:sz="4" w:space="0" w:color="2765A2"/>
                      <w:bottom w:val="single" w:sz="4" w:space="0" w:color="2765A2"/>
                      <w:right w:val="single" w:sz="4" w:space="0" w:color="2765A2"/>
                    </w:tcBorders>
                  </w:tcPr>
                  <w:p w:rsidR="00683CF6" w:rsidRPr="00767048" w:rsidRDefault="00683CF6" w:rsidP="00046B75">
                    <w:pPr>
                      <w:spacing w:line="200" w:lineRule="exact"/>
                      <w:rPr>
                        <w:rFonts w:ascii="Arial" w:hAnsi="Arial"/>
                        <w:sz w:val="16"/>
                      </w:rPr>
                    </w:pPr>
                    <w:r w:rsidRPr="00767048">
                      <w:rPr>
                        <w:rFonts w:ascii="Arial" w:hAnsi="Arial"/>
                        <w:sz w:val="16"/>
                      </w:rPr>
                      <w:t>Email</w:t>
                    </w:r>
                  </w:p>
                </w:tc>
                <w:tc>
                  <w:tcPr>
                    <w:tcW w:w="3382" w:type="pct"/>
                    <w:gridSpan w:val="3"/>
                    <w:tcBorders>
                      <w:top w:val="single" w:sz="4" w:space="0" w:color="2765A2"/>
                      <w:left w:val="single" w:sz="4" w:space="0" w:color="2765A2"/>
                      <w:bottom w:val="single" w:sz="4" w:space="0" w:color="2765A2"/>
                      <w:right w:val="single" w:sz="4" w:space="0" w:color="2765A2"/>
                    </w:tcBorders>
                  </w:tcPr>
                  <w:p w:rsidR="00683CF6" w:rsidRPr="00767048" w:rsidRDefault="00607847" w:rsidP="00046B75">
                    <w:pPr>
                      <w:spacing w:line="200" w:lineRule="exact"/>
                      <w:rPr>
                        <w:rFonts w:ascii="Arial" w:hAnsi="Arial"/>
                        <w:sz w:val="16"/>
                      </w:rPr>
                    </w:pPr>
                    <w:sdt>
                      <w:sdtPr>
                        <w:rPr>
                          <w:rFonts w:ascii="Arial" w:hAnsi="Arial"/>
                          <w:sz w:val="16"/>
                        </w:rPr>
                        <w:id w:val="-1939284496"/>
                        <w:placeholder>
                          <w:docPart w:val="31AFC009A8154F4D8C27F6747F6C74E3"/>
                        </w:placeholder>
                        <w:showingPlcHdr/>
                        <w:text w:multiLine="1"/>
                      </w:sdtPr>
                      <w:sdtEndPr/>
                      <w:sdtContent>
                        <w:r w:rsidR="00683CF6" w:rsidRPr="00767048">
                          <w:rPr>
                            <w:rFonts w:ascii="Arial" w:hAnsi="Arial"/>
                            <w:color w:val="808080"/>
                            <w:sz w:val="16"/>
                          </w:rPr>
                          <w:t>Click to enter text</w:t>
                        </w:r>
                      </w:sdtContent>
                    </w:sdt>
                  </w:p>
                </w:tc>
              </w:tr>
              <w:tr w:rsidR="00683CF6" w:rsidRPr="00767048" w:rsidTr="00046B75">
                <w:trPr>
                  <w:trHeight w:val="93"/>
                </w:trPr>
                <w:tc>
                  <w:tcPr>
                    <w:tcW w:w="1176" w:type="pct"/>
                    <w:vMerge/>
                    <w:tcBorders>
                      <w:left w:val="nil"/>
                      <w:bottom w:val="nil"/>
                      <w:right w:val="single" w:sz="4" w:space="0" w:color="2765A2"/>
                    </w:tcBorders>
                    <w:tcMar>
                      <w:left w:w="0" w:type="dxa"/>
                    </w:tcMar>
                  </w:tcPr>
                  <w:p w:rsidR="00683CF6" w:rsidRPr="00767048" w:rsidRDefault="00683CF6" w:rsidP="00046B75">
                    <w:pPr>
                      <w:spacing w:line="200" w:lineRule="exact"/>
                      <w:rPr>
                        <w:rFonts w:ascii="Arial" w:hAnsi="Arial"/>
                        <w:sz w:val="16"/>
                      </w:rPr>
                    </w:pPr>
                  </w:p>
                </w:tc>
                <w:tc>
                  <w:tcPr>
                    <w:tcW w:w="441" w:type="pct"/>
                    <w:tcBorders>
                      <w:top w:val="single" w:sz="4" w:space="0" w:color="2765A2"/>
                      <w:left w:val="single" w:sz="4" w:space="0" w:color="2765A2"/>
                      <w:bottom w:val="single" w:sz="4" w:space="0" w:color="2765A2"/>
                      <w:right w:val="single" w:sz="4" w:space="0" w:color="2765A2"/>
                    </w:tcBorders>
                  </w:tcPr>
                  <w:p w:rsidR="00683CF6" w:rsidRPr="00767048" w:rsidRDefault="00683CF6" w:rsidP="00046B75">
                    <w:pPr>
                      <w:spacing w:line="200" w:lineRule="exact"/>
                      <w:rPr>
                        <w:rFonts w:ascii="Arial" w:hAnsi="Arial"/>
                        <w:sz w:val="16"/>
                      </w:rPr>
                    </w:pPr>
                    <w:r w:rsidRPr="00767048">
                      <w:rPr>
                        <w:rFonts w:ascii="Arial" w:hAnsi="Arial"/>
                        <w:sz w:val="16"/>
                      </w:rPr>
                      <w:t>Phone</w:t>
                    </w:r>
                  </w:p>
                </w:tc>
                <w:tc>
                  <w:tcPr>
                    <w:tcW w:w="3382" w:type="pct"/>
                    <w:gridSpan w:val="3"/>
                    <w:tcBorders>
                      <w:top w:val="single" w:sz="4" w:space="0" w:color="2765A2"/>
                      <w:left w:val="single" w:sz="4" w:space="0" w:color="2765A2"/>
                      <w:bottom w:val="single" w:sz="4" w:space="0" w:color="2765A2"/>
                      <w:right w:val="single" w:sz="4" w:space="0" w:color="2765A2"/>
                    </w:tcBorders>
                  </w:tcPr>
                  <w:p w:rsidR="00683CF6" w:rsidRPr="00767048" w:rsidRDefault="00607847" w:rsidP="00046B75">
                    <w:pPr>
                      <w:spacing w:line="200" w:lineRule="exact"/>
                      <w:rPr>
                        <w:rFonts w:ascii="Arial" w:hAnsi="Arial"/>
                        <w:sz w:val="16"/>
                      </w:rPr>
                    </w:pPr>
                    <w:sdt>
                      <w:sdtPr>
                        <w:rPr>
                          <w:rFonts w:ascii="Arial" w:hAnsi="Arial"/>
                          <w:sz w:val="16"/>
                        </w:rPr>
                        <w:id w:val="-1736310569"/>
                        <w:placeholder>
                          <w:docPart w:val="72395634753D430CAE6C41806E999CC6"/>
                        </w:placeholder>
                        <w:showingPlcHdr/>
                        <w:text w:multiLine="1"/>
                      </w:sdtPr>
                      <w:sdtEndPr/>
                      <w:sdtContent>
                        <w:r w:rsidR="00683CF6" w:rsidRPr="00767048">
                          <w:rPr>
                            <w:rFonts w:ascii="Arial" w:hAnsi="Arial"/>
                            <w:color w:val="808080"/>
                            <w:sz w:val="16"/>
                          </w:rPr>
                          <w:t>Click to enter text</w:t>
                        </w:r>
                      </w:sdtContent>
                    </w:sdt>
                  </w:p>
                </w:tc>
              </w:tr>
              <w:tr w:rsidR="00683CF6" w:rsidRPr="00767048" w:rsidTr="00046B75">
                <w:trPr>
                  <w:trHeight w:val="340"/>
                </w:trPr>
                <w:tc>
                  <w:tcPr>
                    <w:tcW w:w="1176" w:type="pct"/>
                    <w:tcBorders>
                      <w:top w:val="nil"/>
                      <w:left w:val="nil"/>
                      <w:bottom w:val="nil"/>
                      <w:right w:val="single" w:sz="4" w:space="0" w:color="2765A2"/>
                    </w:tcBorders>
                    <w:tcMar>
                      <w:left w:w="0" w:type="dxa"/>
                    </w:tcMar>
                  </w:tcPr>
                  <w:p w:rsidR="00683CF6" w:rsidRPr="00767048" w:rsidRDefault="00683CF6" w:rsidP="00046B75">
                    <w:pPr>
                      <w:spacing w:line="200" w:lineRule="exact"/>
                      <w:rPr>
                        <w:rFonts w:ascii="Arial" w:hAnsi="Arial"/>
                        <w:sz w:val="16"/>
                      </w:rPr>
                    </w:pPr>
                    <w:r w:rsidRPr="00767048">
                      <w:rPr>
                        <w:rFonts w:ascii="Arial" w:hAnsi="Arial"/>
                        <w:sz w:val="16"/>
                      </w:rPr>
                      <w:t>Tenement number(s)</w:t>
                    </w:r>
                  </w:p>
                </w:tc>
                <w:tc>
                  <w:tcPr>
                    <w:tcW w:w="3824" w:type="pct"/>
                    <w:gridSpan w:val="4"/>
                    <w:tcBorders>
                      <w:top w:val="single" w:sz="4" w:space="0" w:color="2765A2"/>
                      <w:left w:val="single" w:sz="4" w:space="0" w:color="2765A2"/>
                      <w:bottom w:val="single" w:sz="4" w:space="0" w:color="2765A2"/>
                      <w:right w:val="single" w:sz="4" w:space="0" w:color="2765A2"/>
                    </w:tcBorders>
                  </w:tcPr>
                  <w:p w:rsidR="00683CF6" w:rsidRPr="00767048" w:rsidRDefault="00607847" w:rsidP="00046B75">
                    <w:pPr>
                      <w:spacing w:line="200" w:lineRule="exact"/>
                      <w:rPr>
                        <w:rFonts w:ascii="Arial" w:hAnsi="Arial"/>
                        <w:sz w:val="16"/>
                      </w:rPr>
                    </w:pPr>
                    <w:sdt>
                      <w:sdtPr>
                        <w:rPr>
                          <w:rFonts w:ascii="Arial" w:hAnsi="Arial"/>
                          <w:sz w:val="16"/>
                        </w:rPr>
                        <w:id w:val="-1834980119"/>
                        <w:placeholder>
                          <w:docPart w:val="5108985D5B5446439507BB3D2BB785A6"/>
                        </w:placeholder>
                        <w:showingPlcHdr/>
                        <w:text w:multiLine="1"/>
                      </w:sdtPr>
                      <w:sdtEndPr/>
                      <w:sdtContent>
                        <w:r w:rsidR="00683CF6" w:rsidRPr="00767048">
                          <w:rPr>
                            <w:rFonts w:ascii="Arial" w:hAnsi="Arial"/>
                            <w:color w:val="808080"/>
                            <w:sz w:val="16"/>
                          </w:rPr>
                          <w:t>Click to enter text</w:t>
                        </w:r>
                      </w:sdtContent>
                    </w:sdt>
                  </w:p>
                </w:tc>
              </w:tr>
              <w:tr w:rsidR="00683CF6" w:rsidRPr="00767048" w:rsidTr="00046B75">
                <w:trPr>
                  <w:trHeight w:val="165"/>
                </w:trPr>
                <w:tc>
                  <w:tcPr>
                    <w:tcW w:w="1176" w:type="pct"/>
                    <w:vMerge w:val="restart"/>
                    <w:tcBorders>
                      <w:top w:val="nil"/>
                      <w:left w:val="nil"/>
                      <w:right w:val="single" w:sz="4" w:space="0" w:color="2765A2"/>
                    </w:tcBorders>
                    <w:tcMar>
                      <w:left w:w="0" w:type="dxa"/>
                    </w:tcMar>
                  </w:tcPr>
                  <w:p w:rsidR="00683CF6" w:rsidRPr="00767048" w:rsidRDefault="00683CF6" w:rsidP="00046B75">
                    <w:pPr>
                      <w:spacing w:line="200" w:lineRule="exact"/>
                      <w:rPr>
                        <w:rFonts w:ascii="Arial" w:hAnsi="Arial"/>
                        <w:sz w:val="16"/>
                      </w:rPr>
                    </w:pPr>
                    <w:r w:rsidRPr="00767048">
                      <w:rPr>
                        <w:rFonts w:ascii="Arial" w:hAnsi="Arial"/>
                        <w:sz w:val="16"/>
                      </w:rPr>
                      <w:t>PEPR/MOP document</w:t>
                    </w:r>
                  </w:p>
                </w:tc>
                <w:tc>
                  <w:tcPr>
                    <w:tcW w:w="1912" w:type="pct"/>
                    <w:gridSpan w:val="2"/>
                    <w:vMerge w:val="restart"/>
                    <w:tcBorders>
                      <w:top w:val="single" w:sz="4" w:space="0" w:color="2765A2"/>
                      <w:left w:val="single" w:sz="4" w:space="0" w:color="2765A2"/>
                      <w:bottom w:val="single" w:sz="4" w:space="0" w:color="2765A2"/>
                      <w:right w:val="single" w:sz="4" w:space="0" w:color="2765A2"/>
                    </w:tcBorders>
                  </w:tcPr>
                  <w:p w:rsidR="00683CF6" w:rsidRPr="00767048" w:rsidRDefault="00607847" w:rsidP="00046B75">
                    <w:pPr>
                      <w:spacing w:line="200" w:lineRule="exact"/>
                      <w:rPr>
                        <w:rFonts w:ascii="Arial" w:hAnsi="Arial"/>
                        <w:sz w:val="16"/>
                      </w:rPr>
                    </w:pPr>
                    <w:sdt>
                      <w:sdtPr>
                        <w:rPr>
                          <w:rFonts w:ascii="Arial" w:hAnsi="Arial"/>
                          <w:sz w:val="16"/>
                        </w:rPr>
                        <w:id w:val="-1940284023"/>
                        <w:placeholder>
                          <w:docPart w:val="3EFBB60A787846CC9E6311C9B248F23D"/>
                        </w:placeholder>
                        <w:text w:multiLine="1"/>
                      </w:sdtPr>
                      <w:sdtEndPr/>
                      <w:sdtContent>
                        <w:r w:rsidR="00683CF6" w:rsidRPr="00767048">
                          <w:rPr>
                            <w:rFonts w:ascii="Arial" w:hAnsi="Arial"/>
                            <w:sz w:val="16"/>
                          </w:rPr>
                          <w:t>Provide the name, version and submission date of the approved PEPR/MOP document</w:t>
                        </w:r>
                      </w:sdtContent>
                    </w:sdt>
                  </w:p>
                </w:tc>
                <w:tc>
                  <w:tcPr>
                    <w:tcW w:w="662" w:type="pct"/>
                    <w:tcBorders>
                      <w:top w:val="single" w:sz="4" w:space="0" w:color="2765A2"/>
                      <w:left w:val="single" w:sz="4" w:space="0" w:color="2765A2"/>
                      <w:bottom w:val="single" w:sz="4" w:space="0" w:color="2765A2"/>
                      <w:right w:val="single" w:sz="4" w:space="0" w:color="2765A2"/>
                    </w:tcBorders>
                  </w:tcPr>
                  <w:p w:rsidR="00683CF6" w:rsidRPr="00767048" w:rsidRDefault="00683CF6" w:rsidP="00046B75">
                    <w:pPr>
                      <w:spacing w:line="200" w:lineRule="exact"/>
                      <w:rPr>
                        <w:rFonts w:ascii="Arial" w:hAnsi="Arial"/>
                        <w:sz w:val="16"/>
                      </w:rPr>
                    </w:pPr>
                    <w:r w:rsidRPr="00767048">
                      <w:rPr>
                        <w:rFonts w:ascii="Arial" w:hAnsi="Arial"/>
                        <w:sz w:val="16"/>
                      </w:rPr>
                      <w:t>PEPR/MOP No.</w:t>
                    </w:r>
                  </w:p>
                </w:tc>
                <w:tc>
                  <w:tcPr>
                    <w:tcW w:w="1250" w:type="pct"/>
                    <w:tcBorders>
                      <w:top w:val="single" w:sz="4" w:space="0" w:color="2765A2"/>
                      <w:left w:val="single" w:sz="4" w:space="0" w:color="2765A2"/>
                      <w:bottom w:val="single" w:sz="4" w:space="0" w:color="2765A2"/>
                      <w:right w:val="single" w:sz="4" w:space="0" w:color="2765A2"/>
                    </w:tcBorders>
                  </w:tcPr>
                  <w:p w:rsidR="00683CF6" w:rsidRPr="00767048" w:rsidRDefault="00607847" w:rsidP="00046B75">
                    <w:pPr>
                      <w:spacing w:line="200" w:lineRule="exact"/>
                      <w:rPr>
                        <w:rFonts w:ascii="Arial" w:hAnsi="Arial" w:cs="Arial"/>
                        <w:sz w:val="16"/>
                        <w:szCs w:val="16"/>
                      </w:rPr>
                    </w:pPr>
                    <w:sdt>
                      <w:sdtPr>
                        <w:rPr>
                          <w:rFonts w:ascii="Arial" w:hAnsi="Arial" w:cs="Arial"/>
                          <w:sz w:val="16"/>
                          <w:szCs w:val="16"/>
                        </w:rPr>
                        <w:id w:val="-406534672"/>
                        <w:placeholder>
                          <w:docPart w:val="3B3FD295124C4D6D9CB465C5990E3B31"/>
                        </w:placeholder>
                        <w:showingPlcHdr/>
                        <w:text w:multiLine="1"/>
                      </w:sdtPr>
                      <w:sdtEndPr/>
                      <w:sdtContent>
                        <w:r w:rsidR="00683CF6" w:rsidRPr="00767048">
                          <w:rPr>
                            <w:rFonts w:ascii="Arial" w:hAnsi="Arial" w:cs="Arial"/>
                            <w:color w:val="808080"/>
                            <w:sz w:val="16"/>
                            <w:szCs w:val="16"/>
                          </w:rPr>
                          <w:t>Click to enter text</w:t>
                        </w:r>
                      </w:sdtContent>
                    </w:sdt>
                  </w:p>
                </w:tc>
              </w:tr>
              <w:tr w:rsidR="00683CF6" w:rsidRPr="00767048" w:rsidTr="00046B75">
                <w:trPr>
                  <w:trHeight w:val="165"/>
                </w:trPr>
                <w:tc>
                  <w:tcPr>
                    <w:tcW w:w="1176" w:type="pct"/>
                    <w:vMerge/>
                    <w:tcBorders>
                      <w:left w:val="nil"/>
                      <w:bottom w:val="nil"/>
                      <w:right w:val="single" w:sz="4" w:space="0" w:color="2765A2"/>
                    </w:tcBorders>
                    <w:tcMar>
                      <w:left w:w="0" w:type="dxa"/>
                    </w:tcMar>
                  </w:tcPr>
                  <w:p w:rsidR="00683CF6" w:rsidRPr="00767048" w:rsidRDefault="00683CF6" w:rsidP="00046B75">
                    <w:pPr>
                      <w:spacing w:line="200" w:lineRule="exact"/>
                      <w:rPr>
                        <w:rFonts w:ascii="Arial" w:hAnsi="Arial"/>
                        <w:sz w:val="16"/>
                      </w:rPr>
                    </w:pPr>
                  </w:p>
                </w:tc>
                <w:tc>
                  <w:tcPr>
                    <w:tcW w:w="1912" w:type="pct"/>
                    <w:gridSpan w:val="2"/>
                    <w:vMerge/>
                    <w:tcBorders>
                      <w:top w:val="single" w:sz="4" w:space="0" w:color="2765A2"/>
                      <w:left w:val="single" w:sz="4" w:space="0" w:color="2765A2"/>
                      <w:bottom w:val="single" w:sz="4" w:space="0" w:color="2765A2"/>
                      <w:right w:val="single" w:sz="4" w:space="0" w:color="2765A2"/>
                    </w:tcBorders>
                  </w:tcPr>
                  <w:p w:rsidR="00683CF6" w:rsidRPr="00767048" w:rsidRDefault="00683CF6" w:rsidP="00046B75">
                    <w:pPr>
                      <w:spacing w:line="200" w:lineRule="exact"/>
                      <w:rPr>
                        <w:rFonts w:ascii="Arial" w:hAnsi="Arial"/>
                        <w:sz w:val="16"/>
                      </w:rPr>
                    </w:pPr>
                  </w:p>
                </w:tc>
                <w:tc>
                  <w:tcPr>
                    <w:tcW w:w="662" w:type="pct"/>
                    <w:tcBorders>
                      <w:top w:val="single" w:sz="4" w:space="0" w:color="2765A2"/>
                      <w:left w:val="single" w:sz="4" w:space="0" w:color="2765A2"/>
                      <w:bottom w:val="single" w:sz="4" w:space="0" w:color="2765A2"/>
                      <w:right w:val="single" w:sz="4" w:space="0" w:color="2765A2"/>
                    </w:tcBorders>
                  </w:tcPr>
                  <w:p w:rsidR="00683CF6" w:rsidRPr="00767048" w:rsidRDefault="00683CF6" w:rsidP="00046B75">
                    <w:pPr>
                      <w:spacing w:line="200" w:lineRule="exact"/>
                      <w:rPr>
                        <w:rFonts w:ascii="Arial" w:hAnsi="Arial"/>
                        <w:sz w:val="16"/>
                      </w:rPr>
                    </w:pPr>
                    <w:r w:rsidRPr="00767048">
                      <w:rPr>
                        <w:rFonts w:ascii="Arial" w:hAnsi="Arial"/>
                        <w:sz w:val="16"/>
                      </w:rPr>
                      <w:t>PEPR/MOP approval date</w:t>
                    </w:r>
                  </w:p>
                </w:tc>
                <w:tc>
                  <w:tcPr>
                    <w:tcW w:w="1250" w:type="pct"/>
                    <w:tcBorders>
                      <w:top w:val="single" w:sz="4" w:space="0" w:color="2765A2"/>
                      <w:left w:val="single" w:sz="4" w:space="0" w:color="2765A2"/>
                      <w:bottom w:val="single" w:sz="4" w:space="0" w:color="2765A2"/>
                      <w:right w:val="single" w:sz="4" w:space="0" w:color="2765A2"/>
                    </w:tcBorders>
                  </w:tcPr>
                  <w:p w:rsidR="00683CF6" w:rsidRPr="00767048" w:rsidRDefault="00607847" w:rsidP="00046B75">
                    <w:pPr>
                      <w:spacing w:line="200" w:lineRule="exact"/>
                      <w:rPr>
                        <w:rFonts w:ascii="Arial" w:hAnsi="Arial"/>
                        <w:sz w:val="16"/>
                      </w:rPr>
                    </w:pPr>
                    <w:sdt>
                      <w:sdtPr>
                        <w:rPr>
                          <w:rFonts w:ascii="Arial" w:hAnsi="Arial"/>
                          <w:sz w:val="16"/>
                        </w:rPr>
                        <w:id w:val="-467744388"/>
                        <w:placeholder>
                          <w:docPart w:val="2A29CFCD618343D696BC533003478974"/>
                        </w:placeholder>
                        <w:showingPlcHdr/>
                        <w:date w:fullDate="2020-03-05T00:00:00Z">
                          <w:dateFormat w:val="d/MM/yyyy"/>
                          <w:lid w:val="en-AU"/>
                          <w:storeMappedDataAs w:val="dateTime"/>
                          <w:calendar w:val="gregorian"/>
                        </w:date>
                      </w:sdtPr>
                      <w:sdtEndPr/>
                      <w:sdtContent>
                        <w:r w:rsidR="00683CF6" w:rsidRPr="00767048">
                          <w:rPr>
                            <w:rFonts w:ascii="Arial" w:hAnsi="Arial"/>
                            <w:color w:val="808080"/>
                            <w:sz w:val="16"/>
                          </w:rPr>
                          <w:t>Click to enter a date</w:t>
                        </w:r>
                      </w:sdtContent>
                    </w:sdt>
                  </w:p>
                </w:tc>
              </w:tr>
            </w:tbl>
            <w:p w:rsidR="00683CF6" w:rsidRPr="00767048" w:rsidRDefault="00683CF6" w:rsidP="00683CF6">
              <w:pPr>
                <w:spacing w:after="120" w:line="240" w:lineRule="exact"/>
                <w:jc w:val="left"/>
                <w:rPr>
                  <w:rFonts w:ascii="Arial" w:hAnsi="Arial"/>
                  <w:sz w:val="20"/>
                </w:rPr>
              </w:pPr>
              <w:r w:rsidRPr="00767048">
                <w:rPr>
                  <w:rFonts w:ascii="Arial" w:hAnsi="Arial"/>
                  <w:i/>
                  <w:color w:val="7F7F7F"/>
                  <w:sz w:val="16"/>
                </w:rPr>
                <w:t>Enter text as required and click the + at right to add another row</w:t>
              </w:r>
            </w:p>
          </w:sdtContent>
        </w:sdt>
      </w:sdtContent>
    </w:sdt>
    <w:p w:rsidR="00683CF6" w:rsidRPr="00767048" w:rsidRDefault="00683CF6" w:rsidP="00E7069A">
      <w:pPr>
        <w:keepNext/>
        <w:spacing w:before="120" w:after="120" w:line="240" w:lineRule="exact"/>
        <w:jc w:val="left"/>
        <w:outlineLvl w:val="1"/>
        <w:rPr>
          <w:rFonts w:ascii="Arial Bold" w:hAnsi="Arial Bold" w:cs="Arial"/>
          <w:b/>
          <w:bCs/>
          <w:iCs/>
          <w:color w:val="0070C0"/>
          <w:sz w:val="22"/>
        </w:rPr>
      </w:pPr>
      <w:bookmarkStart w:id="137" w:name="_Toc59098621"/>
      <w:bookmarkStart w:id="138" w:name="_Toc59098746"/>
      <w:bookmarkStart w:id="139" w:name="_Toc59098959"/>
      <w:r w:rsidRPr="00767048">
        <w:rPr>
          <w:rFonts w:ascii="Arial Bold" w:hAnsi="Arial Bold" w:cs="Arial"/>
          <w:b/>
          <w:bCs/>
          <w:iCs/>
          <w:color w:val="0070C0"/>
          <w:sz w:val="22"/>
        </w:rPr>
        <w:t>INCIDENT REPORT DETAILS</w:t>
      </w:r>
      <w:bookmarkEnd w:id="137"/>
      <w:bookmarkEnd w:id="138"/>
      <w:bookmarkEnd w:id="139"/>
    </w:p>
    <w:tbl>
      <w:tblPr>
        <w:tblStyle w:val="TableGrid21"/>
        <w:tblW w:w="5000" w:type="pct"/>
        <w:tblCellMar>
          <w:top w:w="28" w:type="dxa"/>
          <w:left w:w="57" w:type="dxa"/>
          <w:bottom w:w="28" w:type="dxa"/>
          <w:right w:w="57" w:type="dxa"/>
        </w:tblCellMar>
        <w:tblLook w:val="04A0" w:firstRow="1" w:lastRow="0" w:firstColumn="1" w:lastColumn="0" w:noHBand="0" w:noVBand="1"/>
      </w:tblPr>
      <w:tblGrid>
        <w:gridCol w:w="2199"/>
        <w:gridCol w:w="3575"/>
        <w:gridCol w:w="3575"/>
      </w:tblGrid>
      <w:tr w:rsidR="00683CF6" w:rsidRPr="00767048" w:rsidTr="00046B75">
        <w:trPr>
          <w:trHeight w:val="340"/>
        </w:trPr>
        <w:tc>
          <w:tcPr>
            <w:tcW w:w="1176" w:type="pct"/>
            <w:tcBorders>
              <w:top w:val="nil"/>
              <w:left w:val="nil"/>
              <w:bottom w:val="nil"/>
              <w:right w:val="single" w:sz="4" w:space="0" w:color="2765A2"/>
            </w:tcBorders>
            <w:tcMar>
              <w:left w:w="0" w:type="dxa"/>
            </w:tcMar>
          </w:tcPr>
          <w:p w:rsidR="00683CF6" w:rsidRPr="00767048" w:rsidRDefault="00683CF6" w:rsidP="00E7069A">
            <w:pPr>
              <w:spacing w:line="200" w:lineRule="exact"/>
              <w:jc w:val="left"/>
              <w:rPr>
                <w:rFonts w:ascii="Arial" w:hAnsi="Arial"/>
                <w:sz w:val="16"/>
              </w:rPr>
            </w:pPr>
            <w:r w:rsidRPr="00767048">
              <w:rPr>
                <w:rFonts w:ascii="Arial" w:hAnsi="Arial"/>
                <w:sz w:val="16"/>
              </w:rPr>
              <w:t>Date and time of incident</w:t>
            </w:r>
          </w:p>
        </w:tc>
        <w:tc>
          <w:tcPr>
            <w:tcW w:w="3824" w:type="pct"/>
            <w:gridSpan w:val="2"/>
            <w:tcBorders>
              <w:top w:val="single" w:sz="4" w:space="0" w:color="2765A2"/>
              <w:left w:val="single" w:sz="4" w:space="0" w:color="2765A2"/>
              <w:bottom w:val="single" w:sz="4" w:space="0" w:color="2765A2"/>
              <w:right w:val="single" w:sz="4" w:space="0" w:color="2765A2"/>
            </w:tcBorders>
          </w:tcPr>
          <w:p w:rsidR="00683CF6" w:rsidRPr="00767048" w:rsidRDefault="00607847" w:rsidP="00046B75">
            <w:pPr>
              <w:spacing w:line="200" w:lineRule="exact"/>
              <w:rPr>
                <w:rFonts w:ascii="Arial" w:hAnsi="Arial"/>
                <w:sz w:val="16"/>
              </w:rPr>
            </w:pPr>
            <w:sdt>
              <w:sdtPr>
                <w:rPr>
                  <w:rFonts w:ascii="Arial" w:hAnsi="Arial"/>
                  <w:sz w:val="16"/>
                </w:rPr>
                <w:id w:val="1786767920"/>
                <w:placeholder>
                  <w:docPart w:val="A2AE7030AD534F039949A7476BAF1D61"/>
                </w:placeholder>
                <w:showingPlcHdr/>
                <w:text w:multiLine="1"/>
              </w:sdtPr>
              <w:sdtEndPr/>
              <w:sdtContent>
                <w:r w:rsidR="00683CF6" w:rsidRPr="00767048">
                  <w:rPr>
                    <w:rFonts w:ascii="Arial" w:hAnsi="Arial" w:cs="Arial"/>
                    <w:color w:val="808080"/>
                    <w:sz w:val="16"/>
                    <w:szCs w:val="16"/>
                  </w:rPr>
                  <w:t>Click to enter text</w:t>
                </w:r>
              </w:sdtContent>
            </w:sdt>
          </w:p>
        </w:tc>
      </w:tr>
      <w:tr w:rsidR="00683CF6" w:rsidRPr="00767048" w:rsidTr="00046B75">
        <w:trPr>
          <w:trHeight w:val="340"/>
        </w:trPr>
        <w:tc>
          <w:tcPr>
            <w:tcW w:w="1176" w:type="pct"/>
            <w:tcBorders>
              <w:top w:val="nil"/>
              <w:left w:val="nil"/>
              <w:bottom w:val="nil"/>
              <w:right w:val="single" w:sz="4" w:space="0" w:color="2765A2"/>
            </w:tcBorders>
            <w:tcMar>
              <w:left w:w="0" w:type="dxa"/>
            </w:tcMar>
          </w:tcPr>
          <w:p w:rsidR="00683CF6" w:rsidRPr="00767048" w:rsidRDefault="00683CF6" w:rsidP="00E7069A">
            <w:pPr>
              <w:spacing w:line="200" w:lineRule="exact"/>
              <w:jc w:val="left"/>
              <w:rPr>
                <w:rFonts w:ascii="Arial" w:hAnsi="Arial"/>
                <w:sz w:val="16"/>
              </w:rPr>
            </w:pPr>
            <w:r w:rsidRPr="00767048">
              <w:rPr>
                <w:rFonts w:ascii="Arial" w:hAnsi="Arial"/>
                <w:sz w:val="16"/>
              </w:rPr>
              <w:t>Date incident reported to DEM</w:t>
            </w:r>
          </w:p>
        </w:tc>
        <w:tc>
          <w:tcPr>
            <w:tcW w:w="3824" w:type="pct"/>
            <w:gridSpan w:val="2"/>
            <w:tcBorders>
              <w:top w:val="single" w:sz="4" w:space="0" w:color="2765A2"/>
              <w:left w:val="single" w:sz="4" w:space="0" w:color="2765A2"/>
              <w:bottom w:val="single" w:sz="4" w:space="0" w:color="2765A2"/>
              <w:right w:val="single" w:sz="4" w:space="0" w:color="2765A2"/>
            </w:tcBorders>
          </w:tcPr>
          <w:p w:rsidR="00683CF6" w:rsidRPr="00767048" w:rsidRDefault="00607847" w:rsidP="00046B75">
            <w:pPr>
              <w:spacing w:line="200" w:lineRule="exact"/>
              <w:rPr>
                <w:rFonts w:ascii="Arial" w:hAnsi="Arial"/>
                <w:sz w:val="16"/>
              </w:rPr>
            </w:pPr>
            <w:sdt>
              <w:sdtPr>
                <w:rPr>
                  <w:rFonts w:ascii="Arial" w:hAnsi="Arial"/>
                  <w:sz w:val="16"/>
                </w:rPr>
                <w:id w:val="306510379"/>
                <w:placeholder>
                  <w:docPart w:val="F09B935119DB4C9F9A1542A2EAB17C9B"/>
                </w:placeholder>
                <w:showingPlcHdr/>
                <w:date w:fullDate="2020-03-05T00:00:00Z">
                  <w:dateFormat w:val="d/MM/yyyy"/>
                  <w:lid w:val="en-AU"/>
                  <w:storeMappedDataAs w:val="dateTime"/>
                  <w:calendar w:val="gregorian"/>
                </w:date>
              </w:sdtPr>
              <w:sdtEndPr/>
              <w:sdtContent>
                <w:r w:rsidR="00683CF6" w:rsidRPr="00767048">
                  <w:rPr>
                    <w:rFonts w:ascii="Arial" w:hAnsi="Arial"/>
                    <w:color w:val="808080"/>
                    <w:sz w:val="16"/>
                  </w:rPr>
                  <w:t>Click to enter a date</w:t>
                </w:r>
              </w:sdtContent>
            </w:sdt>
          </w:p>
        </w:tc>
      </w:tr>
      <w:tr w:rsidR="00683CF6" w:rsidRPr="00767048" w:rsidTr="00046B75">
        <w:trPr>
          <w:trHeight w:val="102"/>
        </w:trPr>
        <w:tc>
          <w:tcPr>
            <w:tcW w:w="1176" w:type="pct"/>
            <w:vMerge w:val="restart"/>
            <w:tcBorders>
              <w:top w:val="nil"/>
              <w:left w:val="nil"/>
              <w:right w:val="single" w:sz="4" w:space="0" w:color="2765A2"/>
            </w:tcBorders>
            <w:tcMar>
              <w:left w:w="0" w:type="dxa"/>
            </w:tcMar>
          </w:tcPr>
          <w:p w:rsidR="00683CF6" w:rsidRPr="00767048" w:rsidRDefault="00683CF6" w:rsidP="00E7069A">
            <w:pPr>
              <w:spacing w:line="200" w:lineRule="exact"/>
              <w:jc w:val="left"/>
              <w:rPr>
                <w:rFonts w:ascii="Arial" w:hAnsi="Arial"/>
                <w:sz w:val="16"/>
              </w:rPr>
            </w:pPr>
            <w:r w:rsidRPr="00767048">
              <w:rPr>
                <w:rFonts w:ascii="Arial" w:hAnsi="Arial"/>
                <w:sz w:val="16"/>
              </w:rPr>
              <w:t>Select other authorities notified and date of notification (if applicable)</w:t>
            </w:r>
          </w:p>
        </w:tc>
        <w:tc>
          <w:tcPr>
            <w:tcW w:w="1912" w:type="pct"/>
            <w:tcBorders>
              <w:top w:val="single" w:sz="4" w:space="0" w:color="2765A2"/>
              <w:left w:val="single" w:sz="4" w:space="0" w:color="2765A2"/>
              <w:bottom w:val="single" w:sz="4" w:space="0" w:color="2765A2"/>
              <w:right w:val="single" w:sz="4" w:space="0" w:color="2765A2"/>
            </w:tcBorders>
          </w:tcPr>
          <w:p w:rsidR="00683CF6" w:rsidRPr="00767048" w:rsidRDefault="00607847" w:rsidP="00046B75">
            <w:pPr>
              <w:spacing w:line="200" w:lineRule="exact"/>
              <w:rPr>
                <w:rFonts w:ascii="Arial" w:hAnsi="Arial"/>
                <w:sz w:val="16"/>
              </w:rPr>
            </w:pPr>
            <w:sdt>
              <w:sdtPr>
                <w:rPr>
                  <w:rFonts w:ascii="Arial" w:hAnsi="Arial"/>
                  <w:sz w:val="16"/>
                </w:rPr>
                <w:id w:val="-761760983"/>
                <w14:checkbox>
                  <w14:checked w14:val="0"/>
                  <w14:checkedState w14:val="00FC" w14:font="Wingdings"/>
                  <w14:uncheckedState w14:val="2610" w14:font="MS Gothic"/>
                </w14:checkbox>
              </w:sdtPr>
              <w:sdtEndPr/>
              <w:sdtContent>
                <w:r w:rsidR="00683CF6" w:rsidRPr="00767048">
                  <w:rPr>
                    <w:rFonts w:ascii="Segoe UI Symbol" w:hAnsi="Segoe UI Symbol" w:cs="Segoe UI Symbol"/>
                    <w:sz w:val="16"/>
                  </w:rPr>
                  <w:t>☐</w:t>
                </w:r>
              </w:sdtContent>
            </w:sdt>
            <w:r w:rsidR="00683CF6" w:rsidRPr="00767048">
              <w:rPr>
                <w:rFonts w:ascii="Arial" w:hAnsi="Arial"/>
                <w:sz w:val="16"/>
              </w:rPr>
              <w:t xml:space="preserve">   SA EPA</w:t>
            </w:r>
          </w:p>
        </w:tc>
        <w:tc>
          <w:tcPr>
            <w:tcW w:w="1912" w:type="pct"/>
            <w:tcBorders>
              <w:top w:val="single" w:sz="4" w:space="0" w:color="2765A2"/>
              <w:left w:val="single" w:sz="4" w:space="0" w:color="2765A2"/>
              <w:bottom w:val="single" w:sz="4" w:space="0" w:color="2765A2"/>
              <w:right w:val="single" w:sz="4" w:space="0" w:color="2765A2"/>
            </w:tcBorders>
          </w:tcPr>
          <w:p w:rsidR="00683CF6" w:rsidRPr="00767048" w:rsidRDefault="00607847" w:rsidP="00046B75">
            <w:pPr>
              <w:spacing w:line="200" w:lineRule="exact"/>
              <w:rPr>
                <w:rFonts w:ascii="Arial" w:hAnsi="Arial"/>
                <w:sz w:val="16"/>
              </w:rPr>
            </w:pPr>
            <w:sdt>
              <w:sdtPr>
                <w:rPr>
                  <w:rFonts w:ascii="Arial" w:hAnsi="Arial"/>
                  <w:sz w:val="16"/>
                </w:rPr>
                <w:id w:val="2005848563"/>
                <w:placeholder>
                  <w:docPart w:val="F7758C67000D479CBB610C063EB0CAFE"/>
                </w:placeholder>
                <w:showingPlcHdr/>
                <w:date w:fullDate="2020-03-05T00:00:00Z">
                  <w:dateFormat w:val="d/MM/yyyy"/>
                  <w:lid w:val="en-AU"/>
                  <w:storeMappedDataAs w:val="dateTime"/>
                  <w:calendar w:val="gregorian"/>
                </w:date>
              </w:sdtPr>
              <w:sdtEndPr/>
              <w:sdtContent>
                <w:r w:rsidR="00683CF6" w:rsidRPr="00767048">
                  <w:rPr>
                    <w:rFonts w:ascii="Arial" w:hAnsi="Arial"/>
                    <w:color w:val="808080"/>
                    <w:sz w:val="16"/>
                  </w:rPr>
                  <w:t>Click to enter a date</w:t>
                </w:r>
              </w:sdtContent>
            </w:sdt>
          </w:p>
        </w:tc>
      </w:tr>
      <w:tr w:rsidR="00683CF6" w:rsidRPr="00767048" w:rsidTr="00046B75">
        <w:trPr>
          <w:trHeight w:val="102"/>
        </w:trPr>
        <w:tc>
          <w:tcPr>
            <w:tcW w:w="1176" w:type="pct"/>
            <w:vMerge/>
            <w:tcBorders>
              <w:left w:val="nil"/>
              <w:right w:val="single" w:sz="4" w:space="0" w:color="2765A2"/>
            </w:tcBorders>
            <w:tcMar>
              <w:left w:w="0" w:type="dxa"/>
            </w:tcMar>
          </w:tcPr>
          <w:p w:rsidR="00683CF6" w:rsidRPr="00767048" w:rsidRDefault="00683CF6" w:rsidP="00E7069A">
            <w:pPr>
              <w:spacing w:line="200" w:lineRule="exact"/>
              <w:jc w:val="left"/>
              <w:rPr>
                <w:rFonts w:ascii="Arial" w:hAnsi="Arial"/>
                <w:sz w:val="16"/>
              </w:rPr>
            </w:pPr>
          </w:p>
        </w:tc>
        <w:tc>
          <w:tcPr>
            <w:tcW w:w="1912" w:type="pct"/>
            <w:tcBorders>
              <w:top w:val="single" w:sz="4" w:space="0" w:color="2765A2"/>
              <w:left w:val="single" w:sz="4" w:space="0" w:color="2765A2"/>
              <w:bottom w:val="single" w:sz="4" w:space="0" w:color="2765A2"/>
              <w:right w:val="single" w:sz="4" w:space="0" w:color="2765A2"/>
            </w:tcBorders>
          </w:tcPr>
          <w:p w:rsidR="00683CF6" w:rsidRPr="00767048" w:rsidRDefault="00607847" w:rsidP="00046B75">
            <w:pPr>
              <w:spacing w:line="200" w:lineRule="exact"/>
              <w:rPr>
                <w:rFonts w:ascii="Arial" w:hAnsi="Arial"/>
                <w:sz w:val="16"/>
              </w:rPr>
            </w:pPr>
            <w:sdt>
              <w:sdtPr>
                <w:rPr>
                  <w:rFonts w:ascii="Arial" w:hAnsi="Arial"/>
                  <w:sz w:val="16"/>
                </w:rPr>
                <w:id w:val="1457145278"/>
                <w14:checkbox>
                  <w14:checked w14:val="0"/>
                  <w14:checkedState w14:val="00FC" w14:font="Wingdings"/>
                  <w14:uncheckedState w14:val="2610" w14:font="MS Gothic"/>
                </w14:checkbox>
              </w:sdtPr>
              <w:sdtEndPr/>
              <w:sdtContent>
                <w:r w:rsidR="00683CF6" w:rsidRPr="00767048">
                  <w:rPr>
                    <w:rFonts w:ascii="Segoe UI Symbol" w:hAnsi="Segoe UI Symbol" w:cs="Segoe UI Symbol"/>
                    <w:sz w:val="16"/>
                  </w:rPr>
                  <w:t>☐</w:t>
                </w:r>
              </w:sdtContent>
            </w:sdt>
            <w:r w:rsidR="00683CF6" w:rsidRPr="00767048">
              <w:rPr>
                <w:rFonts w:ascii="Arial" w:hAnsi="Arial"/>
                <w:sz w:val="16"/>
              </w:rPr>
              <w:t xml:space="preserve">   SafeWork SA</w:t>
            </w:r>
          </w:p>
        </w:tc>
        <w:tc>
          <w:tcPr>
            <w:tcW w:w="1912" w:type="pct"/>
            <w:tcBorders>
              <w:top w:val="single" w:sz="4" w:space="0" w:color="2765A2"/>
              <w:left w:val="single" w:sz="4" w:space="0" w:color="2765A2"/>
              <w:bottom w:val="single" w:sz="4" w:space="0" w:color="2765A2"/>
              <w:right w:val="single" w:sz="4" w:space="0" w:color="2765A2"/>
            </w:tcBorders>
          </w:tcPr>
          <w:p w:rsidR="00683CF6" w:rsidRPr="00767048" w:rsidRDefault="00607847" w:rsidP="00046B75">
            <w:pPr>
              <w:spacing w:line="200" w:lineRule="exact"/>
              <w:rPr>
                <w:rFonts w:ascii="Arial" w:hAnsi="Arial"/>
                <w:sz w:val="16"/>
              </w:rPr>
            </w:pPr>
            <w:sdt>
              <w:sdtPr>
                <w:rPr>
                  <w:rFonts w:ascii="Arial" w:hAnsi="Arial"/>
                  <w:sz w:val="16"/>
                </w:rPr>
                <w:id w:val="-66963548"/>
                <w:placeholder>
                  <w:docPart w:val="6F35BD96BE624C4CA120B99758801C01"/>
                </w:placeholder>
                <w:showingPlcHdr/>
                <w:date w:fullDate="2020-03-05T00:00:00Z">
                  <w:dateFormat w:val="d/MM/yyyy"/>
                  <w:lid w:val="en-AU"/>
                  <w:storeMappedDataAs w:val="dateTime"/>
                  <w:calendar w:val="gregorian"/>
                </w:date>
              </w:sdtPr>
              <w:sdtEndPr/>
              <w:sdtContent>
                <w:r w:rsidR="00683CF6" w:rsidRPr="00767048">
                  <w:rPr>
                    <w:rFonts w:ascii="Arial" w:hAnsi="Arial"/>
                    <w:color w:val="808080"/>
                    <w:sz w:val="16"/>
                  </w:rPr>
                  <w:t>Click to enter a date</w:t>
                </w:r>
              </w:sdtContent>
            </w:sdt>
          </w:p>
        </w:tc>
      </w:tr>
      <w:tr w:rsidR="00683CF6" w:rsidRPr="00767048" w:rsidTr="00046B75">
        <w:trPr>
          <w:trHeight w:val="102"/>
        </w:trPr>
        <w:tc>
          <w:tcPr>
            <w:tcW w:w="1176" w:type="pct"/>
            <w:vMerge/>
            <w:tcBorders>
              <w:left w:val="nil"/>
              <w:bottom w:val="nil"/>
              <w:right w:val="single" w:sz="4" w:space="0" w:color="2765A2"/>
            </w:tcBorders>
            <w:tcMar>
              <w:left w:w="0" w:type="dxa"/>
            </w:tcMar>
          </w:tcPr>
          <w:p w:rsidR="00683CF6" w:rsidRPr="00767048" w:rsidRDefault="00683CF6" w:rsidP="00E7069A">
            <w:pPr>
              <w:spacing w:line="200" w:lineRule="exact"/>
              <w:jc w:val="left"/>
              <w:rPr>
                <w:rFonts w:ascii="Arial" w:hAnsi="Arial"/>
                <w:sz w:val="16"/>
              </w:rPr>
            </w:pPr>
          </w:p>
        </w:tc>
        <w:tc>
          <w:tcPr>
            <w:tcW w:w="1912" w:type="pct"/>
            <w:tcBorders>
              <w:top w:val="single" w:sz="4" w:space="0" w:color="2765A2"/>
              <w:left w:val="single" w:sz="4" w:space="0" w:color="2765A2"/>
              <w:bottom w:val="single" w:sz="4" w:space="0" w:color="2765A2"/>
              <w:right w:val="single" w:sz="4" w:space="0" w:color="2765A2"/>
            </w:tcBorders>
          </w:tcPr>
          <w:p w:rsidR="00683CF6" w:rsidRPr="00767048" w:rsidRDefault="00607847" w:rsidP="00046B75">
            <w:pPr>
              <w:spacing w:line="200" w:lineRule="exact"/>
              <w:rPr>
                <w:rFonts w:ascii="Arial" w:hAnsi="Arial"/>
                <w:sz w:val="16"/>
              </w:rPr>
            </w:pPr>
            <w:sdt>
              <w:sdtPr>
                <w:rPr>
                  <w:rFonts w:ascii="Arial" w:hAnsi="Arial"/>
                  <w:sz w:val="16"/>
                </w:rPr>
                <w:id w:val="-876391777"/>
                <w14:checkbox>
                  <w14:checked w14:val="0"/>
                  <w14:checkedState w14:val="00FC" w14:font="Wingdings"/>
                  <w14:uncheckedState w14:val="2610" w14:font="MS Gothic"/>
                </w14:checkbox>
              </w:sdtPr>
              <w:sdtEndPr/>
              <w:sdtContent>
                <w:r w:rsidR="00683CF6" w:rsidRPr="00767048">
                  <w:rPr>
                    <w:rFonts w:ascii="Segoe UI Symbol" w:hAnsi="Segoe UI Symbol" w:cs="Segoe UI Symbol"/>
                    <w:sz w:val="16"/>
                  </w:rPr>
                  <w:t>☐</w:t>
                </w:r>
              </w:sdtContent>
            </w:sdt>
            <w:r w:rsidR="00683CF6" w:rsidRPr="00767048">
              <w:rPr>
                <w:rFonts w:ascii="Arial" w:hAnsi="Arial"/>
                <w:sz w:val="16"/>
              </w:rPr>
              <w:t xml:space="preserve">   Other</w:t>
            </w:r>
          </w:p>
        </w:tc>
        <w:tc>
          <w:tcPr>
            <w:tcW w:w="1912" w:type="pct"/>
            <w:tcBorders>
              <w:top w:val="single" w:sz="4" w:space="0" w:color="2765A2"/>
              <w:left w:val="single" w:sz="4" w:space="0" w:color="2765A2"/>
              <w:bottom w:val="single" w:sz="4" w:space="0" w:color="2765A2"/>
              <w:right w:val="single" w:sz="4" w:space="0" w:color="2765A2"/>
            </w:tcBorders>
          </w:tcPr>
          <w:p w:rsidR="00683CF6" w:rsidRPr="00767048" w:rsidRDefault="00607847" w:rsidP="00046B75">
            <w:pPr>
              <w:spacing w:line="200" w:lineRule="exact"/>
              <w:rPr>
                <w:rFonts w:ascii="Arial" w:hAnsi="Arial"/>
                <w:sz w:val="16"/>
              </w:rPr>
            </w:pPr>
            <w:sdt>
              <w:sdtPr>
                <w:rPr>
                  <w:rFonts w:ascii="Arial" w:hAnsi="Arial"/>
                  <w:sz w:val="16"/>
                </w:rPr>
                <w:id w:val="1734118118"/>
                <w:placeholder>
                  <w:docPart w:val="D9DFF605753F41E995391299367A7CCE"/>
                </w:placeholder>
                <w:showingPlcHdr/>
                <w:date w:fullDate="2020-03-05T00:00:00Z">
                  <w:dateFormat w:val="d/MM/yyyy"/>
                  <w:lid w:val="en-AU"/>
                  <w:storeMappedDataAs w:val="dateTime"/>
                  <w:calendar w:val="gregorian"/>
                </w:date>
              </w:sdtPr>
              <w:sdtEndPr/>
              <w:sdtContent>
                <w:r w:rsidR="00683CF6" w:rsidRPr="00767048">
                  <w:rPr>
                    <w:rFonts w:ascii="Arial" w:hAnsi="Arial"/>
                    <w:color w:val="808080"/>
                    <w:sz w:val="16"/>
                  </w:rPr>
                  <w:t>Click to enter a date</w:t>
                </w:r>
              </w:sdtContent>
            </w:sdt>
          </w:p>
        </w:tc>
      </w:tr>
      <w:tr w:rsidR="00683CF6" w:rsidRPr="00767048" w:rsidTr="00046B75">
        <w:trPr>
          <w:trHeight w:val="340"/>
        </w:trPr>
        <w:tc>
          <w:tcPr>
            <w:tcW w:w="1176" w:type="pct"/>
            <w:tcBorders>
              <w:top w:val="nil"/>
              <w:left w:val="nil"/>
              <w:bottom w:val="nil"/>
              <w:right w:val="single" w:sz="4" w:space="0" w:color="2765A2"/>
            </w:tcBorders>
            <w:tcMar>
              <w:left w:w="0" w:type="dxa"/>
            </w:tcMar>
          </w:tcPr>
          <w:p w:rsidR="00683CF6" w:rsidRPr="00767048" w:rsidRDefault="00683CF6" w:rsidP="00E7069A">
            <w:pPr>
              <w:spacing w:line="200" w:lineRule="exact"/>
              <w:jc w:val="left"/>
              <w:rPr>
                <w:rFonts w:ascii="Arial" w:hAnsi="Arial"/>
                <w:sz w:val="16"/>
              </w:rPr>
            </w:pPr>
            <w:r w:rsidRPr="00767048">
              <w:rPr>
                <w:rFonts w:ascii="Arial" w:hAnsi="Arial"/>
                <w:sz w:val="16"/>
              </w:rPr>
              <w:t>State the date a comprehensive report is to be provided to DEM (where applicable)</w:t>
            </w:r>
          </w:p>
        </w:tc>
        <w:tc>
          <w:tcPr>
            <w:tcW w:w="3824" w:type="pct"/>
            <w:gridSpan w:val="2"/>
            <w:tcBorders>
              <w:top w:val="single" w:sz="4" w:space="0" w:color="2765A2"/>
              <w:left w:val="single" w:sz="4" w:space="0" w:color="2765A2"/>
              <w:bottom w:val="single" w:sz="4" w:space="0" w:color="2765A2"/>
              <w:right w:val="single" w:sz="4" w:space="0" w:color="2765A2"/>
            </w:tcBorders>
          </w:tcPr>
          <w:p w:rsidR="00683CF6" w:rsidRPr="00767048" w:rsidRDefault="00607847" w:rsidP="00046B75">
            <w:pPr>
              <w:spacing w:line="200" w:lineRule="exact"/>
              <w:rPr>
                <w:rFonts w:ascii="Arial" w:hAnsi="Arial"/>
                <w:sz w:val="16"/>
              </w:rPr>
            </w:pPr>
            <w:sdt>
              <w:sdtPr>
                <w:rPr>
                  <w:rFonts w:ascii="Arial" w:hAnsi="Arial"/>
                  <w:sz w:val="16"/>
                </w:rPr>
                <w:id w:val="-1425489282"/>
                <w:placeholder>
                  <w:docPart w:val="C44BEC766A8C44EDB1D50D3E900F2C58"/>
                </w:placeholder>
                <w:showingPlcHdr/>
                <w:date w:fullDate="2020-03-05T00:00:00Z">
                  <w:dateFormat w:val="d/MM/yyyy"/>
                  <w:lid w:val="en-AU"/>
                  <w:storeMappedDataAs w:val="dateTime"/>
                  <w:calendar w:val="gregorian"/>
                </w:date>
              </w:sdtPr>
              <w:sdtEndPr/>
              <w:sdtContent>
                <w:r w:rsidR="00683CF6" w:rsidRPr="00767048">
                  <w:rPr>
                    <w:rFonts w:ascii="Arial" w:hAnsi="Arial"/>
                    <w:color w:val="808080"/>
                    <w:sz w:val="16"/>
                  </w:rPr>
                  <w:t>Click to enter a date</w:t>
                </w:r>
              </w:sdtContent>
            </w:sdt>
          </w:p>
        </w:tc>
      </w:tr>
      <w:tr w:rsidR="00683CF6" w:rsidRPr="00767048" w:rsidTr="00046B75">
        <w:trPr>
          <w:trHeight w:val="458"/>
        </w:trPr>
        <w:tc>
          <w:tcPr>
            <w:tcW w:w="1176" w:type="pct"/>
            <w:tcBorders>
              <w:top w:val="nil"/>
              <w:left w:val="nil"/>
              <w:bottom w:val="nil"/>
              <w:right w:val="single" w:sz="4" w:space="0" w:color="2765A2"/>
            </w:tcBorders>
            <w:tcMar>
              <w:left w:w="0" w:type="dxa"/>
            </w:tcMar>
          </w:tcPr>
          <w:p w:rsidR="00683CF6" w:rsidRPr="00767048" w:rsidRDefault="00683CF6" w:rsidP="00E7069A">
            <w:pPr>
              <w:spacing w:line="200" w:lineRule="exact"/>
              <w:jc w:val="left"/>
              <w:rPr>
                <w:rFonts w:ascii="Arial" w:hAnsi="Arial"/>
                <w:sz w:val="16"/>
              </w:rPr>
            </w:pPr>
            <w:r w:rsidRPr="00767048">
              <w:rPr>
                <w:rFonts w:ascii="Arial" w:hAnsi="Arial"/>
                <w:sz w:val="16"/>
              </w:rPr>
              <w:t>Incident location</w:t>
            </w:r>
          </w:p>
        </w:tc>
        <w:tc>
          <w:tcPr>
            <w:tcW w:w="3824" w:type="pct"/>
            <w:gridSpan w:val="2"/>
            <w:tcBorders>
              <w:top w:val="single" w:sz="4" w:space="0" w:color="2765A2"/>
              <w:left w:val="single" w:sz="4" w:space="0" w:color="2765A2"/>
              <w:bottom w:val="single" w:sz="4" w:space="0" w:color="2765A2"/>
              <w:right w:val="single" w:sz="4" w:space="0" w:color="2765A2"/>
            </w:tcBorders>
          </w:tcPr>
          <w:p w:rsidR="00683CF6" w:rsidRPr="00767048" w:rsidRDefault="00607847" w:rsidP="00046B75">
            <w:pPr>
              <w:spacing w:line="200" w:lineRule="exact"/>
              <w:rPr>
                <w:rFonts w:ascii="Arial" w:hAnsi="Arial" w:cs="Arial"/>
                <w:sz w:val="16"/>
                <w:szCs w:val="16"/>
              </w:rPr>
            </w:pPr>
            <w:sdt>
              <w:sdtPr>
                <w:rPr>
                  <w:rFonts w:ascii="Arial" w:hAnsi="Arial"/>
                  <w:sz w:val="16"/>
                </w:rPr>
                <w:id w:val="-1777018340"/>
                <w:placeholder>
                  <w:docPart w:val="795BE3631F4D463AB357F9510B8A697C"/>
                </w:placeholder>
                <w:showingPlcHdr/>
                <w:text w:multiLine="1"/>
              </w:sdtPr>
              <w:sdtEndPr/>
              <w:sdtContent>
                <w:r w:rsidR="00683CF6" w:rsidRPr="00767048">
                  <w:rPr>
                    <w:rFonts w:ascii="Arial" w:hAnsi="Arial"/>
                    <w:color w:val="808080"/>
                    <w:sz w:val="16"/>
                  </w:rPr>
                  <w:t>Provide details of the location of the incident and approximate area impacted (e.g. m</w:t>
                </w:r>
                <w:r w:rsidR="00683CF6" w:rsidRPr="00767048">
                  <w:rPr>
                    <w:rFonts w:ascii="Arial" w:hAnsi="Arial"/>
                    <w:color w:val="808080"/>
                    <w:sz w:val="16"/>
                    <w:vertAlign w:val="superscript"/>
                  </w:rPr>
                  <w:t>2</w:t>
                </w:r>
                <w:r w:rsidR="00683CF6" w:rsidRPr="00767048">
                  <w:rPr>
                    <w:rFonts w:ascii="Arial" w:hAnsi="Arial"/>
                    <w:color w:val="808080"/>
                    <w:sz w:val="16"/>
                  </w:rPr>
                  <w:t>, Ha, etc.). Include a map, plan and photos as required in the supporting information section overleaf.</w:t>
                </w:r>
              </w:sdtContent>
            </w:sdt>
          </w:p>
        </w:tc>
      </w:tr>
      <w:tr w:rsidR="00683CF6" w:rsidRPr="00767048" w:rsidTr="00046B75">
        <w:trPr>
          <w:trHeight w:val="340"/>
        </w:trPr>
        <w:tc>
          <w:tcPr>
            <w:tcW w:w="1176" w:type="pct"/>
            <w:tcBorders>
              <w:top w:val="nil"/>
              <w:left w:val="nil"/>
              <w:bottom w:val="nil"/>
              <w:right w:val="single" w:sz="4" w:space="0" w:color="2765A2"/>
            </w:tcBorders>
            <w:tcMar>
              <w:left w:w="0" w:type="dxa"/>
            </w:tcMar>
          </w:tcPr>
          <w:p w:rsidR="00683CF6" w:rsidRPr="00767048" w:rsidRDefault="00683CF6" w:rsidP="00E7069A">
            <w:pPr>
              <w:spacing w:line="200" w:lineRule="exact"/>
              <w:jc w:val="left"/>
              <w:rPr>
                <w:rFonts w:ascii="Arial" w:hAnsi="Arial"/>
                <w:sz w:val="16"/>
              </w:rPr>
            </w:pPr>
            <w:r w:rsidRPr="00767048">
              <w:rPr>
                <w:rFonts w:ascii="Arial" w:hAnsi="Arial"/>
                <w:sz w:val="16"/>
              </w:rPr>
              <w:t>Incident description</w:t>
            </w:r>
          </w:p>
        </w:tc>
        <w:tc>
          <w:tcPr>
            <w:tcW w:w="3824" w:type="pct"/>
            <w:gridSpan w:val="2"/>
            <w:tcBorders>
              <w:top w:val="single" w:sz="4" w:space="0" w:color="2765A2"/>
              <w:left w:val="single" w:sz="4" w:space="0" w:color="2765A2"/>
              <w:bottom w:val="single" w:sz="4" w:space="0" w:color="2765A2"/>
              <w:right w:val="single" w:sz="4" w:space="0" w:color="2765A2"/>
            </w:tcBorders>
          </w:tcPr>
          <w:sdt>
            <w:sdtPr>
              <w:rPr>
                <w:rFonts w:ascii="Arial" w:hAnsi="Arial" w:cs="Arial"/>
                <w:sz w:val="16"/>
                <w:szCs w:val="16"/>
              </w:rPr>
              <w:id w:val="-963959009"/>
              <w:placeholder>
                <w:docPart w:val="55BC9CA902B44B8F8CC355890622A9A7"/>
              </w:placeholder>
              <w:showingPlcHdr/>
              <w:text w:multiLine="1"/>
            </w:sdtPr>
            <w:sdtEndPr/>
            <w:sdtContent>
              <w:p w:rsidR="00683CF6" w:rsidRPr="00767048" w:rsidRDefault="00683CF6" w:rsidP="00046B75">
                <w:pPr>
                  <w:shd w:val="clear" w:color="auto" w:fill="FFFFFF"/>
                  <w:spacing w:after="120" w:line="200" w:lineRule="exact"/>
                  <w:rPr>
                    <w:rFonts w:ascii="Arial" w:hAnsi="Arial" w:cs="Arial"/>
                    <w:sz w:val="16"/>
                    <w:szCs w:val="16"/>
                  </w:rPr>
                </w:pPr>
                <w:r w:rsidRPr="00767048">
                  <w:rPr>
                    <w:rFonts w:ascii="Arial" w:hAnsi="Arial" w:cs="Arial"/>
                    <w:color w:val="808080"/>
                    <w:sz w:val="16"/>
                    <w:szCs w:val="16"/>
                  </w:rPr>
                  <w:t>Describe circumstances constituting the incident. Attach separate sheet, if necessary.</w:t>
                </w:r>
              </w:p>
            </w:sdtContent>
          </w:sdt>
        </w:tc>
      </w:tr>
      <w:tr w:rsidR="00683CF6" w:rsidRPr="00767048" w:rsidTr="00046B75">
        <w:trPr>
          <w:trHeight w:val="340"/>
        </w:trPr>
        <w:tc>
          <w:tcPr>
            <w:tcW w:w="1176" w:type="pct"/>
            <w:tcBorders>
              <w:top w:val="nil"/>
              <w:left w:val="nil"/>
              <w:bottom w:val="nil"/>
              <w:right w:val="single" w:sz="4" w:space="0" w:color="2765A2"/>
            </w:tcBorders>
            <w:tcMar>
              <w:left w:w="0" w:type="dxa"/>
            </w:tcMar>
          </w:tcPr>
          <w:p w:rsidR="00683CF6" w:rsidRPr="00767048" w:rsidRDefault="00683CF6" w:rsidP="00E7069A">
            <w:pPr>
              <w:spacing w:line="200" w:lineRule="exact"/>
              <w:jc w:val="left"/>
              <w:rPr>
                <w:rFonts w:ascii="Arial" w:hAnsi="Arial"/>
                <w:sz w:val="16"/>
              </w:rPr>
            </w:pPr>
            <w:r w:rsidRPr="00767048">
              <w:rPr>
                <w:rFonts w:ascii="Arial" w:hAnsi="Arial"/>
                <w:sz w:val="16"/>
              </w:rPr>
              <w:t>Current status</w:t>
            </w:r>
          </w:p>
        </w:tc>
        <w:tc>
          <w:tcPr>
            <w:tcW w:w="3824" w:type="pct"/>
            <w:gridSpan w:val="2"/>
            <w:tcBorders>
              <w:top w:val="single" w:sz="4" w:space="0" w:color="2765A2"/>
              <w:left w:val="single" w:sz="4" w:space="0" w:color="2765A2"/>
              <w:bottom w:val="single" w:sz="4" w:space="0" w:color="2765A2"/>
              <w:right w:val="single" w:sz="4" w:space="0" w:color="2765A2"/>
            </w:tcBorders>
          </w:tcPr>
          <w:p w:rsidR="00683CF6" w:rsidRPr="00767048" w:rsidRDefault="00607847" w:rsidP="00046B75">
            <w:pPr>
              <w:shd w:val="clear" w:color="auto" w:fill="FFFFFF"/>
              <w:spacing w:after="120" w:line="200" w:lineRule="exact"/>
              <w:rPr>
                <w:rFonts w:ascii="Arial" w:hAnsi="Arial" w:cs="Arial"/>
                <w:sz w:val="16"/>
                <w:szCs w:val="16"/>
              </w:rPr>
            </w:pPr>
            <w:sdt>
              <w:sdtPr>
                <w:rPr>
                  <w:rFonts w:ascii="Arial" w:hAnsi="Arial"/>
                  <w:sz w:val="16"/>
                </w:rPr>
                <w:id w:val="484675510"/>
                <w:placeholder>
                  <w:docPart w:val="76758A5B55674DF8936F93965DA74AFB"/>
                </w:placeholder>
                <w:showingPlcHdr/>
                <w:text w:multiLine="1"/>
              </w:sdtPr>
              <w:sdtEndPr/>
              <w:sdtContent>
                <w:r w:rsidR="00683CF6" w:rsidRPr="00767048">
                  <w:rPr>
                    <w:rFonts w:ascii="Arial" w:hAnsi="Arial"/>
                    <w:color w:val="808080"/>
                    <w:sz w:val="16"/>
                    <w:szCs w:val="16"/>
                  </w:rPr>
                  <w:t>Click to enter text</w:t>
                </w:r>
              </w:sdtContent>
            </w:sdt>
          </w:p>
        </w:tc>
      </w:tr>
      <w:tr w:rsidR="00683CF6" w:rsidRPr="00767048" w:rsidTr="00046B75">
        <w:trPr>
          <w:trHeight w:val="340"/>
        </w:trPr>
        <w:tc>
          <w:tcPr>
            <w:tcW w:w="1176" w:type="pct"/>
            <w:tcBorders>
              <w:top w:val="nil"/>
              <w:left w:val="nil"/>
              <w:bottom w:val="nil"/>
              <w:right w:val="single" w:sz="4" w:space="0" w:color="2765A2"/>
            </w:tcBorders>
            <w:tcMar>
              <w:left w:w="0" w:type="dxa"/>
            </w:tcMar>
            <w:vAlign w:val="center"/>
          </w:tcPr>
          <w:p w:rsidR="00683CF6" w:rsidRPr="00767048" w:rsidRDefault="00683CF6" w:rsidP="00E7069A">
            <w:pPr>
              <w:spacing w:line="200" w:lineRule="exact"/>
              <w:jc w:val="left"/>
              <w:rPr>
                <w:rFonts w:ascii="Arial" w:hAnsi="Arial"/>
                <w:sz w:val="16"/>
              </w:rPr>
            </w:pPr>
            <w:r w:rsidRPr="00767048">
              <w:rPr>
                <w:rFonts w:ascii="Arial" w:hAnsi="Arial"/>
                <w:sz w:val="16"/>
              </w:rPr>
              <w:t>Probable cause</w:t>
            </w:r>
          </w:p>
        </w:tc>
        <w:tc>
          <w:tcPr>
            <w:tcW w:w="3824" w:type="pct"/>
            <w:gridSpan w:val="2"/>
            <w:tcBorders>
              <w:top w:val="single" w:sz="4" w:space="0" w:color="2765A2"/>
              <w:left w:val="single" w:sz="4" w:space="0" w:color="2765A2"/>
              <w:bottom w:val="single" w:sz="4" w:space="0" w:color="2765A2"/>
              <w:right w:val="single" w:sz="4" w:space="0" w:color="2765A2"/>
            </w:tcBorders>
          </w:tcPr>
          <w:p w:rsidR="00683CF6" w:rsidRPr="00767048" w:rsidRDefault="00607847" w:rsidP="00046B75">
            <w:pPr>
              <w:shd w:val="clear" w:color="auto" w:fill="FFFFFF"/>
              <w:spacing w:after="120" w:line="200" w:lineRule="exact"/>
              <w:rPr>
                <w:rFonts w:ascii="Arial" w:hAnsi="Arial" w:cs="Arial"/>
                <w:sz w:val="16"/>
                <w:szCs w:val="16"/>
              </w:rPr>
            </w:pPr>
            <w:sdt>
              <w:sdtPr>
                <w:rPr>
                  <w:rFonts w:ascii="Arial" w:hAnsi="Arial"/>
                  <w:sz w:val="16"/>
                </w:rPr>
                <w:id w:val="-640035718"/>
                <w:placeholder>
                  <w:docPart w:val="5AED1A9473464FEEB49BBD17DF41E9F2"/>
                </w:placeholder>
                <w:showingPlcHdr/>
                <w:text w:multiLine="1"/>
              </w:sdtPr>
              <w:sdtEndPr/>
              <w:sdtContent>
                <w:r w:rsidR="00683CF6" w:rsidRPr="00767048">
                  <w:rPr>
                    <w:rFonts w:ascii="Arial" w:hAnsi="Arial"/>
                    <w:color w:val="808080"/>
                    <w:sz w:val="16"/>
                    <w:szCs w:val="16"/>
                  </w:rPr>
                  <w:t>Click to enter text</w:t>
                </w:r>
              </w:sdtContent>
            </w:sdt>
          </w:p>
        </w:tc>
      </w:tr>
      <w:tr w:rsidR="00683CF6" w:rsidRPr="00767048" w:rsidTr="00046B75">
        <w:trPr>
          <w:trHeight w:val="340"/>
        </w:trPr>
        <w:tc>
          <w:tcPr>
            <w:tcW w:w="1176" w:type="pct"/>
            <w:tcBorders>
              <w:top w:val="nil"/>
              <w:left w:val="nil"/>
              <w:bottom w:val="nil"/>
              <w:right w:val="single" w:sz="4" w:space="0" w:color="2765A2"/>
            </w:tcBorders>
            <w:tcMar>
              <w:left w:w="0" w:type="dxa"/>
            </w:tcMar>
            <w:vAlign w:val="center"/>
          </w:tcPr>
          <w:p w:rsidR="00683CF6" w:rsidRPr="00767048" w:rsidRDefault="00683CF6" w:rsidP="00E7069A">
            <w:pPr>
              <w:spacing w:line="200" w:lineRule="exact"/>
              <w:jc w:val="left"/>
              <w:rPr>
                <w:rFonts w:ascii="Arial" w:hAnsi="Arial"/>
                <w:sz w:val="16"/>
              </w:rPr>
            </w:pPr>
            <w:r w:rsidRPr="00767048">
              <w:rPr>
                <w:rFonts w:ascii="Arial" w:hAnsi="Arial"/>
                <w:sz w:val="16"/>
              </w:rPr>
              <w:t>Emergency or remedial actions (taken or planned)</w:t>
            </w:r>
          </w:p>
        </w:tc>
        <w:tc>
          <w:tcPr>
            <w:tcW w:w="3824" w:type="pct"/>
            <w:gridSpan w:val="2"/>
            <w:tcBorders>
              <w:top w:val="single" w:sz="4" w:space="0" w:color="2765A2"/>
              <w:left w:val="single" w:sz="4" w:space="0" w:color="2765A2"/>
              <w:bottom w:val="single" w:sz="4" w:space="0" w:color="2765A2"/>
              <w:right w:val="single" w:sz="4" w:space="0" w:color="2765A2"/>
            </w:tcBorders>
          </w:tcPr>
          <w:p w:rsidR="00683CF6" w:rsidRPr="00767048" w:rsidRDefault="00607847" w:rsidP="00046B75">
            <w:pPr>
              <w:shd w:val="clear" w:color="auto" w:fill="FFFFFF"/>
              <w:spacing w:after="120" w:line="200" w:lineRule="exact"/>
              <w:rPr>
                <w:rFonts w:ascii="Arial" w:hAnsi="Arial" w:cs="Arial"/>
                <w:sz w:val="16"/>
                <w:szCs w:val="16"/>
              </w:rPr>
            </w:pPr>
            <w:sdt>
              <w:sdtPr>
                <w:rPr>
                  <w:rFonts w:ascii="Arial" w:hAnsi="Arial"/>
                  <w:sz w:val="16"/>
                </w:rPr>
                <w:id w:val="-2011976097"/>
                <w:placeholder>
                  <w:docPart w:val="608E8E07FBEC43A786587A070CEE64DF"/>
                </w:placeholder>
                <w:showingPlcHdr/>
                <w:text w:multiLine="1"/>
              </w:sdtPr>
              <w:sdtEndPr/>
              <w:sdtContent>
                <w:r w:rsidR="00683CF6" w:rsidRPr="00767048">
                  <w:rPr>
                    <w:rFonts w:ascii="Arial" w:hAnsi="Arial"/>
                    <w:color w:val="808080"/>
                    <w:sz w:val="16"/>
                    <w:szCs w:val="16"/>
                  </w:rPr>
                  <w:t>Click to enter text</w:t>
                </w:r>
              </w:sdtContent>
            </w:sdt>
          </w:p>
        </w:tc>
      </w:tr>
    </w:tbl>
    <w:p w:rsidR="00683CF6" w:rsidRPr="00767048" w:rsidRDefault="00683CF6" w:rsidP="00E7069A">
      <w:pPr>
        <w:keepNext/>
        <w:spacing w:before="120" w:after="120" w:line="240" w:lineRule="exact"/>
        <w:jc w:val="left"/>
        <w:outlineLvl w:val="1"/>
        <w:rPr>
          <w:rFonts w:ascii="Arial Bold" w:hAnsi="Arial Bold" w:cs="Arial"/>
          <w:b/>
          <w:bCs/>
          <w:iCs/>
          <w:color w:val="0070C0"/>
          <w:sz w:val="22"/>
        </w:rPr>
      </w:pPr>
      <w:bookmarkStart w:id="140" w:name="_Toc59098622"/>
      <w:bookmarkStart w:id="141" w:name="_Toc59098747"/>
      <w:bookmarkStart w:id="142" w:name="_Toc59098960"/>
      <w:r w:rsidRPr="00767048">
        <w:rPr>
          <w:rFonts w:ascii="Arial Bold" w:hAnsi="Arial Bold" w:cs="Arial"/>
          <w:b/>
          <w:bCs/>
          <w:iCs/>
          <w:color w:val="0070C0"/>
          <w:sz w:val="22"/>
        </w:rPr>
        <w:t>RELEVANT ENVIRONMENTAL OUTCOMES/OBJECTIVES, TENEMENT CONDITIONS AND MEASURMENT CRITERIA</w:t>
      </w:r>
      <w:bookmarkEnd w:id="140"/>
      <w:bookmarkEnd w:id="141"/>
      <w:bookmarkEnd w:id="142"/>
    </w:p>
    <w:tbl>
      <w:tblPr>
        <w:tblStyle w:val="TableGrid21"/>
        <w:tblW w:w="5000" w:type="pct"/>
        <w:tblCellMar>
          <w:top w:w="28" w:type="dxa"/>
          <w:left w:w="57" w:type="dxa"/>
          <w:bottom w:w="28" w:type="dxa"/>
          <w:right w:w="57" w:type="dxa"/>
        </w:tblCellMar>
        <w:tblLook w:val="04A0" w:firstRow="1" w:lastRow="0" w:firstColumn="1" w:lastColumn="0" w:noHBand="0" w:noVBand="1"/>
      </w:tblPr>
      <w:tblGrid>
        <w:gridCol w:w="2199"/>
        <w:gridCol w:w="7150"/>
      </w:tblGrid>
      <w:tr w:rsidR="00683CF6" w:rsidRPr="00767048" w:rsidTr="00046B75">
        <w:trPr>
          <w:trHeight w:val="340"/>
        </w:trPr>
        <w:tc>
          <w:tcPr>
            <w:tcW w:w="1176" w:type="pct"/>
            <w:tcBorders>
              <w:top w:val="nil"/>
              <w:left w:val="nil"/>
              <w:bottom w:val="nil"/>
              <w:right w:val="single" w:sz="4" w:space="0" w:color="2765A2"/>
            </w:tcBorders>
            <w:tcMar>
              <w:left w:w="0" w:type="dxa"/>
            </w:tcMar>
          </w:tcPr>
          <w:p w:rsidR="00683CF6" w:rsidRPr="00767048" w:rsidRDefault="00683CF6" w:rsidP="00E7069A">
            <w:pPr>
              <w:spacing w:line="200" w:lineRule="exact"/>
              <w:jc w:val="left"/>
              <w:rPr>
                <w:rFonts w:ascii="Arial" w:hAnsi="Arial"/>
                <w:sz w:val="16"/>
              </w:rPr>
            </w:pPr>
            <w:r w:rsidRPr="00767048">
              <w:rPr>
                <w:rFonts w:ascii="Arial" w:hAnsi="Arial"/>
                <w:sz w:val="16"/>
              </w:rPr>
              <w:t>State the environmental outcome(s)/objectives or tenement condition(s) relevant to the incident</w:t>
            </w:r>
          </w:p>
        </w:tc>
        <w:tc>
          <w:tcPr>
            <w:tcW w:w="3824" w:type="pct"/>
            <w:tcBorders>
              <w:top w:val="single" w:sz="4" w:space="0" w:color="2765A2"/>
              <w:left w:val="single" w:sz="4" w:space="0" w:color="2765A2"/>
              <w:bottom w:val="single" w:sz="4" w:space="0" w:color="2765A2"/>
              <w:right w:val="single" w:sz="4" w:space="0" w:color="2765A2"/>
            </w:tcBorders>
          </w:tcPr>
          <w:p w:rsidR="00683CF6" w:rsidRPr="00767048" w:rsidRDefault="00607847" w:rsidP="00046B75">
            <w:pPr>
              <w:spacing w:line="200" w:lineRule="exact"/>
              <w:rPr>
                <w:rFonts w:ascii="Arial" w:hAnsi="Arial"/>
                <w:sz w:val="16"/>
              </w:rPr>
            </w:pPr>
            <w:sdt>
              <w:sdtPr>
                <w:rPr>
                  <w:rFonts w:ascii="Arial" w:hAnsi="Arial"/>
                  <w:sz w:val="16"/>
                </w:rPr>
                <w:id w:val="-442609536"/>
                <w:placeholder>
                  <w:docPart w:val="62B5F3EE178045EBB4ECB17CC51D7D61"/>
                </w:placeholder>
                <w:showingPlcHdr/>
                <w:text w:multiLine="1"/>
              </w:sdtPr>
              <w:sdtEndPr/>
              <w:sdtContent>
                <w:r w:rsidR="00683CF6" w:rsidRPr="00767048">
                  <w:rPr>
                    <w:rFonts w:ascii="Arial" w:hAnsi="Arial" w:cs="Arial"/>
                    <w:color w:val="808080"/>
                    <w:sz w:val="16"/>
                    <w:szCs w:val="16"/>
                  </w:rPr>
                  <w:t>Click to enter text</w:t>
                </w:r>
              </w:sdtContent>
            </w:sdt>
          </w:p>
        </w:tc>
      </w:tr>
      <w:tr w:rsidR="00683CF6" w:rsidRPr="00767048" w:rsidTr="00046B75">
        <w:trPr>
          <w:trHeight w:val="340"/>
        </w:trPr>
        <w:tc>
          <w:tcPr>
            <w:tcW w:w="1176" w:type="pct"/>
            <w:tcBorders>
              <w:top w:val="nil"/>
              <w:left w:val="nil"/>
              <w:bottom w:val="nil"/>
              <w:right w:val="single" w:sz="4" w:space="0" w:color="2765A2"/>
            </w:tcBorders>
            <w:tcMar>
              <w:left w:w="0" w:type="dxa"/>
            </w:tcMar>
          </w:tcPr>
          <w:p w:rsidR="00683CF6" w:rsidRPr="00767048" w:rsidRDefault="00683CF6" w:rsidP="00E7069A">
            <w:pPr>
              <w:spacing w:line="200" w:lineRule="exact"/>
              <w:jc w:val="left"/>
              <w:rPr>
                <w:rFonts w:ascii="Arial" w:hAnsi="Arial"/>
                <w:sz w:val="16"/>
              </w:rPr>
            </w:pPr>
            <w:r w:rsidRPr="00767048">
              <w:rPr>
                <w:rFonts w:ascii="Arial" w:hAnsi="Arial"/>
                <w:sz w:val="16"/>
              </w:rPr>
              <w:t>State all relevant measurement criteria breached (or potentially breached)</w:t>
            </w:r>
          </w:p>
        </w:tc>
        <w:tc>
          <w:tcPr>
            <w:tcW w:w="3824" w:type="pct"/>
            <w:tcBorders>
              <w:top w:val="single" w:sz="4" w:space="0" w:color="2765A2"/>
              <w:left w:val="single" w:sz="4" w:space="0" w:color="2765A2"/>
              <w:bottom w:val="single" w:sz="4" w:space="0" w:color="2765A2"/>
              <w:right w:val="single" w:sz="4" w:space="0" w:color="2765A2"/>
            </w:tcBorders>
          </w:tcPr>
          <w:p w:rsidR="00683CF6" w:rsidRPr="00767048" w:rsidRDefault="00607847" w:rsidP="00046B75">
            <w:pPr>
              <w:spacing w:line="200" w:lineRule="exact"/>
              <w:rPr>
                <w:rFonts w:ascii="Arial" w:hAnsi="Arial"/>
                <w:sz w:val="16"/>
              </w:rPr>
            </w:pPr>
            <w:sdt>
              <w:sdtPr>
                <w:rPr>
                  <w:rFonts w:ascii="Arial" w:hAnsi="Arial"/>
                  <w:sz w:val="16"/>
                </w:rPr>
                <w:id w:val="-1651815205"/>
                <w:placeholder>
                  <w:docPart w:val="1F01CF7C7C8B458491F14E37F66FCA80"/>
                </w:placeholder>
                <w:showingPlcHdr/>
                <w:text w:multiLine="1"/>
              </w:sdtPr>
              <w:sdtEndPr/>
              <w:sdtContent>
                <w:r w:rsidR="00683CF6" w:rsidRPr="00767048">
                  <w:rPr>
                    <w:rFonts w:ascii="Arial" w:hAnsi="Arial" w:cs="Arial"/>
                    <w:color w:val="808080"/>
                    <w:sz w:val="16"/>
                    <w:szCs w:val="16"/>
                  </w:rPr>
                  <w:t>Click to enter text</w:t>
                </w:r>
              </w:sdtContent>
            </w:sdt>
          </w:p>
        </w:tc>
      </w:tr>
      <w:tr w:rsidR="00683CF6" w:rsidRPr="00767048" w:rsidTr="00046B75">
        <w:trPr>
          <w:trHeight w:val="340"/>
        </w:trPr>
        <w:tc>
          <w:tcPr>
            <w:tcW w:w="1176" w:type="pct"/>
            <w:tcBorders>
              <w:top w:val="nil"/>
              <w:left w:val="nil"/>
              <w:bottom w:val="nil"/>
              <w:right w:val="single" w:sz="4" w:space="0" w:color="2765A2"/>
            </w:tcBorders>
            <w:tcMar>
              <w:left w:w="0" w:type="dxa"/>
            </w:tcMar>
          </w:tcPr>
          <w:p w:rsidR="00683CF6" w:rsidRPr="00767048" w:rsidRDefault="00683CF6" w:rsidP="00E7069A">
            <w:pPr>
              <w:spacing w:line="200" w:lineRule="exact"/>
              <w:jc w:val="left"/>
              <w:rPr>
                <w:rFonts w:ascii="Arial" w:hAnsi="Arial"/>
                <w:sz w:val="16"/>
              </w:rPr>
            </w:pPr>
            <w:r w:rsidRPr="00767048">
              <w:rPr>
                <w:rFonts w:ascii="Arial" w:hAnsi="Arial"/>
                <w:sz w:val="16"/>
              </w:rPr>
              <w:t>Provide any data relevant to the measurement criteria</w:t>
            </w:r>
          </w:p>
        </w:tc>
        <w:tc>
          <w:tcPr>
            <w:tcW w:w="3824" w:type="pct"/>
            <w:tcBorders>
              <w:top w:val="single" w:sz="4" w:space="0" w:color="2765A2"/>
              <w:left w:val="single" w:sz="4" w:space="0" w:color="2765A2"/>
              <w:bottom w:val="single" w:sz="4" w:space="0" w:color="2765A2"/>
              <w:right w:val="single" w:sz="4" w:space="0" w:color="2765A2"/>
            </w:tcBorders>
          </w:tcPr>
          <w:p w:rsidR="00683CF6" w:rsidRPr="00767048" w:rsidRDefault="00607847" w:rsidP="00046B75">
            <w:pPr>
              <w:spacing w:line="200" w:lineRule="exact"/>
              <w:rPr>
                <w:rFonts w:ascii="Arial" w:hAnsi="Arial"/>
                <w:sz w:val="16"/>
              </w:rPr>
            </w:pPr>
            <w:sdt>
              <w:sdtPr>
                <w:rPr>
                  <w:rFonts w:ascii="Arial" w:hAnsi="Arial"/>
                  <w:sz w:val="16"/>
                </w:rPr>
                <w:id w:val="-1039355585"/>
                <w:placeholder>
                  <w:docPart w:val="A403954004B0474589BCEDF3F43DCC57"/>
                </w:placeholder>
                <w:showingPlcHdr/>
                <w:text w:multiLine="1"/>
              </w:sdtPr>
              <w:sdtEndPr/>
              <w:sdtContent>
                <w:r w:rsidR="00683CF6" w:rsidRPr="00767048">
                  <w:rPr>
                    <w:rFonts w:ascii="Arial" w:hAnsi="Arial" w:cs="Arial"/>
                    <w:color w:val="808080"/>
                    <w:sz w:val="16"/>
                    <w:szCs w:val="16"/>
                  </w:rPr>
                  <w:t>Click to enter text</w:t>
                </w:r>
              </w:sdtContent>
            </w:sdt>
          </w:p>
        </w:tc>
      </w:tr>
    </w:tbl>
    <w:p w:rsidR="00683CF6" w:rsidRPr="00767048" w:rsidRDefault="00683CF6" w:rsidP="00683CF6">
      <w:pPr>
        <w:spacing w:after="0" w:line="240" w:lineRule="auto"/>
        <w:jc w:val="left"/>
        <w:rPr>
          <w:rFonts w:ascii="Arial" w:hAnsi="Arial"/>
          <w:sz w:val="20"/>
        </w:rPr>
      </w:pPr>
      <w:r w:rsidRPr="00767048">
        <w:rPr>
          <w:rFonts w:ascii="Arial" w:hAnsi="Arial"/>
          <w:sz w:val="20"/>
        </w:rPr>
        <w:t>SUPPORTING INFORMATION</w:t>
      </w:r>
    </w:p>
    <w:tbl>
      <w:tblPr>
        <w:tblStyle w:val="TableGrid21"/>
        <w:tblW w:w="5000" w:type="pct"/>
        <w:tblCellMar>
          <w:top w:w="28" w:type="dxa"/>
          <w:left w:w="57" w:type="dxa"/>
          <w:bottom w:w="28" w:type="dxa"/>
          <w:right w:w="57" w:type="dxa"/>
        </w:tblCellMar>
        <w:tblLook w:val="04A0" w:firstRow="1" w:lastRow="0" w:firstColumn="1" w:lastColumn="0" w:noHBand="0" w:noVBand="1"/>
      </w:tblPr>
      <w:tblGrid>
        <w:gridCol w:w="2199"/>
        <w:gridCol w:w="7150"/>
      </w:tblGrid>
      <w:tr w:rsidR="00683CF6" w:rsidRPr="00767048" w:rsidTr="00046B75">
        <w:trPr>
          <w:trHeight w:val="340"/>
        </w:trPr>
        <w:tc>
          <w:tcPr>
            <w:tcW w:w="1176" w:type="pct"/>
            <w:tcBorders>
              <w:top w:val="nil"/>
              <w:left w:val="nil"/>
              <w:bottom w:val="nil"/>
              <w:right w:val="single" w:sz="4" w:space="0" w:color="2765A2"/>
            </w:tcBorders>
            <w:tcMar>
              <w:left w:w="0" w:type="dxa"/>
            </w:tcMar>
          </w:tcPr>
          <w:p w:rsidR="00683CF6" w:rsidRPr="00767048" w:rsidRDefault="00683CF6" w:rsidP="00046B75">
            <w:pPr>
              <w:spacing w:line="200" w:lineRule="exact"/>
              <w:rPr>
                <w:rFonts w:ascii="Arial" w:hAnsi="Arial"/>
                <w:sz w:val="16"/>
              </w:rPr>
            </w:pPr>
            <w:r w:rsidRPr="00767048">
              <w:rPr>
                <w:rFonts w:ascii="Arial" w:hAnsi="Arial"/>
                <w:sz w:val="16"/>
              </w:rPr>
              <w:t>Additional information</w:t>
            </w:r>
          </w:p>
        </w:tc>
        <w:tc>
          <w:tcPr>
            <w:tcW w:w="3824" w:type="pct"/>
            <w:tcBorders>
              <w:top w:val="single" w:sz="4" w:space="0" w:color="2765A2"/>
              <w:left w:val="single" w:sz="4" w:space="0" w:color="2765A2"/>
              <w:bottom w:val="single" w:sz="4" w:space="0" w:color="2765A2"/>
              <w:right w:val="single" w:sz="4" w:space="0" w:color="2765A2"/>
            </w:tcBorders>
          </w:tcPr>
          <w:p w:rsidR="00683CF6" w:rsidRPr="00767048" w:rsidRDefault="00607847" w:rsidP="00046B75">
            <w:pPr>
              <w:spacing w:line="200" w:lineRule="exact"/>
              <w:rPr>
                <w:rFonts w:ascii="Arial" w:hAnsi="Arial"/>
                <w:sz w:val="16"/>
              </w:rPr>
            </w:pPr>
            <w:sdt>
              <w:sdtPr>
                <w:rPr>
                  <w:rFonts w:ascii="Arial" w:hAnsi="Arial"/>
                  <w:sz w:val="16"/>
                </w:rPr>
                <w:id w:val="346452963"/>
                <w:placeholder>
                  <w:docPart w:val="442A7B15647C41FDB11B1D372D50EBFE"/>
                </w:placeholder>
                <w:showingPlcHdr/>
                <w:text w:multiLine="1"/>
              </w:sdtPr>
              <w:sdtEndPr/>
              <w:sdtContent>
                <w:r w:rsidR="00683CF6" w:rsidRPr="00767048">
                  <w:rPr>
                    <w:rFonts w:ascii="Arial" w:hAnsi="Arial" w:cs="Arial"/>
                    <w:color w:val="808080"/>
                    <w:sz w:val="16"/>
                    <w:szCs w:val="16"/>
                  </w:rPr>
                  <w:t>Click to enter text</w:t>
                </w:r>
              </w:sdtContent>
            </w:sdt>
          </w:p>
        </w:tc>
      </w:tr>
    </w:tbl>
    <w:p w:rsidR="00683CF6" w:rsidRPr="00767048" w:rsidRDefault="00683CF6" w:rsidP="00683CF6">
      <w:pPr>
        <w:spacing w:after="120" w:line="240" w:lineRule="exact"/>
        <w:jc w:val="left"/>
        <w:rPr>
          <w:rFonts w:ascii="Arial" w:hAnsi="Arial"/>
          <w:sz w:val="16"/>
          <w:szCs w:val="16"/>
        </w:rPr>
      </w:pPr>
    </w:p>
    <w:p w:rsidR="00593B23" w:rsidRPr="00593B23" w:rsidRDefault="00593B23" w:rsidP="00593B23">
      <w:pPr>
        <w:spacing w:after="120" w:line="240" w:lineRule="exact"/>
        <w:jc w:val="left"/>
        <w:rPr>
          <w:rFonts w:ascii="Arial" w:eastAsia="Times New Roman" w:hAnsi="Arial"/>
          <w:sz w:val="16"/>
          <w:szCs w:val="16"/>
          <w:lang w:eastAsia="en-AU"/>
        </w:rPr>
      </w:pPr>
      <w:r w:rsidRPr="00593B23">
        <w:rPr>
          <w:rFonts w:ascii="Arial" w:eastAsia="Times New Roman" w:hAnsi="Arial"/>
          <w:sz w:val="16"/>
          <w:szCs w:val="16"/>
          <w:lang w:eastAsia="en-AU"/>
        </w:rPr>
        <w:t>Provide a supporting map, plan or photos of the incident.</w:t>
      </w:r>
    </w:p>
    <w:tbl>
      <w:tblPr>
        <w:tblW w:w="5000" w:type="pct"/>
        <w:tblCellMar>
          <w:top w:w="28" w:type="dxa"/>
          <w:bottom w:w="28" w:type="dxa"/>
        </w:tblCellMar>
        <w:tblLook w:val="00A0" w:firstRow="1" w:lastRow="0" w:firstColumn="1" w:lastColumn="0" w:noHBand="0" w:noVBand="0"/>
      </w:tblPr>
      <w:tblGrid>
        <w:gridCol w:w="9361"/>
      </w:tblGrid>
      <w:tr w:rsidR="00593B23" w:rsidRPr="00593B23" w:rsidTr="00046B75">
        <w:trPr>
          <w:trHeight w:val="340"/>
        </w:trPr>
        <w:sdt>
          <w:sdtPr>
            <w:rPr>
              <w:rFonts w:ascii="Arial" w:eastAsia="Times New Roman" w:hAnsi="Arial"/>
              <w:b/>
              <w:color w:val="7F7F7F"/>
              <w:sz w:val="16"/>
              <w:lang w:eastAsia="en-AU"/>
            </w:rPr>
            <w:id w:val="-1686744644"/>
            <w15:repeatingSection/>
          </w:sdtPr>
          <w:sdtEndPr>
            <w:rPr>
              <w:b w:val="0"/>
            </w:rPr>
          </w:sdtEndPr>
          <w:sdtContent>
            <w:tc>
              <w:tcPr>
                <w:tcW w:w="5000" w:type="pct"/>
                <w:tcMar>
                  <w:left w:w="0" w:type="dxa"/>
                  <w:right w:w="0" w:type="dxa"/>
                </w:tcMar>
              </w:tcPr>
              <w:sdt>
                <w:sdtPr>
                  <w:rPr>
                    <w:rFonts w:ascii="Arial" w:eastAsia="Times New Roman" w:hAnsi="Arial"/>
                    <w:b/>
                    <w:color w:val="7F7F7F"/>
                    <w:sz w:val="16"/>
                    <w:lang w:eastAsia="en-AU"/>
                  </w:rPr>
                  <w:id w:val="-542909330"/>
                  <w:placeholder>
                    <w:docPart w:val="42809D2166704E959F44B05EA6595B03"/>
                  </w:placeholder>
                  <w15:repeatingSectionItem/>
                </w:sdtPr>
                <w:sdtEndPr>
                  <w:rPr>
                    <w:b w:val="0"/>
                  </w:rPr>
                </w:sdtEndPr>
                <w:sdtContent>
                  <w:p w:rsidR="00593B23" w:rsidRPr="00593B23" w:rsidRDefault="00593B23" w:rsidP="00593B23">
                    <w:pPr>
                      <w:spacing w:after="0" w:line="100" w:lineRule="exact"/>
                      <w:jc w:val="left"/>
                      <w:rPr>
                        <w:rFonts w:ascii="Arial" w:eastAsia="Times New Roman" w:hAnsi="Arial"/>
                        <w:b/>
                        <w:sz w:val="10"/>
                        <w:szCs w:val="10"/>
                        <w:lang w:eastAsia="en-AU"/>
                      </w:rPr>
                    </w:pPr>
                  </w:p>
                  <w:tbl>
                    <w:tblPr>
                      <w:tblStyle w:val="TableGrid21"/>
                      <w:tblW w:w="9351" w:type="dxa"/>
                      <w:tblBorders>
                        <w:top w:val="single" w:sz="4" w:space="0" w:color="2765A2"/>
                        <w:left w:val="single" w:sz="4" w:space="0" w:color="2765A2"/>
                        <w:bottom w:val="single" w:sz="4" w:space="0" w:color="2765A2"/>
                        <w:right w:val="single" w:sz="4" w:space="0" w:color="A5A5A5"/>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9351"/>
                    </w:tblGrid>
                    <w:tr w:rsidR="00593B23" w:rsidRPr="00593B23" w:rsidTr="00593B23">
                      <w:sdt>
                        <w:sdtPr>
                          <w:rPr>
                            <w:rFonts w:ascii="Arial" w:hAnsi="Arial"/>
                            <w:sz w:val="16"/>
                            <w:szCs w:val="20"/>
                            <w:lang w:eastAsia="en-AU"/>
                          </w:rPr>
                          <w:id w:val="-1862667491"/>
                          <w:showingPlcHdr/>
                          <w:picture/>
                        </w:sdtPr>
                        <w:sdtEndPr/>
                        <w:sdtContent>
                          <w:tc>
                            <w:tcPr>
                              <w:tcW w:w="9351" w:type="dxa"/>
                              <w:shd w:val="clear" w:color="auto" w:fill="auto"/>
                              <w:noWrap/>
                              <w:tcFitText/>
                            </w:tcPr>
                            <w:p w:rsidR="00593B23" w:rsidRPr="00593B23" w:rsidRDefault="00593B23" w:rsidP="00593B23">
                              <w:pPr>
                                <w:spacing w:after="0" w:line="240" w:lineRule="auto"/>
                                <w:jc w:val="left"/>
                                <w:rPr>
                                  <w:rFonts w:ascii="Arial" w:hAnsi="Arial"/>
                                  <w:sz w:val="16"/>
                                  <w:szCs w:val="20"/>
                                  <w:lang w:eastAsia="en-AU"/>
                                </w:rPr>
                              </w:pPr>
                              <w:r w:rsidRPr="00593B23">
                                <w:rPr>
                                  <w:rFonts w:ascii="Arial" w:hAnsi="Arial"/>
                                  <w:noProof/>
                                  <w:sz w:val="16"/>
                                  <w:szCs w:val="20"/>
                                  <w:lang w:eastAsia="en-AU"/>
                                </w:rPr>
                                <w:drawing>
                                  <wp:inline distT="0" distB="0" distL="0" distR="0" wp14:anchorId="61494DB8" wp14:editId="54377A5D">
                                    <wp:extent cx="5812556" cy="5927725"/>
                                    <wp:effectExtent l="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839420" cy="5955121"/>
                                            </a:xfrm>
                                            <a:prstGeom prst="rect">
                                              <a:avLst/>
                                            </a:prstGeom>
                                            <a:noFill/>
                                            <a:ln>
                                              <a:noFill/>
                                            </a:ln>
                                          </pic:spPr>
                                        </pic:pic>
                                      </a:graphicData>
                                    </a:graphic>
                                  </wp:inline>
                                </w:drawing>
                              </w:r>
                            </w:p>
                          </w:tc>
                        </w:sdtContent>
                      </w:sdt>
                    </w:tr>
                  </w:tbl>
                  <w:p w:rsidR="00593B23" w:rsidRPr="00593B23" w:rsidRDefault="00607847" w:rsidP="00593B23">
                    <w:pPr>
                      <w:spacing w:after="0" w:line="200" w:lineRule="exact"/>
                      <w:jc w:val="left"/>
                      <w:rPr>
                        <w:rFonts w:ascii="Arial" w:eastAsia="Times New Roman" w:hAnsi="Arial"/>
                        <w:color w:val="7F7F7F"/>
                        <w:sz w:val="16"/>
                        <w:lang w:eastAsia="en-AU"/>
                      </w:rPr>
                    </w:pPr>
                  </w:p>
                </w:sdtContent>
              </w:sdt>
            </w:tc>
          </w:sdtContent>
        </w:sdt>
      </w:tr>
      <w:tr w:rsidR="00593B23" w:rsidRPr="00593B23" w:rsidTr="00046B75">
        <w:trPr>
          <w:trHeight w:val="340"/>
        </w:trPr>
        <w:tc>
          <w:tcPr>
            <w:tcW w:w="5000" w:type="pct"/>
            <w:tcMar>
              <w:left w:w="0" w:type="dxa"/>
              <w:right w:w="0" w:type="dxa"/>
            </w:tcMar>
          </w:tcPr>
          <w:tbl>
            <w:tblPr>
              <w:tblStyle w:val="TableGrid2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7726"/>
              <w:gridCol w:w="1913"/>
            </w:tblGrid>
            <w:tr w:rsidR="00593B23" w:rsidRPr="00593B23" w:rsidTr="00046B75">
              <w:tc>
                <w:tcPr>
                  <w:tcW w:w="11340" w:type="dxa"/>
                </w:tcPr>
                <w:p w:rsidR="00593B23" w:rsidRPr="00593B23" w:rsidRDefault="00593B23" w:rsidP="00593B23">
                  <w:pPr>
                    <w:spacing w:after="0" w:line="200" w:lineRule="exact"/>
                    <w:jc w:val="left"/>
                    <w:rPr>
                      <w:rFonts w:ascii="Arial" w:hAnsi="Arial"/>
                      <w:color w:val="7F7F7F"/>
                      <w:sz w:val="16"/>
                      <w:szCs w:val="20"/>
                      <w:lang w:eastAsia="en-AU"/>
                    </w:rPr>
                  </w:pPr>
                  <w:r w:rsidRPr="00593B23">
                    <w:rPr>
                      <w:rFonts w:ascii="Arial" w:hAnsi="Arial"/>
                      <w:i/>
                      <w:color w:val="7F7F7F"/>
                      <w:sz w:val="16"/>
                      <w:szCs w:val="20"/>
                      <w:lang w:eastAsia="en-AU"/>
                    </w:rPr>
                    <w:t>Enter text as required and click the + at right to add another row</w:t>
                  </w:r>
                </w:p>
              </w:tc>
              <w:tc>
                <w:tcPr>
                  <w:tcW w:w="2835" w:type="dxa"/>
                </w:tcPr>
                <w:p w:rsidR="00593B23" w:rsidRPr="00593B23" w:rsidRDefault="00593B23" w:rsidP="00593B23">
                  <w:pPr>
                    <w:spacing w:after="0" w:line="200" w:lineRule="exact"/>
                    <w:jc w:val="left"/>
                    <w:rPr>
                      <w:rFonts w:ascii="Arial" w:hAnsi="Arial"/>
                      <w:color w:val="7F7F7F"/>
                      <w:sz w:val="16"/>
                      <w:szCs w:val="20"/>
                      <w:lang w:eastAsia="en-AU"/>
                    </w:rPr>
                  </w:pPr>
                </w:p>
              </w:tc>
            </w:tr>
          </w:tbl>
          <w:p w:rsidR="00593B23" w:rsidRPr="00593B23" w:rsidRDefault="00593B23" w:rsidP="00593B23">
            <w:pPr>
              <w:spacing w:after="0" w:line="200" w:lineRule="exact"/>
              <w:jc w:val="left"/>
              <w:rPr>
                <w:rFonts w:ascii="Arial" w:eastAsia="Times New Roman" w:hAnsi="Arial"/>
                <w:i/>
                <w:sz w:val="16"/>
                <w:lang w:eastAsia="en-AU"/>
              </w:rPr>
            </w:pPr>
          </w:p>
        </w:tc>
      </w:tr>
    </w:tbl>
    <w:p w:rsidR="00593B23" w:rsidRPr="00593B23" w:rsidRDefault="00593B23" w:rsidP="00593B23">
      <w:pPr>
        <w:spacing w:after="0"/>
        <w:rPr>
          <w:rFonts w:eastAsia="Times New Roman"/>
          <w:szCs w:val="17"/>
        </w:rPr>
      </w:pPr>
      <w:r w:rsidRPr="00593B23">
        <w:rPr>
          <w:rFonts w:eastAsia="Times New Roman"/>
          <w:szCs w:val="17"/>
        </w:rPr>
        <w:t>Dated: 11 December 2020</w:t>
      </w:r>
    </w:p>
    <w:p w:rsidR="00593B23" w:rsidRPr="00593B23" w:rsidRDefault="00593B23" w:rsidP="00593B23">
      <w:pPr>
        <w:spacing w:after="0"/>
        <w:jc w:val="right"/>
        <w:rPr>
          <w:rFonts w:eastAsia="Times New Roman"/>
          <w:smallCaps/>
          <w:szCs w:val="17"/>
        </w:rPr>
      </w:pPr>
      <w:r w:rsidRPr="00593B23">
        <w:rPr>
          <w:rFonts w:eastAsia="Times New Roman"/>
          <w:smallCaps/>
          <w:szCs w:val="17"/>
        </w:rPr>
        <w:t>Hon. Daniel van Holst Pellekaan</w:t>
      </w:r>
    </w:p>
    <w:p w:rsidR="00593B23" w:rsidRPr="00593B23" w:rsidRDefault="00593B23" w:rsidP="00593B23">
      <w:pPr>
        <w:spacing w:after="0"/>
        <w:jc w:val="right"/>
        <w:rPr>
          <w:rFonts w:eastAsia="Times New Roman"/>
          <w:szCs w:val="17"/>
        </w:rPr>
      </w:pPr>
      <w:r w:rsidRPr="00593B23">
        <w:rPr>
          <w:rFonts w:eastAsia="Times New Roman"/>
          <w:szCs w:val="17"/>
        </w:rPr>
        <w:t>Minister for Energy and Mining</w:t>
      </w:r>
    </w:p>
    <w:p w:rsidR="00593B23" w:rsidRPr="00593B23" w:rsidRDefault="00593B23" w:rsidP="00593B23">
      <w:pPr>
        <w:pBdr>
          <w:bottom w:val="single" w:sz="4" w:space="1" w:color="auto"/>
        </w:pBdr>
        <w:spacing w:after="0" w:line="52" w:lineRule="exact"/>
        <w:jc w:val="center"/>
        <w:rPr>
          <w:rFonts w:eastAsia="Times New Roman"/>
          <w:szCs w:val="17"/>
        </w:rPr>
      </w:pPr>
    </w:p>
    <w:p w:rsidR="00593B23" w:rsidRPr="00593B23" w:rsidRDefault="00593B23" w:rsidP="00593B23">
      <w:pPr>
        <w:pBdr>
          <w:top w:val="single" w:sz="4" w:space="1" w:color="auto"/>
        </w:pBdr>
        <w:spacing w:before="34" w:after="0" w:line="14" w:lineRule="exact"/>
        <w:jc w:val="center"/>
        <w:rPr>
          <w:rFonts w:eastAsia="Times New Roman"/>
          <w:szCs w:val="17"/>
        </w:rPr>
      </w:pPr>
    </w:p>
    <w:p w:rsidR="00593B23" w:rsidRPr="00593B23" w:rsidRDefault="00593B23" w:rsidP="00593B2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E26C8E" w:rsidRDefault="00E26C8E">
      <w:pPr>
        <w:spacing w:after="0" w:line="240" w:lineRule="auto"/>
        <w:jc w:val="left"/>
        <w:rPr>
          <w:caps/>
          <w:szCs w:val="17"/>
        </w:rPr>
      </w:pPr>
      <w:r>
        <w:rPr>
          <w:caps/>
          <w:szCs w:val="17"/>
        </w:rPr>
        <w:br w:type="page"/>
      </w:r>
    </w:p>
    <w:p w:rsidR="00475677" w:rsidRPr="00475677" w:rsidRDefault="00475677" w:rsidP="00725647">
      <w:pPr>
        <w:pStyle w:val="Heading2"/>
      </w:pPr>
      <w:bookmarkStart w:id="143" w:name="_Toc59098961"/>
      <w:r w:rsidRPr="00475677">
        <w:t>Opal Mining Regulations 2012</w:t>
      </w:r>
      <w:bookmarkEnd w:id="143"/>
    </w:p>
    <w:p w:rsidR="00475677" w:rsidRPr="00475677" w:rsidRDefault="00475677" w:rsidP="00475677">
      <w:pPr>
        <w:jc w:val="center"/>
        <w:rPr>
          <w:i/>
          <w:szCs w:val="17"/>
        </w:rPr>
      </w:pPr>
      <w:r w:rsidRPr="00475677">
        <w:rPr>
          <w:i/>
          <w:szCs w:val="17"/>
        </w:rPr>
        <w:t>Notice of Service of Documents under Regulation 34(2) of the Opal Mining Regulations 2012</w:t>
      </w:r>
    </w:p>
    <w:p w:rsidR="00475677" w:rsidRPr="00475677" w:rsidRDefault="00475677" w:rsidP="00475677">
      <w:pPr>
        <w:rPr>
          <w:rFonts w:eastAsia="Times New Roman"/>
          <w:szCs w:val="17"/>
        </w:rPr>
      </w:pPr>
      <w:r w:rsidRPr="00475677">
        <w:rPr>
          <w:rFonts w:eastAsia="Times New Roman"/>
          <w:szCs w:val="17"/>
        </w:rPr>
        <w:t xml:space="preserve">NOTICE is hereby given pursuant to Regulation 34 of the </w:t>
      </w:r>
      <w:r w:rsidRPr="00475677">
        <w:rPr>
          <w:rFonts w:eastAsia="Times New Roman"/>
          <w:i/>
          <w:szCs w:val="17"/>
        </w:rPr>
        <w:t>Opal Mining Regulations 2012</w:t>
      </w:r>
      <w:r w:rsidRPr="00475677">
        <w:rPr>
          <w:rFonts w:eastAsia="Times New Roman"/>
          <w:szCs w:val="17"/>
        </w:rPr>
        <w:t>, to specify the manner in which a notice or document must be provided, given or served on the Minister for Energy and Mining.</w:t>
      </w:r>
    </w:p>
    <w:p w:rsidR="00475677" w:rsidRPr="00475677" w:rsidRDefault="00475677" w:rsidP="00475677">
      <w:pPr>
        <w:rPr>
          <w:rFonts w:eastAsia="Times New Roman"/>
          <w:szCs w:val="17"/>
        </w:rPr>
      </w:pPr>
      <w:r w:rsidRPr="00475677">
        <w:rPr>
          <w:rFonts w:eastAsia="Times New Roman"/>
          <w:szCs w:val="17"/>
        </w:rPr>
        <w:t xml:space="preserve">TAKE notice that I, Daniel van Holst Pellekaan, Minister for Energy and Mining, pursuant to Regulation 34(2) of the </w:t>
      </w:r>
      <w:r w:rsidRPr="00475677">
        <w:rPr>
          <w:rFonts w:eastAsia="Times New Roman"/>
          <w:i/>
          <w:szCs w:val="17"/>
        </w:rPr>
        <w:t>Opal Mining Regulations 2012</w:t>
      </w:r>
      <w:r w:rsidRPr="00475677">
        <w:rPr>
          <w:rFonts w:eastAsia="Times New Roman"/>
          <w:szCs w:val="17"/>
        </w:rPr>
        <w:t xml:space="preserve"> do hereby:</w:t>
      </w:r>
    </w:p>
    <w:p w:rsidR="00475677" w:rsidRPr="00475677" w:rsidRDefault="00475677" w:rsidP="00475677">
      <w:pPr>
        <w:ind w:left="142"/>
        <w:rPr>
          <w:rFonts w:eastAsia="Times New Roman"/>
          <w:szCs w:val="17"/>
        </w:rPr>
      </w:pPr>
      <w:r w:rsidRPr="00475677">
        <w:rPr>
          <w:rFonts w:eastAsia="Times New Roman"/>
          <w:szCs w:val="17"/>
        </w:rPr>
        <w:t>SPECIFY that the manner to which a notice or document must be provided, given or served on the Minister for Energy and Mining must be by:</w:t>
      </w:r>
    </w:p>
    <w:p w:rsidR="00475677" w:rsidRPr="00475677" w:rsidRDefault="00475677" w:rsidP="00475677">
      <w:pPr>
        <w:ind w:left="567" w:hanging="284"/>
        <w:rPr>
          <w:rFonts w:eastAsia="Times New Roman"/>
          <w:szCs w:val="17"/>
        </w:rPr>
      </w:pPr>
      <w:r w:rsidRPr="00475677">
        <w:rPr>
          <w:rFonts w:eastAsia="Times New Roman"/>
          <w:szCs w:val="17"/>
        </w:rPr>
        <w:t>1.</w:t>
      </w:r>
      <w:r w:rsidRPr="00475677">
        <w:rPr>
          <w:rFonts w:eastAsia="Times New Roman"/>
          <w:szCs w:val="17"/>
        </w:rPr>
        <w:tab/>
        <w:t xml:space="preserve">lodgement at an office of the Opal Mining Registrar, specified in regulation 28 of the Opal </w:t>
      </w:r>
      <w:r w:rsidRPr="00475677">
        <w:rPr>
          <w:rFonts w:eastAsia="Times New Roman"/>
          <w:i/>
          <w:szCs w:val="17"/>
        </w:rPr>
        <w:t>Mining Regulations 2012</w:t>
      </w:r>
      <w:r w:rsidRPr="00475677">
        <w:rPr>
          <w:rFonts w:eastAsia="Times New Roman"/>
          <w:szCs w:val="17"/>
        </w:rPr>
        <w:t>;</w:t>
      </w:r>
    </w:p>
    <w:p w:rsidR="00475677" w:rsidRPr="00475677" w:rsidRDefault="00475677" w:rsidP="00475677">
      <w:pPr>
        <w:ind w:left="567" w:hanging="284"/>
        <w:rPr>
          <w:rFonts w:eastAsia="Times New Roman"/>
          <w:szCs w:val="17"/>
        </w:rPr>
      </w:pPr>
      <w:r w:rsidRPr="00475677">
        <w:rPr>
          <w:rFonts w:eastAsia="Times New Roman"/>
          <w:szCs w:val="17"/>
        </w:rPr>
        <w:t>2.</w:t>
      </w:r>
      <w:r w:rsidRPr="00475677">
        <w:rPr>
          <w:rFonts w:eastAsia="Times New Roman"/>
          <w:szCs w:val="17"/>
        </w:rPr>
        <w:tab/>
        <w:t>email sent to an email address provided by the Minister for Energy and Mining, published on the Department for Energy and Mining’s website, or provided for on the relevant application form (physical or electronic form); or</w:t>
      </w:r>
    </w:p>
    <w:p w:rsidR="00475677" w:rsidRPr="00475677" w:rsidRDefault="00475677" w:rsidP="00475677">
      <w:pPr>
        <w:ind w:left="567" w:hanging="284"/>
        <w:rPr>
          <w:rFonts w:eastAsia="Times New Roman"/>
          <w:szCs w:val="17"/>
        </w:rPr>
      </w:pPr>
      <w:r w:rsidRPr="00475677">
        <w:rPr>
          <w:rFonts w:eastAsia="Times New Roman"/>
          <w:szCs w:val="17"/>
        </w:rPr>
        <w:t>3.</w:t>
      </w:r>
      <w:r w:rsidRPr="00475677">
        <w:rPr>
          <w:rFonts w:eastAsia="Times New Roman"/>
          <w:szCs w:val="17"/>
        </w:rPr>
        <w:tab/>
        <w:t>electronic means approved by the Minister for Energy and Mining for the purpose of the relevant notice or document (for example, iApply).</w:t>
      </w:r>
    </w:p>
    <w:p w:rsidR="00475677" w:rsidRPr="00475677" w:rsidRDefault="00475677" w:rsidP="00475677">
      <w:pPr>
        <w:rPr>
          <w:rFonts w:eastAsia="Times New Roman"/>
          <w:szCs w:val="17"/>
        </w:rPr>
      </w:pPr>
      <w:r w:rsidRPr="00475677">
        <w:rPr>
          <w:rFonts w:eastAsia="Times New Roman"/>
          <w:szCs w:val="17"/>
        </w:rPr>
        <w:t xml:space="preserve">In accordance with Regulation 34(2) of the </w:t>
      </w:r>
      <w:r w:rsidRPr="00475677">
        <w:rPr>
          <w:rFonts w:eastAsia="Times New Roman"/>
          <w:i/>
          <w:szCs w:val="17"/>
        </w:rPr>
        <w:t>Opal Mining Regulations 2012</w:t>
      </w:r>
      <w:r w:rsidRPr="00475677">
        <w:rPr>
          <w:rFonts w:eastAsia="Times New Roman"/>
          <w:szCs w:val="17"/>
        </w:rPr>
        <w:t>, this notice will have effect from 1 January 2021.</w:t>
      </w:r>
    </w:p>
    <w:p w:rsidR="00475677" w:rsidRPr="00475677" w:rsidRDefault="00475677" w:rsidP="00475677">
      <w:pPr>
        <w:spacing w:after="0"/>
        <w:rPr>
          <w:rFonts w:eastAsia="Times New Roman"/>
          <w:szCs w:val="17"/>
        </w:rPr>
      </w:pPr>
      <w:r w:rsidRPr="00475677">
        <w:rPr>
          <w:rFonts w:eastAsia="Times New Roman"/>
          <w:szCs w:val="17"/>
        </w:rPr>
        <w:t>Dated: 11 December 2020</w:t>
      </w:r>
    </w:p>
    <w:p w:rsidR="00475677" w:rsidRPr="00475677" w:rsidRDefault="00475677" w:rsidP="00475677">
      <w:pPr>
        <w:spacing w:after="0"/>
        <w:jc w:val="right"/>
        <w:rPr>
          <w:rFonts w:eastAsia="Times New Roman"/>
          <w:smallCaps/>
          <w:szCs w:val="20"/>
        </w:rPr>
      </w:pPr>
      <w:r w:rsidRPr="00475677">
        <w:rPr>
          <w:rFonts w:eastAsia="Times New Roman"/>
          <w:smallCaps/>
          <w:szCs w:val="20"/>
        </w:rPr>
        <w:t>Hon. Daniel van Holst Pellekaan</w:t>
      </w:r>
    </w:p>
    <w:p w:rsidR="00475677" w:rsidRPr="00475677" w:rsidRDefault="00475677" w:rsidP="00475677">
      <w:pPr>
        <w:spacing w:after="0"/>
        <w:jc w:val="right"/>
        <w:rPr>
          <w:rFonts w:eastAsia="Times New Roman"/>
          <w:szCs w:val="17"/>
        </w:rPr>
      </w:pPr>
      <w:r w:rsidRPr="00475677">
        <w:rPr>
          <w:rFonts w:eastAsia="Times New Roman"/>
          <w:szCs w:val="17"/>
        </w:rPr>
        <w:t>Minister for Energy and Mining</w:t>
      </w:r>
    </w:p>
    <w:p w:rsidR="00475677" w:rsidRPr="00475677" w:rsidRDefault="00475677" w:rsidP="00475677">
      <w:pPr>
        <w:pBdr>
          <w:bottom w:val="single" w:sz="4" w:space="1" w:color="auto"/>
        </w:pBdr>
        <w:spacing w:after="0" w:line="52" w:lineRule="exact"/>
        <w:jc w:val="center"/>
        <w:rPr>
          <w:rFonts w:eastAsia="Times New Roman"/>
          <w:szCs w:val="17"/>
        </w:rPr>
      </w:pPr>
    </w:p>
    <w:p w:rsidR="00475677" w:rsidRPr="00475677" w:rsidRDefault="00475677" w:rsidP="00475677">
      <w:pPr>
        <w:pBdr>
          <w:top w:val="single" w:sz="4" w:space="1" w:color="auto"/>
        </w:pBdr>
        <w:spacing w:before="34" w:after="0" w:line="14" w:lineRule="exact"/>
        <w:jc w:val="center"/>
        <w:rPr>
          <w:rFonts w:eastAsia="Times New Roman"/>
          <w:szCs w:val="17"/>
        </w:rPr>
      </w:pPr>
    </w:p>
    <w:p w:rsidR="00475677" w:rsidRPr="00475677" w:rsidRDefault="00475677" w:rsidP="0047567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463E96" w:rsidRPr="00FA07AC" w:rsidRDefault="00463E96" w:rsidP="007F1F15">
      <w:pPr>
        <w:pStyle w:val="Heading2"/>
      </w:pPr>
      <w:bookmarkStart w:id="144" w:name="_Toc59098962"/>
      <w:r w:rsidRPr="00FA07AC">
        <w:t>Road Traffic Act 1961</w:t>
      </w:r>
      <w:bookmarkEnd w:id="144"/>
    </w:p>
    <w:p w:rsidR="00463E96" w:rsidRPr="00FA07AC" w:rsidRDefault="00463E96" w:rsidP="00463E96">
      <w:pPr>
        <w:pStyle w:val="GG-Title3"/>
      </w:pPr>
      <w:r w:rsidRPr="00FA07AC">
        <w:t>Authorisation to Operate Breath Analysing Instruments</w:t>
      </w:r>
    </w:p>
    <w:p w:rsidR="00463E96" w:rsidRPr="00FA07AC" w:rsidRDefault="00463E96" w:rsidP="00463E96">
      <w:pPr>
        <w:rPr>
          <w:rFonts w:eastAsia="Times New Roman"/>
          <w:szCs w:val="17"/>
        </w:rPr>
      </w:pPr>
      <w:r w:rsidRPr="00FA07AC">
        <w:rPr>
          <w:rFonts w:eastAsia="Times New Roman"/>
          <w:szCs w:val="17"/>
        </w:rPr>
        <w:t>I, GRANT STEVENS, Commissioner of Police, do hereby notify that on and from 8 December 2020, the following persons were authorised by the Commissioner of Police to operate breath analysing instruments as defined in and for the purposes of the:</w:t>
      </w:r>
    </w:p>
    <w:p w:rsidR="00463E96" w:rsidRPr="00FA07AC" w:rsidRDefault="00463E96" w:rsidP="00463E96">
      <w:pPr>
        <w:tabs>
          <w:tab w:val="left" w:pos="426"/>
        </w:tabs>
        <w:spacing w:after="0"/>
        <w:ind w:left="165"/>
        <w:rPr>
          <w:rFonts w:eastAsia="Times New Roman"/>
          <w:szCs w:val="17"/>
        </w:rPr>
      </w:pPr>
      <w:r w:rsidRPr="00FA07AC">
        <w:rPr>
          <w:rFonts w:eastAsia="Times New Roman"/>
          <w:szCs w:val="17"/>
        </w:rPr>
        <w:t>•</w:t>
      </w:r>
      <w:r w:rsidRPr="00FA07AC">
        <w:rPr>
          <w:rFonts w:eastAsia="Times New Roman"/>
          <w:szCs w:val="17"/>
        </w:rPr>
        <w:tab/>
        <w:t>Road Traffic Act 1961;</w:t>
      </w:r>
    </w:p>
    <w:p w:rsidR="00463E96" w:rsidRPr="00FA07AC" w:rsidRDefault="00463E96" w:rsidP="00463E96">
      <w:pPr>
        <w:tabs>
          <w:tab w:val="left" w:pos="426"/>
        </w:tabs>
        <w:spacing w:after="0"/>
        <w:ind w:left="165"/>
        <w:rPr>
          <w:rFonts w:eastAsia="Times New Roman"/>
          <w:szCs w:val="17"/>
        </w:rPr>
      </w:pPr>
      <w:r w:rsidRPr="00FA07AC">
        <w:rPr>
          <w:rFonts w:eastAsia="Times New Roman"/>
          <w:szCs w:val="17"/>
        </w:rPr>
        <w:t>•</w:t>
      </w:r>
      <w:r w:rsidRPr="00FA07AC">
        <w:rPr>
          <w:rFonts w:eastAsia="Times New Roman"/>
          <w:szCs w:val="17"/>
        </w:rPr>
        <w:tab/>
        <w:t>Harbors and Navigation Act 1993;</w:t>
      </w:r>
    </w:p>
    <w:p w:rsidR="00463E96" w:rsidRPr="00FA07AC" w:rsidRDefault="00463E96" w:rsidP="00463E96">
      <w:pPr>
        <w:tabs>
          <w:tab w:val="left" w:pos="426"/>
        </w:tabs>
        <w:spacing w:after="0"/>
        <w:ind w:left="165"/>
        <w:rPr>
          <w:rFonts w:eastAsia="Times New Roman"/>
          <w:szCs w:val="17"/>
        </w:rPr>
      </w:pPr>
      <w:r w:rsidRPr="00FA07AC">
        <w:rPr>
          <w:rFonts w:eastAsia="Times New Roman"/>
          <w:szCs w:val="17"/>
        </w:rPr>
        <w:t>•</w:t>
      </w:r>
      <w:r w:rsidRPr="00FA07AC">
        <w:rPr>
          <w:rFonts w:eastAsia="Times New Roman"/>
          <w:szCs w:val="17"/>
        </w:rPr>
        <w:tab/>
        <w:t>Security and Investigation Industry Act 1995; and</w:t>
      </w:r>
    </w:p>
    <w:p w:rsidR="00463E96" w:rsidRPr="00FA07AC" w:rsidRDefault="00463E96" w:rsidP="00463E96">
      <w:pPr>
        <w:tabs>
          <w:tab w:val="left" w:pos="426"/>
        </w:tabs>
        <w:ind w:left="165"/>
        <w:rPr>
          <w:rFonts w:eastAsia="Times New Roman"/>
          <w:szCs w:val="17"/>
        </w:rPr>
      </w:pPr>
      <w:r w:rsidRPr="00FA07AC">
        <w:rPr>
          <w:rFonts w:eastAsia="Times New Roman"/>
          <w:szCs w:val="17"/>
        </w:rPr>
        <w:t>•</w:t>
      </w:r>
      <w:r w:rsidRPr="00FA07AC">
        <w:rPr>
          <w:rFonts w:eastAsia="Times New Roman"/>
          <w:szCs w:val="17"/>
        </w:rPr>
        <w:tab/>
        <w:t>Rail Safety National Law (South Australia) Act 2012.</w:t>
      </w:r>
    </w:p>
    <w:tbl>
      <w:tblPr>
        <w:tblW w:w="0" w:type="auto"/>
        <w:jc w:val="center"/>
        <w:tblLook w:val="04A0" w:firstRow="1" w:lastRow="0" w:firstColumn="1" w:lastColumn="0" w:noHBand="0" w:noVBand="1"/>
      </w:tblPr>
      <w:tblGrid>
        <w:gridCol w:w="2408"/>
        <w:gridCol w:w="3117"/>
      </w:tblGrid>
      <w:tr w:rsidR="00463E96" w:rsidRPr="00FA07AC" w:rsidTr="00046B75">
        <w:trPr>
          <w:jc w:val="center"/>
        </w:trPr>
        <w:tc>
          <w:tcPr>
            <w:tcW w:w="2408" w:type="dxa"/>
            <w:tcBorders>
              <w:top w:val="single" w:sz="4" w:space="0" w:color="auto"/>
              <w:bottom w:val="single" w:sz="4" w:space="0" w:color="auto"/>
            </w:tcBorders>
            <w:shd w:val="clear" w:color="auto" w:fill="auto"/>
          </w:tcPr>
          <w:p w:rsidR="00463E96" w:rsidRPr="00FA07AC" w:rsidRDefault="00463E96" w:rsidP="00046B7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jc w:val="center"/>
              <w:rPr>
                <w:rFonts w:eastAsia="Times New Roman"/>
                <w:b/>
                <w:szCs w:val="17"/>
              </w:rPr>
            </w:pPr>
            <w:r w:rsidRPr="00FA07AC">
              <w:rPr>
                <w:rFonts w:eastAsia="Times New Roman"/>
                <w:b/>
                <w:szCs w:val="17"/>
              </w:rPr>
              <w:t>PD Number</w:t>
            </w:r>
          </w:p>
        </w:tc>
        <w:tc>
          <w:tcPr>
            <w:tcW w:w="3117" w:type="dxa"/>
            <w:tcBorders>
              <w:top w:val="single" w:sz="4" w:space="0" w:color="auto"/>
              <w:bottom w:val="single" w:sz="4" w:space="0" w:color="auto"/>
            </w:tcBorders>
            <w:shd w:val="clear" w:color="auto" w:fill="auto"/>
          </w:tcPr>
          <w:p w:rsidR="00463E96" w:rsidRPr="00FA07AC" w:rsidRDefault="00463E96" w:rsidP="00046B7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jc w:val="center"/>
              <w:rPr>
                <w:rFonts w:eastAsia="Times New Roman"/>
                <w:b/>
                <w:szCs w:val="17"/>
              </w:rPr>
            </w:pPr>
            <w:r w:rsidRPr="00FA07AC">
              <w:rPr>
                <w:rFonts w:eastAsia="Times New Roman"/>
                <w:b/>
                <w:szCs w:val="17"/>
              </w:rPr>
              <w:t>Officer Name</w:t>
            </w:r>
          </w:p>
        </w:tc>
      </w:tr>
      <w:tr w:rsidR="00463E96" w:rsidRPr="00FA07AC" w:rsidTr="00046B75">
        <w:trPr>
          <w:jc w:val="center"/>
        </w:trPr>
        <w:tc>
          <w:tcPr>
            <w:tcW w:w="2408" w:type="dxa"/>
            <w:tcBorders>
              <w:top w:val="single" w:sz="4" w:space="0" w:color="auto"/>
            </w:tcBorders>
            <w:shd w:val="clear" w:color="auto" w:fill="auto"/>
          </w:tcPr>
          <w:p w:rsidR="00463E96" w:rsidRPr="00FA07AC" w:rsidRDefault="00463E96" w:rsidP="00046B75">
            <w:pPr>
              <w:spacing w:before="40" w:after="20"/>
              <w:rPr>
                <w:rFonts w:eastAsia="Times New Roman"/>
                <w:szCs w:val="20"/>
              </w:rPr>
            </w:pPr>
            <w:r w:rsidRPr="00FA07AC">
              <w:rPr>
                <w:rFonts w:eastAsia="Times New Roman"/>
                <w:szCs w:val="20"/>
              </w:rPr>
              <w:t>76687</w:t>
            </w:r>
          </w:p>
        </w:tc>
        <w:tc>
          <w:tcPr>
            <w:tcW w:w="3117" w:type="dxa"/>
            <w:tcBorders>
              <w:top w:val="single" w:sz="4" w:space="0" w:color="auto"/>
            </w:tcBorders>
            <w:shd w:val="clear" w:color="auto" w:fill="auto"/>
          </w:tcPr>
          <w:p w:rsidR="00463E96" w:rsidRPr="00FA07AC" w:rsidRDefault="00463E96" w:rsidP="00046B75">
            <w:pPr>
              <w:spacing w:before="40" w:after="20"/>
              <w:rPr>
                <w:rFonts w:eastAsia="Times New Roman"/>
                <w:szCs w:val="20"/>
              </w:rPr>
            </w:pPr>
            <w:r w:rsidRPr="00FA07AC">
              <w:rPr>
                <w:rFonts w:eastAsia="Times New Roman"/>
                <w:szCs w:val="20"/>
              </w:rPr>
              <w:t>BAKER, Peter Scott</w:t>
            </w:r>
          </w:p>
        </w:tc>
      </w:tr>
      <w:tr w:rsidR="00463E96" w:rsidRPr="00FA07AC" w:rsidTr="00046B75">
        <w:trPr>
          <w:jc w:val="center"/>
        </w:trPr>
        <w:tc>
          <w:tcPr>
            <w:tcW w:w="2408" w:type="dxa"/>
            <w:shd w:val="clear" w:color="auto" w:fill="auto"/>
          </w:tcPr>
          <w:p w:rsidR="00463E96" w:rsidRPr="00FA07AC" w:rsidRDefault="00463E96" w:rsidP="00046B75">
            <w:pPr>
              <w:spacing w:after="20"/>
              <w:rPr>
                <w:rFonts w:eastAsia="Times New Roman"/>
                <w:szCs w:val="20"/>
              </w:rPr>
            </w:pPr>
            <w:r w:rsidRPr="00FA07AC">
              <w:rPr>
                <w:rFonts w:eastAsia="Times New Roman"/>
                <w:szCs w:val="20"/>
              </w:rPr>
              <w:t>76891</w:t>
            </w:r>
          </w:p>
        </w:tc>
        <w:tc>
          <w:tcPr>
            <w:tcW w:w="3117" w:type="dxa"/>
            <w:shd w:val="clear" w:color="auto" w:fill="auto"/>
          </w:tcPr>
          <w:p w:rsidR="00463E96" w:rsidRPr="00FA07AC" w:rsidRDefault="00463E96" w:rsidP="00046B75">
            <w:pPr>
              <w:spacing w:after="20"/>
              <w:rPr>
                <w:rFonts w:eastAsia="Times New Roman"/>
                <w:szCs w:val="20"/>
              </w:rPr>
            </w:pPr>
            <w:r w:rsidRPr="00FA07AC">
              <w:rPr>
                <w:rFonts w:eastAsia="Times New Roman"/>
                <w:szCs w:val="20"/>
              </w:rPr>
              <w:t>BANKS, Gabrielle Amelia</w:t>
            </w:r>
          </w:p>
        </w:tc>
      </w:tr>
      <w:tr w:rsidR="00463E96" w:rsidRPr="00FA07AC" w:rsidTr="00046B75">
        <w:trPr>
          <w:jc w:val="center"/>
        </w:trPr>
        <w:tc>
          <w:tcPr>
            <w:tcW w:w="2408" w:type="dxa"/>
            <w:shd w:val="clear" w:color="auto" w:fill="auto"/>
          </w:tcPr>
          <w:p w:rsidR="00463E96" w:rsidRPr="00FA07AC" w:rsidRDefault="00463E96" w:rsidP="00046B75">
            <w:pPr>
              <w:spacing w:after="20"/>
              <w:rPr>
                <w:rFonts w:eastAsia="Times New Roman"/>
                <w:szCs w:val="20"/>
              </w:rPr>
            </w:pPr>
            <w:r w:rsidRPr="00FA07AC">
              <w:rPr>
                <w:rFonts w:eastAsia="Times New Roman"/>
                <w:szCs w:val="20"/>
              </w:rPr>
              <w:t>77191</w:t>
            </w:r>
          </w:p>
        </w:tc>
        <w:tc>
          <w:tcPr>
            <w:tcW w:w="3117" w:type="dxa"/>
            <w:shd w:val="clear" w:color="auto" w:fill="auto"/>
          </w:tcPr>
          <w:p w:rsidR="00463E96" w:rsidRPr="00FA07AC" w:rsidRDefault="00463E96" w:rsidP="00046B75">
            <w:pPr>
              <w:spacing w:after="20"/>
              <w:rPr>
                <w:rFonts w:eastAsia="Times New Roman"/>
                <w:szCs w:val="20"/>
              </w:rPr>
            </w:pPr>
            <w:r w:rsidRPr="00FA07AC">
              <w:rPr>
                <w:rFonts w:eastAsia="Times New Roman"/>
                <w:szCs w:val="20"/>
              </w:rPr>
              <w:t>BATES, Jason Michael</w:t>
            </w:r>
          </w:p>
        </w:tc>
      </w:tr>
      <w:tr w:rsidR="00463E96" w:rsidRPr="00FA07AC" w:rsidTr="00046B75">
        <w:trPr>
          <w:jc w:val="center"/>
        </w:trPr>
        <w:tc>
          <w:tcPr>
            <w:tcW w:w="2408" w:type="dxa"/>
            <w:shd w:val="clear" w:color="auto" w:fill="auto"/>
          </w:tcPr>
          <w:p w:rsidR="00463E96" w:rsidRPr="00FA07AC" w:rsidRDefault="00463E96" w:rsidP="00046B75">
            <w:pPr>
              <w:spacing w:after="20"/>
              <w:rPr>
                <w:rFonts w:eastAsia="Times New Roman"/>
                <w:szCs w:val="20"/>
              </w:rPr>
            </w:pPr>
            <w:r w:rsidRPr="00FA07AC">
              <w:rPr>
                <w:rFonts w:eastAsia="Times New Roman"/>
                <w:szCs w:val="20"/>
              </w:rPr>
              <w:t>15888</w:t>
            </w:r>
          </w:p>
        </w:tc>
        <w:tc>
          <w:tcPr>
            <w:tcW w:w="3117" w:type="dxa"/>
            <w:shd w:val="clear" w:color="auto" w:fill="auto"/>
          </w:tcPr>
          <w:p w:rsidR="00463E96" w:rsidRPr="00FA07AC" w:rsidRDefault="00463E96" w:rsidP="00046B75">
            <w:pPr>
              <w:spacing w:after="20"/>
              <w:rPr>
                <w:rFonts w:eastAsia="Times New Roman"/>
                <w:szCs w:val="20"/>
              </w:rPr>
            </w:pPr>
            <w:r w:rsidRPr="00FA07AC">
              <w:rPr>
                <w:rFonts w:eastAsia="Times New Roman"/>
                <w:szCs w:val="20"/>
              </w:rPr>
              <w:t>HAEBICH, Simon David</w:t>
            </w:r>
          </w:p>
        </w:tc>
      </w:tr>
      <w:tr w:rsidR="00463E96" w:rsidRPr="00FA07AC" w:rsidTr="00046B75">
        <w:trPr>
          <w:jc w:val="center"/>
        </w:trPr>
        <w:tc>
          <w:tcPr>
            <w:tcW w:w="2408" w:type="dxa"/>
            <w:shd w:val="clear" w:color="auto" w:fill="auto"/>
          </w:tcPr>
          <w:p w:rsidR="00463E96" w:rsidRPr="00FA07AC" w:rsidRDefault="00463E96" w:rsidP="00046B75">
            <w:pPr>
              <w:spacing w:after="20"/>
              <w:rPr>
                <w:rFonts w:eastAsia="Times New Roman"/>
                <w:szCs w:val="20"/>
              </w:rPr>
            </w:pPr>
            <w:r w:rsidRPr="00FA07AC">
              <w:rPr>
                <w:rFonts w:eastAsia="Times New Roman"/>
                <w:szCs w:val="20"/>
              </w:rPr>
              <w:t>77033</w:t>
            </w:r>
          </w:p>
        </w:tc>
        <w:tc>
          <w:tcPr>
            <w:tcW w:w="3117" w:type="dxa"/>
            <w:shd w:val="clear" w:color="auto" w:fill="auto"/>
          </w:tcPr>
          <w:p w:rsidR="00463E96" w:rsidRPr="00FA07AC" w:rsidRDefault="00463E96" w:rsidP="00046B75">
            <w:pPr>
              <w:spacing w:after="20"/>
              <w:rPr>
                <w:rFonts w:eastAsia="Times New Roman"/>
                <w:szCs w:val="20"/>
              </w:rPr>
            </w:pPr>
            <w:r w:rsidRPr="00FA07AC">
              <w:rPr>
                <w:rFonts w:eastAsia="Times New Roman"/>
                <w:szCs w:val="20"/>
              </w:rPr>
              <w:t>HUNTER, Emily Meg</w:t>
            </w:r>
          </w:p>
        </w:tc>
      </w:tr>
      <w:tr w:rsidR="00463E96" w:rsidRPr="00FA07AC" w:rsidTr="00046B75">
        <w:trPr>
          <w:jc w:val="center"/>
        </w:trPr>
        <w:tc>
          <w:tcPr>
            <w:tcW w:w="2408" w:type="dxa"/>
            <w:shd w:val="clear" w:color="auto" w:fill="auto"/>
          </w:tcPr>
          <w:p w:rsidR="00463E96" w:rsidRPr="00FA07AC" w:rsidRDefault="00463E96" w:rsidP="00046B75">
            <w:pPr>
              <w:spacing w:after="20"/>
              <w:rPr>
                <w:rFonts w:eastAsia="Times New Roman"/>
                <w:szCs w:val="20"/>
              </w:rPr>
            </w:pPr>
            <w:r w:rsidRPr="00FA07AC">
              <w:rPr>
                <w:rFonts w:eastAsia="Times New Roman"/>
                <w:szCs w:val="20"/>
              </w:rPr>
              <w:t>76904</w:t>
            </w:r>
          </w:p>
        </w:tc>
        <w:tc>
          <w:tcPr>
            <w:tcW w:w="3117" w:type="dxa"/>
            <w:shd w:val="clear" w:color="auto" w:fill="auto"/>
          </w:tcPr>
          <w:p w:rsidR="00463E96" w:rsidRPr="00FA07AC" w:rsidRDefault="00463E96" w:rsidP="00046B75">
            <w:pPr>
              <w:spacing w:after="20"/>
              <w:rPr>
                <w:rFonts w:eastAsia="Times New Roman"/>
                <w:szCs w:val="20"/>
              </w:rPr>
            </w:pPr>
            <w:r w:rsidRPr="00FA07AC">
              <w:rPr>
                <w:rFonts w:eastAsia="Times New Roman"/>
                <w:szCs w:val="20"/>
              </w:rPr>
              <w:t>MACINTYRE, Scott Cameron</w:t>
            </w:r>
          </w:p>
        </w:tc>
      </w:tr>
      <w:tr w:rsidR="00463E96" w:rsidRPr="00FA07AC" w:rsidTr="00046B75">
        <w:trPr>
          <w:jc w:val="center"/>
        </w:trPr>
        <w:tc>
          <w:tcPr>
            <w:tcW w:w="2408" w:type="dxa"/>
            <w:shd w:val="clear" w:color="auto" w:fill="auto"/>
          </w:tcPr>
          <w:p w:rsidR="00463E96" w:rsidRPr="00FA07AC" w:rsidRDefault="00463E96" w:rsidP="00046B75">
            <w:pPr>
              <w:spacing w:after="20"/>
              <w:rPr>
                <w:rFonts w:eastAsia="Times New Roman"/>
                <w:szCs w:val="20"/>
              </w:rPr>
            </w:pPr>
            <w:r w:rsidRPr="00FA07AC">
              <w:rPr>
                <w:rFonts w:eastAsia="Times New Roman"/>
                <w:szCs w:val="20"/>
              </w:rPr>
              <w:t>10143</w:t>
            </w:r>
          </w:p>
        </w:tc>
        <w:tc>
          <w:tcPr>
            <w:tcW w:w="3117" w:type="dxa"/>
            <w:shd w:val="clear" w:color="auto" w:fill="auto"/>
          </w:tcPr>
          <w:p w:rsidR="00463E96" w:rsidRPr="00FA07AC" w:rsidRDefault="00463E96" w:rsidP="00046B75">
            <w:pPr>
              <w:spacing w:after="20"/>
              <w:rPr>
                <w:rFonts w:eastAsia="Times New Roman"/>
                <w:szCs w:val="20"/>
              </w:rPr>
            </w:pPr>
            <w:r w:rsidRPr="00FA07AC">
              <w:rPr>
                <w:rFonts w:eastAsia="Times New Roman"/>
                <w:szCs w:val="20"/>
              </w:rPr>
              <w:t>SCHMIDT, Tenille Courtney</w:t>
            </w:r>
          </w:p>
        </w:tc>
      </w:tr>
      <w:tr w:rsidR="00463E96" w:rsidRPr="00FA07AC" w:rsidTr="00046B75">
        <w:trPr>
          <w:jc w:val="center"/>
        </w:trPr>
        <w:tc>
          <w:tcPr>
            <w:tcW w:w="2408" w:type="dxa"/>
            <w:shd w:val="clear" w:color="auto" w:fill="auto"/>
          </w:tcPr>
          <w:p w:rsidR="00463E96" w:rsidRPr="00FA07AC" w:rsidRDefault="00463E96" w:rsidP="00046B75">
            <w:pPr>
              <w:spacing w:after="20"/>
              <w:rPr>
                <w:rFonts w:eastAsia="Times New Roman"/>
                <w:szCs w:val="20"/>
              </w:rPr>
            </w:pPr>
            <w:r w:rsidRPr="00FA07AC">
              <w:rPr>
                <w:rFonts w:eastAsia="Times New Roman"/>
                <w:szCs w:val="20"/>
              </w:rPr>
              <w:t>10077</w:t>
            </w:r>
          </w:p>
        </w:tc>
        <w:tc>
          <w:tcPr>
            <w:tcW w:w="3117" w:type="dxa"/>
            <w:shd w:val="clear" w:color="auto" w:fill="auto"/>
          </w:tcPr>
          <w:p w:rsidR="00463E96" w:rsidRPr="00FA07AC" w:rsidRDefault="00463E96" w:rsidP="00046B75">
            <w:pPr>
              <w:spacing w:after="20"/>
              <w:rPr>
                <w:rFonts w:eastAsia="Times New Roman"/>
                <w:szCs w:val="20"/>
              </w:rPr>
            </w:pPr>
            <w:r w:rsidRPr="00FA07AC">
              <w:rPr>
                <w:rFonts w:eastAsia="Times New Roman"/>
                <w:szCs w:val="20"/>
              </w:rPr>
              <w:t xml:space="preserve">SINGH, Manveer </w:t>
            </w:r>
          </w:p>
        </w:tc>
      </w:tr>
      <w:tr w:rsidR="00463E96" w:rsidRPr="00FA07AC" w:rsidTr="00046B75">
        <w:trPr>
          <w:jc w:val="center"/>
        </w:trPr>
        <w:tc>
          <w:tcPr>
            <w:tcW w:w="2408" w:type="dxa"/>
            <w:shd w:val="clear" w:color="auto" w:fill="auto"/>
          </w:tcPr>
          <w:p w:rsidR="00463E96" w:rsidRPr="00FA07AC" w:rsidRDefault="00463E96" w:rsidP="00046B75">
            <w:pPr>
              <w:spacing w:after="20"/>
              <w:rPr>
                <w:rFonts w:eastAsia="Times New Roman"/>
                <w:szCs w:val="20"/>
              </w:rPr>
            </w:pPr>
            <w:r w:rsidRPr="00FA07AC">
              <w:rPr>
                <w:rFonts w:eastAsia="Times New Roman"/>
                <w:szCs w:val="20"/>
              </w:rPr>
              <w:t>76818</w:t>
            </w:r>
          </w:p>
        </w:tc>
        <w:tc>
          <w:tcPr>
            <w:tcW w:w="3117" w:type="dxa"/>
            <w:shd w:val="clear" w:color="auto" w:fill="auto"/>
          </w:tcPr>
          <w:p w:rsidR="00463E96" w:rsidRPr="00FA07AC" w:rsidRDefault="00463E96" w:rsidP="00046B75">
            <w:pPr>
              <w:spacing w:after="20"/>
              <w:rPr>
                <w:rFonts w:eastAsia="Times New Roman"/>
                <w:szCs w:val="20"/>
              </w:rPr>
            </w:pPr>
            <w:r w:rsidRPr="00FA07AC">
              <w:rPr>
                <w:rFonts w:eastAsia="Times New Roman"/>
                <w:szCs w:val="20"/>
              </w:rPr>
              <w:t>SLOAN, James Rennie M</w:t>
            </w:r>
          </w:p>
        </w:tc>
      </w:tr>
      <w:tr w:rsidR="00463E96" w:rsidRPr="00FA07AC" w:rsidTr="00046B75">
        <w:trPr>
          <w:jc w:val="center"/>
        </w:trPr>
        <w:tc>
          <w:tcPr>
            <w:tcW w:w="2408" w:type="dxa"/>
            <w:tcBorders>
              <w:bottom w:val="single" w:sz="4" w:space="0" w:color="auto"/>
            </w:tcBorders>
            <w:shd w:val="clear" w:color="auto" w:fill="auto"/>
          </w:tcPr>
          <w:p w:rsidR="00463E96" w:rsidRPr="00FA07AC" w:rsidRDefault="00463E96" w:rsidP="00046B75">
            <w:pPr>
              <w:rPr>
                <w:rFonts w:eastAsia="Times New Roman"/>
                <w:szCs w:val="20"/>
              </w:rPr>
            </w:pPr>
            <w:r w:rsidRPr="00FA07AC">
              <w:rPr>
                <w:rFonts w:eastAsia="Times New Roman"/>
                <w:szCs w:val="20"/>
              </w:rPr>
              <w:t>10505</w:t>
            </w:r>
          </w:p>
        </w:tc>
        <w:tc>
          <w:tcPr>
            <w:tcW w:w="3117" w:type="dxa"/>
            <w:tcBorders>
              <w:bottom w:val="single" w:sz="4" w:space="0" w:color="auto"/>
            </w:tcBorders>
            <w:shd w:val="clear" w:color="auto" w:fill="auto"/>
          </w:tcPr>
          <w:p w:rsidR="00463E96" w:rsidRPr="00FA07AC" w:rsidRDefault="00463E96" w:rsidP="00046B75">
            <w:pPr>
              <w:rPr>
                <w:rFonts w:eastAsia="Times New Roman"/>
                <w:szCs w:val="20"/>
              </w:rPr>
            </w:pPr>
            <w:r w:rsidRPr="00FA07AC">
              <w:rPr>
                <w:rFonts w:eastAsia="Times New Roman"/>
                <w:szCs w:val="20"/>
              </w:rPr>
              <w:t>WEBB, Prue Anne</w:t>
            </w:r>
          </w:p>
        </w:tc>
      </w:tr>
    </w:tbl>
    <w:p w:rsidR="00463E96" w:rsidRPr="00FA07AC" w:rsidRDefault="00463E96" w:rsidP="00463E96">
      <w:pPr>
        <w:spacing w:before="120" w:after="0"/>
        <w:rPr>
          <w:rFonts w:eastAsia="Times New Roman"/>
          <w:szCs w:val="17"/>
        </w:rPr>
      </w:pPr>
      <w:r w:rsidRPr="00FA07AC">
        <w:rPr>
          <w:rFonts w:eastAsia="Times New Roman"/>
          <w:szCs w:val="17"/>
        </w:rPr>
        <w:t>Dated: 17 December 2020</w:t>
      </w:r>
    </w:p>
    <w:p w:rsidR="00463E96" w:rsidRPr="00FA07AC" w:rsidRDefault="00463E96" w:rsidP="00463E96">
      <w:pPr>
        <w:spacing w:after="0"/>
        <w:jc w:val="right"/>
        <w:rPr>
          <w:rFonts w:eastAsia="Times New Roman"/>
          <w:smallCaps/>
          <w:szCs w:val="20"/>
        </w:rPr>
      </w:pPr>
      <w:r w:rsidRPr="00FA07AC">
        <w:rPr>
          <w:rFonts w:eastAsia="Times New Roman"/>
          <w:smallCaps/>
          <w:szCs w:val="20"/>
        </w:rPr>
        <w:t>Grant Stevens</w:t>
      </w:r>
    </w:p>
    <w:p w:rsidR="00463E96" w:rsidRPr="00FA07AC" w:rsidRDefault="00463E96" w:rsidP="00463E96">
      <w:pPr>
        <w:spacing w:after="0"/>
        <w:jc w:val="right"/>
        <w:rPr>
          <w:rFonts w:eastAsia="Times New Roman"/>
          <w:szCs w:val="17"/>
        </w:rPr>
      </w:pPr>
      <w:r w:rsidRPr="00FA07AC">
        <w:rPr>
          <w:rFonts w:eastAsia="Times New Roman"/>
          <w:szCs w:val="17"/>
        </w:rPr>
        <w:t>Commissioner of Police</w:t>
      </w:r>
    </w:p>
    <w:p w:rsidR="00463E96" w:rsidRPr="00FA07AC" w:rsidRDefault="00463E96" w:rsidP="00463E96">
      <w:pPr>
        <w:spacing w:after="0"/>
        <w:rPr>
          <w:rFonts w:eastAsia="Times New Roman"/>
          <w:szCs w:val="17"/>
        </w:rPr>
      </w:pPr>
      <w:r w:rsidRPr="00FA07AC">
        <w:rPr>
          <w:rFonts w:eastAsia="Times New Roman"/>
          <w:szCs w:val="17"/>
        </w:rPr>
        <w:t>Reference: 2020-0176</w:t>
      </w:r>
    </w:p>
    <w:p w:rsidR="00463E96" w:rsidRPr="00FA07AC" w:rsidRDefault="00463E96" w:rsidP="00463E96">
      <w:pPr>
        <w:pBdr>
          <w:top w:val="single" w:sz="4" w:space="1" w:color="auto"/>
        </w:pBdr>
        <w:spacing w:before="100" w:after="0" w:line="14" w:lineRule="exact"/>
        <w:jc w:val="center"/>
        <w:rPr>
          <w:rFonts w:eastAsia="Times New Roman"/>
          <w:szCs w:val="17"/>
        </w:rPr>
      </w:pPr>
    </w:p>
    <w:p w:rsidR="00E26C8E" w:rsidRDefault="00E26C8E" w:rsidP="00E26C8E">
      <w:pPr>
        <w:spacing w:after="0"/>
        <w:rPr>
          <w:caps/>
          <w:szCs w:val="17"/>
        </w:rPr>
      </w:pPr>
    </w:p>
    <w:p w:rsidR="00FA07AC" w:rsidRPr="00FA07AC" w:rsidRDefault="00FA07AC" w:rsidP="00B16976">
      <w:pPr>
        <w:spacing w:after="60"/>
        <w:jc w:val="center"/>
        <w:rPr>
          <w:caps/>
          <w:szCs w:val="17"/>
        </w:rPr>
      </w:pPr>
      <w:r w:rsidRPr="00FA07AC">
        <w:rPr>
          <w:caps/>
          <w:szCs w:val="17"/>
        </w:rPr>
        <w:t>Road Traffic Act 1961</w:t>
      </w:r>
    </w:p>
    <w:p w:rsidR="00FA07AC" w:rsidRPr="00FA07AC" w:rsidRDefault="00FA07AC" w:rsidP="00B16976">
      <w:pPr>
        <w:pStyle w:val="GG-Title3"/>
        <w:spacing w:after="60"/>
      </w:pPr>
      <w:r w:rsidRPr="00FA07AC">
        <w:t>Authorisation to Operate Breath Analysing Instruments</w:t>
      </w:r>
    </w:p>
    <w:p w:rsidR="00FA07AC" w:rsidRPr="00FA07AC" w:rsidRDefault="00FA07AC" w:rsidP="00B16976">
      <w:pPr>
        <w:spacing w:after="60"/>
        <w:rPr>
          <w:rFonts w:eastAsia="Times New Roman"/>
          <w:szCs w:val="17"/>
        </w:rPr>
      </w:pPr>
      <w:r w:rsidRPr="00FA07AC">
        <w:rPr>
          <w:rFonts w:eastAsia="Times New Roman"/>
          <w:szCs w:val="17"/>
        </w:rPr>
        <w:t>I, GRANT STEVENS, Commissioner of Police, do hereby notify that on and from 8 December 2020, the following persons were authorised by the Commissioner of Police to operate breath analysing instruments as defined in and for the purposes of the:</w:t>
      </w:r>
    </w:p>
    <w:p w:rsidR="00FA07AC" w:rsidRPr="00FA07AC" w:rsidRDefault="00FA07AC" w:rsidP="00FA07AC">
      <w:pPr>
        <w:tabs>
          <w:tab w:val="left" w:pos="426"/>
        </w:tabs>
        <w:spacing w:after="0"/>
        <w:ind w:left="165"/>
        <w:rPr>
          <w:rFonts w:eastAsia="Times New Roman"/>
          <w:szCs w:val="17"/>
        </w:rPr>
      </w:pPr>
      <w:r w:rsidRPr="00FA07AC">
        <w:rPr>
          <w:rFonts w:eastAsia="Times New Roman"/>
          <w:szCs w:val="17"/>
        </w:rPr>
        <w:t>•</w:t>
      </w:r>
      <w:r w:rsidRPr="00FA07AC">
        <w:rPr>
          <w:rFonts w:eastAsia="Times New Roman"/>
          <w:szCs w:val="17"/>
        </w:rPr>
        <w:tab/>
        <w:t>Road Traffic Act 1961;</w:t>
      </w:r>
    </w:p>
    <w:p w:rsidR="00FA07AC" w:rsidRPr="00FA07AC" w:rsidRDefault="00FA07AC" w:rsidP="00FA07AC">
      <w:pPr>
        <w:tabs>
          <w:tab w:val="left" w:pos="426"/>
        </w:tabs>
        <w:spacing w:after="0"/>
        <w:ind w:left="165"/>
        <w:rPr>
          <w:rFonts w:eastAsia="Times New Roman"/>
          <w:szCs w:val="17"/>
        </w:rPr>
      </w:pPr>
      <w:r w:rsidRPr="00FA07AC">
        <w:rPr>
          <w:rFonts w:eastAsia="Times New Roman"/>
          <w:szCs w:val="17"/>
        </w:rPr>
        <w:t>•</w:t>
      </w:r>
      <w:r w:rsidRPr="00FA07AC">
        <w:rPr>
          <w:rFonts w:eastAsia="Times New Roman"/>
          <w:szCs w:val="17"/>
        </w:rPr>
        <w:tab/>
        <w:t>Harbors and Navigation Act 1993;</w:t>
      </w:r>
    </w:p>
    <w:p w:rsidR="00FA07AC" w:rsidRPr="00FA07AC" w:rsidRDefault="00FA07AC" w:rsidP="00FA07AC">
      <w:pPr>
        <w:tabs>
          <w:tab w:val="left" w:pos="426"/>
        </w:tabs>
        <w:spacing w:after="0"/>
        <w:ind w:left="165"/>
        <w:rPr>
          <w:rFonts w:eastAsia="Times New Roman"/>
          <w:szCs w:val="17"/>
        </w:rPr>
      </w:pPr>
      <w:r w:rsidRPr="00FA07AC">
        <w:rPr>
          <w:rFonts w:eastAsia="Times New Roman"/>
          <w:szCs w:val="17"/>
        </w:rPr>
        <w:t>•</w:t>
      </w:r>
      <w:r w:rsidRPr="00FA07AC">
        <w:rPr>
          <w:rFonts w:eastAsia="Times New Roman"/>
          <w:szCs w:val="17"/>
        </w:rPr>
        <w:tab/>
        <w:t>Security and Investigation Industry Act 1995; and</w:t>
      </w:r>
    </w:p>
    <w:p w:rsidR="00FA07AC" w:rsidRPr="00FA07AC" w:rsidRDefault="00FA07AC" w:rsidP="00FA07AC">
      <w:pPr>
        <w:tabs>
          <w:tab w:val="left" w:pos="426"/>
        </w:tabs>
        <w:ind w:left="165"/>
        <w:rPr>
          <w:rFonts w:eastAsia="Times New Roman"/>
          <w:szCs w:val="17"/>
        </w:rPr>
      </w:pPr>
      <w:r w:rsidRPr="00FA07AC">
        <w:rPr>
          <w:rFonts w:eastAsia="Times New Roman"/>
          <w:szCs w:val="17"/>
        </w:rPr>
        <w:t>•</w:t>
      </w:r>
      <w:r w:rsidRPr="00FA07AC">
        <w:rPr>
          <w:rFonts w:eastAsia="Times New Roman"/>
          <w:szCs w:val="17"/>
        </w:rPr>
        <w:tab/>
        <w:t>Rail Safety National Law (South Australia) Act 2012.</w:t>
      </w:r>
    </w:p>
    <w:tbl>
      <w:tblPr>
        <w:tblW w:w="0" w:type="auto"/>
        <w:jc w:val="center"/>
        <w:tblLook w:val="04A0" w:firstRow="1" w:lastRow="0" w:firstColumn="1" w:lastColumn="0" w:noHBand="0" w:noVBand="1"/>
      </w:tblPr>
      <w:tblGrid>
        <w:gridCol w:w="2408"/>
        <w:gridCol w:w="3117"/>
      </w:tblGrid>
      <w:tr w:rsidR="00FA07AC" w:rsidRPr="00FA07AC" w:rsidTr="00046B75">
        <w:trPr>
          <w:jc w:val="center"/>
        </w:trPr>
        <w:tc>
          <w:tcPr>
            <w:tcW w:w="2408" w:type="dxa"/>
            <w:tcBorders>
              <w:top w:val="single" w:sz="4" w:space="0" w:color="auto"/>
              <w:bottom w:val="single" w:sz="4" w:space="0" w:color="auto"/>
            </w:tcBorders>
            <w:shd w:val="clear" w:color="auto" w:fill="auto"/>
          </w:tcPr>
          <w:p w:rsidR="00FA07AC" w:rsidRPr="00FA07AC" w:rsidRDefault="00FA07AC" w:rsidP="00FA07A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jc w:val="center"/>
              <w:rPr>
                <w:rFonts w:eastAsia="Times New Roman"/>
                <w:b/>
                <w:szCs w:val="17"/>
              </w:rPr>
            </w:pPr>
            <w:r w:rsidRPr="00FA07AC">
              <w:rPr>
                <w:rFonts w:eastAsia="Times New Roman"/>
                <w:b/>
                <w:szCs w:val="17"/>
              </w:rPr>
              <w:t>PD Number</w:t>
            </w:r>
          </w:p>
        </w:tc>
        <w:tc>
          <w:tcPr>
            <w:tcW w:w="3117" w:type="dxa"/>
            <w:tcBorders>
              <w:top w:val="single" w:sz="4" w:space="0" w:color="auto"/>
              <w:bottom w:val="single" w:sz="4" w:space="0" w:color="auto"/>
            </w:tcBorders>
            <w:shd w:val="clear" w:color="auto" w:fill="auto"/>
          </w:tcPr>
          <w:p w:rsidR="00FA07AC" w:rsidRPr="00FA07AC" w:rsidRDefault="00FA07AC" w:rsidP="00FA07A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jc w:val="center"/>
              <w:rPr>
                <w:rFonts w:eastAsia="Times New Roman"/>
                <w:b/>
                <w:szCs w:val="17"/>
              </w:rPr>
            </w:pPr>
            <w:r w:rsidRPr="00FA07AC">
              <w:rPr>
                <w:rFonts w:eastAsia="Times New Roman"/>
                <w:b/>
                <w:szCs w:val="17"/>
              </w:rPr>
              <w:t>Officer Name</w:t>
            </w:r>
          </w:p>
        </w:tc>
      </w:tr>
      <w:tr w:rsidR="00FA07AC" w:rsidRPr="00FA07AC" w:rsidTr="00046B75">
        <w:trPr>
          <w:jc w:val="center"/>
        </w:trPr>
        <w:tc>
          <w:tcPr>
            <w:tcW w:w="2408" w:type="dxa"/>
            <w:tcBorders>
              <w:top w:val="single" w:sz="4" w:space="0" w:color="auto"/>
            </w:tcBorders>
            <w:shd w:val="clear" w:color="auto" w:fill="auto"/>
          </w:tcPr>
          <w:p w:rsidR="00FA07AC" w:rsidRPr="00FA07AC" w:rsidRDefault="00FA07AC" w:rsidP="00FA07AC">
            <w:pPr>
              <w:spacing w:before="40" w:after="20"/>
              <w:rPr>
                <w:rFonts w:eastAsia="Times New Roman"/>
                <w:szCs w:val="20"/>
              </w:rPr>
            </w:pPr>
            <w:r w:rsidRPr="00FA07AC">
              <w:rPr>
                <w:rFonts w:eastAsia="Times New Roman"/>
                <w:szCs w:val="20"/>
              </w:rPr>
              <w:t>10314</w:t>
            </w:r>
          </w:p>
        </w:tc>
        <w:tc>
          <w:tcPr>
            <w:tcW w:w="3117" w:type="dxa"/>
            <w:tcBorders>
              <w:top w:val="single" w:sz="4" w:space="0" w:color="auto"/>
            </w:tcBorders>
            <w:shd w:val="clear" w:color="auto" w:fill="auto"/>
          </w:tcPr>
          <w:p w:rsidR="00FA07AC" w:rsidRPr="00FA07AC" w:rsidRDefault="00FA07AC" w:rsidP="00FA07AC">
            <w:pPr>
              <w:spacing w:before="40" w:after="20"/>
              <w:rPr>
                <w:rFonts w:eastAsia="Times New Roman"/>
                <w:szCs w:val="20"/>
              </w:rPr>
            </w:pPr>
            <w:r w:rsidRPr="00FA07AC">
              <w:rPr>
                <w:rFonts w:eastAsia="Times New Roman"/>
                <w:szCs w:val="20"/>
              </w:rPr>
              <w:t>BRUMPTON, Jenna Karen</w:t>
            </w:r>
          </w:p>
        </w:tc>
      </w:tr>
      <w:tr w:rsidR="00FA07AC" w:rsidRPr="00FA07AC" w:rsidTr="00046B75">
        <w:trPr>
          <w:jc w:val="center"/>
        </w:trPr>
        <w:tc>
          <w:tcPr>
            <w:tcW w:w="2408" w:type="dxa"/>
            <w:shd w:val="clear" w:color="auto" w:fill="auto"/>
          </w:tcPr>
          <w:p w:rsidR="00FA07AC" w:rsidRPr="00FA07AC" w:rsidRDefault="00FA07AC" w:rsidP="00FA07AC">
            <w:pPr>
              <w:spacing w:after="20"/>
              <w:rPr>
                <w:rFonts w:eastAsia="Times New Roman"/>
                <w:szCs w:val="20"/>
              </w:rPr>
            </w:pPr>
            <w:r w:rsidRPr="00FA07AC">
              <w:rPr>
                <w:rFonts w:eastAsia="Times New Roman"/>
                <w:szCs w:val="20"/>
              </w:rPr>
              <w:t>76541</w:t>
            </w:r>
          </w:p>
        </w:tc>
        <w:tc>
          <w:tcPr>
            <w:tcW w:w="3117" w:type="dxa"/>
            <w:shd w:val="clear" w:color="auto" w:fill="auto"/>
          </w:tcPr>
          <w:p w:rsidR="00FA07AC" w:rsidRPr="00FA07AC" w:rsidRDefault="00FA07AC" w:rsidP="00FA07AC">
            <w:pPr>
              <w:spacing w:after="20"/>
              <w:rPr>
                <w:rFonts w:eastAsia="Times New Roman"/>
                <w:szCs w:val="20"/>
              </w:rPr>
            </w:pPr>
            <w:r w:rsidRPr="00FA07AC">
              <w:rPr>
                <w:rFonts w:eastAsia="Times New Roman"/>
                <w:szCs w:val="20"/>
              </w:rPr>
              <w:t>DUTSCHKE, Zachariah Kym</w:t>
            </w:r>
          </w:p>
        </w:tc>
      </w:tr>
      <w:tr w:rsidR="00FA07AC" w:rsidRPr="00FA07AC" w:rsidTr="00046B75">
        <w:trPr>
          <w:jc w:val="center"/>
        </w:trPr>
        <w:tc>
          <w:tcPr>
            <w:tcW w:w="2408" w:type="dxa"/>
            <w:shd w:val="clear" w:color="auto" w:fill="auto"/>
          </w:tcPr>
          <w:p w:rsidR="00FA07AC" w:rsidRPr="00FA07AC" w:rsidRDefault="00FA07AC" w:rsidP="00FA07AC">
            <w:pPr>
              <w:spacing w:after="20"/>
              <w:rPr>
                <w:rFonts w:eastAsia="Times New Roman"/>
                <w:szCs w:val="20"/>
              </w:rPr>
            </w:pPr>
            <w:r w:rsidRPr="00FA07AC">
              <w:rPr>
                <w:rFonts w:eastAsia="Times New Roman"/>
                <w:szCs w:val="20"/>
              </w:rPr>
              <w:t>10675</w:t>
            </w:r>
          </w:p>
        </w:tc>
        <w:tc>
          <w:tcPr>
            <w:tcW w:w="3117" w:type="dxa"/>
            <w:shd w:val="clear" w:color="auto" w:fill="auto"/>
          </w:tcPr>
          <w:p w:rsidR="00FA07AC" w:rsidRPr="00FA07AC" w:rsidRDefault="00FA07AC" w:rsidP="00FA07AC">
            <w:pPr>
              <w:spacing w:after="20"/>
              <w:rPr>
                <w:rFonts w:eastAsia="Times New Roman"/>
                <w:szCs w:val="20"/>
              </w:rPr>
            </w:pPr>
            <w:r w:rsidRPr="00FA07AC">
              <w:rPr>
                <w:rFonts w:eastAsia="Times New Roman"/>
                <w:szCs w:val="20"/>
              </w:rPr>
              <w:t>ELLIS, Mae Louise</w:t>
            </w:r>
          </w:p>
        </w:tc>
      </w:tr>
      <w:tr w:rsidR="00FA07AC" w:rsidRPr="00FA07AC" w:rsidTr="00046B75">
        <w:trPr>
          <w:jc w:val="center"/>
        </w:trPr>
        <w:tc>
          <w:tcPr>
            <w:tcW w:w="2408" w:type="dxa"/>
            <w:shd w:val="clear" w:color="auto" w:fill="auto"/>
          </w:tcPr>
          <w:p w:rsidR="00FA07AC" w:rsidRPr="00FA07AC" w:rsidRDefault="00FA07AC" w:rsidP="00FA07AC">
            <w:pPr>
              <w:spacing w:after="20"/>
              <w:rPr>
                <w:rFonts w:eastAsia="Times New Roman"/>
                <w:szCs w:val="20"/>
              </w:rPr>
            </w:pPr>
            <w:r w:rsidRPr="00FA07AC">
              <w:rPr>
                <w:rFonts w:eastAsia="Times New Roman"/>
                <w:szCs w:val="20"/>
              </w:rPr>
              <w:t>76943</w:t>
            </w:r>
          </w:p>
        </w:tc>
        <w:tc>
          <w:tcPr>
            <w:tcW w:w="3117" w:type="dxa"/>
            <w:shd w:val="clear" w:color="auto" w:fill="auto"/>
          </w:tcPr>
          <w:p w:rsidR="00FA07AC" w:rsidRPr="00FA07AC" w:rsidRDefault="00FA07AC" w:rsidP="00FA07AC">
            <w:pPr>
              <w:spacing w:after="20"/>
              <w:rPr>
                <w:rFonts w:eastAsia="Times New Roman"/>
                <w:szCs w:val="20"/>
              </w:rPr>
            </w:pPr>
            <w:r w:rsidRPr="00FA07AC">
              <w:rPr>
                <w:rFonts w:eastAsia="Times New Roman"/>
                <w:szCs w:val="20"/>
              </w:rPr>
              <w:t>NISBET, Emma Kate</w:t>
            </w:r>
          </w:p>
        </w:tc>
      </w:tr>
      <w:tr w:rsidR="00FA07AC" w:rsidRPr="00FA07AC" w:rsidTr="00046B75">
        <w:trPr>
          <w:jc w:val="center"/>
        </w:trPr>
        <w:tc>
          <w:tcPr>
            <w:tcW w:w="2408" w:type="dxa"/>
            <w:shd w:val="clear" w:color="auto" w:fill="auto"/>
          </w:tcPr>
          <w:p w:rsidR="00FA07AC" w:rsidRPr="00FA07AC" w:rsidRDefault="00FA07AC" w:rsidP="00FA07AC">
            <w:pPr>
              <w:spacing w:after="20"/>
              <w:rPr>
                <w:rFonts w:eastAsia="Times New Roman"/>
                <w:szCs w:val="20"/>
              </w:rPr>
            </w:pPr>
            <w:r w:rsidRPr="00FA07AC">
              <w:rPr>
                <w:rFonts w:eastAsia="Times New Roman"/>
                <w:szCs w:val="20"/>
              </w:rPr>
              <w:t>77367</w:t>
            </w:r>
          </w:p>
        </w:tc>
        <w:tc>
          <w:tcPr>
            <w:tcW w:w="3117" w:type="dxa"/>
            <w:shd w:val="clear" w:color="auto" w:fill="auto"/>
          </w:tcPr>
          <w:p w:rsidR="00FA07AC" w:rsidRPr="00FA07AC" w:rsidRDefault="00FA07AC" w:rsidP="00FA07AC">
            <w:pPr>
              <w:spacing w:after="20"/>
              <w:rPr>
                <w:rFonts w:eastAsia="Times New Roman"/>
                <w:szCs w:val="20"/>
              </w:rPr>
            </w:pPr>
            <w:r w:rsidRPr="00FA07AC">
              <w:rPr>
                <w:rFonts w:eastAsia="Times New Roman"/>
                <w:szCs w:val="20"/>
              </w:rPr>
              <w:t>REARDON, Georgia Louise</w:t>
            </w:r>
          </w:p>
        </w:tc>
      </w:tr>
      <w:tr w:rsidR="00FA07AC" w:rsidRPr="00FA07AC" w:rsidTr="00046B75">
        <w:trPr>
          <w:jc w:val="center"/>
        </w:trPr>
        <w:tc>
          <w:tcPr>
            <w:tcW w:w="2408" w:type="dxa"/>
            <w:shd w:val="clear" w:color="auto" w:fill="auto"/>
          </w:tcPr>
          <w:p w:rsidR="00FA07AC" w:rsidRPr="00FA07AC" w:rsidRDefault="00FA07AC" w:rsidP="00FA07AC">
            <w:pPr>
              <w:spacing w:after="20"/>
              <w:rPr>
                <w:rFonts w:eastAsia="Times New Roman"/>
                <w:szCs w:val="20"/>
              </w:rPr>
            </w:pPr>
            <w:r w:rsidRPr="00FA07AC">
              <w:rPr>
                <w:rFonts w:eastAsia="Times New Roman"/>
                <w:szCs w:val="20"/>
              </w:rPr>
              <w:t>10139</w:t>
            </w:r>
          </w:p>
        </w:tc>
        <w:tc>
          <w:tcPr>
            <w:tcW w:w="3117" w:type="dxa"/>
            <w:shd w:val="clear" w:color="auto" w:fill="auto"/>
          </w:tcPr>
          <w:p w:rsidR="00FA07AC" w:rsidRPr="00FA07AC" w:rsidRDefault="00FA07AC" w:rsidP="00FA07AC">
            <w:pPr>
              <w:spacing w:after="20"/>
              <w:rPr>
                <w:rFonts w:eastAsia="Times New Roman"/>
                <w:szCs w:val="20"/>
              </w:rPr>
            </w:pPr>
            <w:r w:rsidRPr="00FA07AC">
              <w:rPr>
                <w:rFonts w:eastAsia="Times New Roman"/>
                <w:szCs w:val="20"/>
              </w:rPr>
              <w:t>SEARLE, Jayden Philip</w:t>
            </w:r>
          </w:p>
        </w:tc>
      </w:tr>
      <w:tr w:rsidR="00FA07AC" w:rsidRPr="00FA07AC" w:rsidTr="00046B75">
        <w:trPr>
          <w:jc w:val="center"/>
        </w:trPr>
        <w:tc>
          <w:tcPr>
            <w:tcW w:w="2408" w:type="dxa"/>
            <w:shd w:val="clear" w:color="auto" w:fill="auto"/>
          </w:tcPr>
          <w:p w:rsidR="00FA07AC" w:rsidRPr="00FA07AC" w:rsidRDefault="00FA07AC" w:rsidP="00FA07AC">
            <w:pPr>
              <w:spacing w:after="20"/>
              <w:rPr>
                <w:rFonts w:eastAsia="Times New Roman"/>
                <w:szCs w:val="20"/>
              </w:rPr>
            </w:pPr>
            <w:r w:rsidRPr="00FA07AC">
              <w:rPr>
                <w:rFonts w:eastAsia="Times New Roman"/>
                <w:szCs w:val="20"/>
              </w:rPr>
              <w:t>10443</w:t>
            </w:r>
          </w:p>
        </w:tc>
        <w:tc>
          <w:tcPr>
            <w:tcW w:w="3117" w:type="dxa"/>
            <w:shd w:val="clear" w:color="auto" w:fill="auto"/>
          </w:tcPr>
          <w:p w:rsidR="00FA07AC" w:rsidRPr="00FA07AC" w:rsidRDefault="00FA07AC" w:rsidP="00FA07AC">
            <w:pPr>
              <w:spacing w:after="20"/>
              <w:rPr>
                <w:rFonts w:eastAsia="Times New Roman"/>
                <w:szCs w:val="20"/>
              </w:rPr>
            </w:pPr>
            <w:r w:rsidRPr="00FA07AC">
              <w:rPr>
                <w:rFonts w:eastAsia="Times New Roman"/>
                <w:szCs w:val="20"/>
              </w:rPr>
              <w:t>SMITH, Annabel Juliet</w:t>
            </w:r>
          </w:p>
        </w:tc>
      </w:tr>
      <w:tr w:rsidR="00FA07AC" w:rsidRPr="00FA07AC" w:rsidTr="00046B75">
        <w:trPr>
          <w:jc w:val="center"/>
        </w:trPr>
        <w:tc>
          <w:tcPr>
            <w:tcW w:w="2408" w:type="dxa"/>
            <w:tcBorders>
              <w:bottom w:val="single" w:sz="4" w:space="0" w:color="auto"/>
            </w:tcBorders>
            <w:shd w:val="clear" w:color="auto" w:fill="auto"/>
          </w:tcPr>
          <w:p w:rsidR="00FA07AC" w:rsidRPr="00FA07AC" w:rsidRDefault="00FA07AC" w:rsidP="00FA07AC">
            <w:pPr>
              <w:rPr>
                <w:rFonts w:eastAsia="Times New Roman"/>
                <w:szCs w:val="20"/>
              </w:rPr>
            </w:pPr>
            <w:r w:rsidRPr="00FA07AC">
              <w:rPr>
                <w:rFonts w:eastAsia="Times New Roman"/>
                <w:szCs w:val="20"/>
              </w:rPr>
              <w:t>10551</w:t>
            </w:r>
          </w:p>
        </w:tc>
        <w:tc>
          <w:tcPr>
            <w:tcW w:w="3117" w:type="dxa"/>
            <w:tcBorders>
              <w:bottom w:val="single" w:sz="4" w:space="0" w:color="auto"/>
            </w:tcBorders>
            <w:shd w:val="clear" w:color="auto" w:fill="auto"/>
          </w:tcPr>
          <w:p w:rsidR="00FA07AC" w:rsidRPr="00FA07AC" w:rsidRDefault="00FA07AC" w:rsidP="00FA07AC">
            <w:pPr>
              <w:rPr>
                <w:rFonts w:eastAsia="Times New Roman"/>
                <w:szCs w:val="20"/>
              </w:rPr>
            </w:pPr>
            <w:r w:rsidRPr="00FA07AC">
              <w:rPr>
                <w:rFonts w:eastAsia="Times New Roman"/>
                <w:szCs w:val="20"/>
              </w:rPr>
              <w:t xml:space="preserve">WRIGHT, Elliott </w:t>
            </w:r>
          </w:p>
        </w:tc>
      </w:tr>
    </w:tbl>
    <w:p w:rsidR="00FA07AC" w:rsidRPr="00FA07AC" w:rsidRDefault="00FA07AC" w:rsidP="00FA07AC">
      <w:pPr>
        <w:spacing w:before="120" w:after="0"/>
        <w:rPr>
          <w:rFonts w:eastAsia="Times New Roman"/>
          <w:szCs w:val="17"/>
        </w:rPr>
      </w:pPr>
      <w:r w:rsidRPr="00FA07AC">
        <w:rPr>
          <w:rFonts w:eastAsia="Times New Roman"/>
          <w:szCs w:val="17"/>
        </w:rPr>
        <w:t>Dated: 17 December 2020</w:t>
      </w:r>
    </w:p>
    <w:p w:rsidR="00FA07AC" w:rsidRPr="00FA07AC" w:rsidRDefault="00FA07AC" w:rsidP="00FA07AC">
      <w:pPr>
        <w:spacing w:after="0"/>
        <w:jc w:val="right"/>
        <w:rPr>
          <w:rFonts w:eastAsia="Times New Roman"/>
          <w:smallCaps/>
          <w:szCs w:val="20"/>
        </w:rPr>
      </w:pPr>
      <w:r w:rsidRPr="00FA07AC">
        <w:rPr>
          <w:rFonts w:eastAsia="Times New Roman"/>
          <w:smallCaps/>
          <w:szCs w:val="20"/>
        </w:rPr>
        <w:t>Grant Stevens</w:t>
      </w:r>
    </w:p>
    <w:p w:rsidR="00FA07AC" w:rsidRPr="00FA07AC" w:rsidRDefault="00FA07AC" w:rsidP="00FA07AC">
      <w:pPr>
        <w:spacing w:after="0"/>
        <w:jc w:val="right"/>
        <w:rPr>
          <w:rFonts w:eastAsia="Times New Roman"/>
          <w:szCs w:val="17"/>
        </w:rPr>
      </w:pPr>
      <w:r w:rsidRPr="00FA07AC">
        <w:rPr>
          <w:rFonts w:eastAsia="Times New Roman"/>
          <w:szCs w:val="17"/>
        </w:rPr>
        <w:t>Commissioner of Police</w:t>
      </w:r>
    </w:p>
    <w:p w:rsidR="00463E96" w:rsidRDefault="00FA07AC" w:rsidP="00463E96">
      <w:pPr>
        <w:spacing w:after="0"/>
        <w:rPr>
          <w:rFonts w:eastAsia="Times New Roman"/>
          <w:szCs w:val="17"/>
        </w:rPr>
      </w:pPr>
      <w:r w:rsidRPr="00FA07AC">
        <w:rPr>
          <w:rFonts w:eastAsia="Times New Roman"/>
          <w:szCs w:val="17"/>
        </w:rPr>
        <w:t>Reference: 2020-0180</w:t>
      </w:r>
    </w:p>
    <w:p w:rsidR="00463E96" w:rsidRDefault="00463E96" w:rsidP="00463E96">
      <w:pPr>
        <w:pBdr>
          <w:bottom w:val="single" w:sz="4" w:space="1" w:color="auto"/>
        </w:pBdr>
        <w:spacing w:after="0" w:line="52" w:lineRule="exact"/>
        <w:jc w:val="center"/>
        <w:rPr>
          <w:lang w:val="en-US"/>
        </w:rPr>
      </w:pPr>
    </w:p>
    <w:p w:rsidR="00463E96" w:rsidRDefault="00463E96" w:rsidP="00463E96">
      <w:pPr>
        <w:pBdr>
          <w:top w:val="single" w:sz="4" w:space="1" w:color="auto"/>
        </w:pBdr>
        <w:spacing w:before="34" w:after="0" w:line="14" w:lineRule="exact"/>
        <w:jc w:val="center"/>
        <w:rPr>
          <w:lang w:val="en-US"/>
        </w:rPr>
      </w:pPr>
    </w:p>
    <w:p w:rsidR="00463E96" w:rsidRDefault="00463E96" w:rsidP="00463E9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E26C8E" w:rsidRDefault="00E26C8E">
      <w:pPr>
        <w:spacing w:after="0" w:line="240" w:lineRule="auto"/>
        <w:jc w:val="left"/>
        <w:rPr>
          <w:caps/>
          <w:szCs w:val="17"/>
          <w:lang w:eastAsia="en-AU"/>
        </w:rPr>
      </w:pPr>
      <w:bookmarkStart w:id="145" w:name="_Hlk52264677"/>
      <w:bookmarkStart w:id="146" w:name="_Hlk54882346"/>
      <w:bookmarkStart w:id="147" w:name="_Hlk52206442"/>
      <w:r>
        <w:rPr>
          <w:caps/>
          <w:szCs w:val="17"/>
          <w:lang w:eastAsia="en-AU"/>
        </w:rPr>
        <w:br w:type="page"/>
      </w:r>
    </w:p>
    <w:p w:rsidR="00E0205C" w:rsidRPr="0041374F" w:rsidRDefault="0041374F" w:rsidP="0041374F">
      <w:pPr>
        <w:pStyle w:val="Heading2"/>
      </w:pPr>
      <w:bookmarkStart w:id="148" w:name="_Toc59098963"/>
      <w:r w:rsidRPr="0041374F">
        <w:t xml:space="preserve">Training </w:t>
      </w:r>
      <w:r>
        <w:t>a</w:t>
      </w:r>
      <w:r w:rsidRPr="0041374F">
        <w:t>nd Skills Development Act 2008</w:t>
      </w:r>
      <w:bookmarkEnd w:id="148"/>
    </w:p>
    <w:p w:rsidR="00E0205C" w:rsidRPr="00E0205C" w:rsidRDefault="00E0205C" w:rsidP="00B16976">
      <w:pPr>
        <w:pStyle w:val="GG-Title3"/>
        <w:spacing w:after="60"/>
        <w:rPr>
          <w:lang w:eastAsia="en-AU"/>
        </w:rPr>
      </w:pPr>
      <w:r w:rsidRPr="00E0205C">
        <w:rPr>
          <w:lang w:eastAsia="en-AU"/>
        </w:rPr>
        <w:t>Part 4—Apprenticeships/Traineeships</w:t>
      </w:r>
    </w:p>
    <w:p w:rsidR="00E0205C" w:rsidRPr="00E0205C" w:rsidRDefault="00E0205C" w:rsidP="00B16976">
      <w:pPr>
        <w:spacing w:after="60"/>
        <w:rPr>
          <w:rFonts w:eastAsia="Times New Roman"/>
          <w:bCs/>
          <w:szCs w:val="17"/>
          <w:lang w:eastAsia="en-AU"/>
        </w:rPr>
      </w:pPr>
      <w:r w:rsidRPr="00E0205C">
        <w:rPr>
          <w:rFonts w:eastAsia="Times New Roman"/>
          <w:szCs w:val="17"/>
          <w:lang w:eastAsia="en-AU"/>
        </w:rPr>
        <w:t xml:space="preserve">PURSUANT to the provision of the </w:t>
      </w:r>
      <w:r w:rsidRPr="00E0205C">
        <w:rPr>
          <w:rFonts w:eastAsia="Times New Roman"/>
          <w:i/>
          <w:szCs w:val="17"/>
          <w:lang w:eastAsia="en-AU"/>
        </w:rPr>
        <w:t>Training and Skills Development Act 2008</w:t>
      </w:r>
      <w:r w:rsidRPr="00E0205C">
        <w:rPr>
          <w:rFonts w:eastAsia="Times New Roman"/>
          <w:szCs w:val="17"/>
          <w:lang w:eastAsia="en-AU"/>
        </w:rPr>
        <w:t xml:space="preserve">, the Training and Skills Commission (TaSC) gives notice that determines the following </w:t>
      </w:r>
      <w:r w:rsidRPr="00E0205C">
        <w:rPr>
          <w:rFonts w:eastAsia="Times New Roman"/>
          <w:bCs/>
          <w:szCs w:val="17"/>
          <w:lang w:eastAsia="en-AU"/>
        </w:rPr>
        <w:t>Trades or Declared Vocations in</w:t>
      </w:r>
      <w:r w:rsidRPr="00E0205C">
        <w:rPr>
          <w:rFonts w:eastAsia="Times New Roman"/>
          <w:szCs w:val="17"/>
          <w:lang w:eastAsia="en-AU"/>
        </w:rPr>
        <w:t xml:space="preserve"> addition to the Gazette notices of:</w:t>
      </w:r>
    </w:p>
    <w:tbl>
      <w:tblPr>
        <w:tblW w:w="4885" w:type="pct"/>
        <w:jc w:val="center"/>
        <w:tblLook w:val="01E0" w:firstRow="1" w:lastRow="1" w:firstColumn="1" w:lastColumn="1" w:noHBand="0" w:noVBand="0"/>
      </w:tblPr>
      <w:tblGrid>
        <w:gridCol w:w="2352"/>
        <w:gridCol w:w="2219"/>
        <w:gridCol w:w="2340"/>
        <w:gridCol w:w="2228"/>
      </w:tblGrid>
      <w:tr w:rsidR="00E0205C" w:rsidRPr="00E0205C" w:rsidTr="00046B75">
        <w:trPr>
          <w:jc w:val="center"/>
        </w:trPr>
        <w:tc>
          <w:tcPr>
            <w:tcW w:w="1287" w:type="pct"/>
            <w:hideMark/>
          </w:tcPr>
          <w:p w:rsidR="00E0205C" w:rsidRPr="00E0205C" w:rsidRDefault="00E0205C" w:rsidP="00683CF6">
            <w:pPr>
              <w:numPr>
                <w:ilvl w:val="0"/>
                <w:numId w:val="17"/>
              </w:numPr>
              <w:tabs>
                <w:tab w:val="clear" w:pos="360"/>
                <w:tab w:val="num" w:pos="810"/>
              </w:tabs>
              <w:spacing w:after="0"/>
              <w:jc w:val="left"/>
              <w:rPr>
                <w:rFonts w:eastAsia="Times New Roman"/>
                <w:szCs w:val="17"/>
                <w:lang w:val="en-US" w:eastAsia="en-AU"/>
              </w:rPr>
            </w:pPr>
            <w:bookmarkStart w:id="149" w:name="OLE_LINK5"/>
            <w:bookmarkStart w:id="150" w:name="OLE_LINK6"/>
            <w:r w:rsidRPr="00E0205C">
              <w:rPr>
                <w:rFonts w:eastAsia="Times New Roman"/>
                <w:szCs w:val="17"/>
                <w:lang w:val="en-US" w:eastAsia="en-AU"/>
              </w:rPr>
              <w:t>25 September 2008</w:t>
            </w:r>
          </w:p>
        </w:tc>
        <w:tc>
          <w:tcPr>
            <w:tcW w:w="1214" w:type="pct"/>
            <w:hideMark/>
          </w:tcPr>
          <w:p w:rsidR="00E0205C" w:rsidRPr="00E0205C" w:rsidRDefault="00E0205C" w:rsidP="00683CF6">
            <w:pPr>
              <w:numPr>
                <w:ilvl w:val="0"/>
                <w:numId w:val="17"/>
              </w:numPr>
              <w:tabs>
                <w:tab w:val="clear" w:pos="360"/>
              </w:tabs>
              <w:spacing w:after="0"/>
              <w:ind w:left="371" w:hanging="371"/>
              <w:jc w:val="left"/>
              <w:rPr>
                <w:rFonts w:eastAsia="Times New Roman"/>
                <w:szCs w:val="17"/>
                <w:lang w:val="en-US" w:eastAsia="en-AU"/>
              </w:rPr>
            </w:pPr>
            <w:r w:rsidRPr="00E0205C">
              <w:rPr>
                <w:rFonts w:eastAsia="Times New Roman"/>
                <w:szCs w:val="17"/>
                <w:lang w:val="en-US" w:eastAsia="en-AU"/>
              </w:rPr>
              <w:t>23 October 2008</w:t>
            </w:r>
          </w:p>
        </w:tc>
        <w:tc>
          <w:tcPr>
            <w:tcW w:w="1280" w:type="pct"/>
            <w:hideMark/>
          </w:tcPr>
          <w:p w:rsidR="00E0205C" w:rsidRPr="00E0205C" w:rsidRDefault="00E0205C" w:rsidP="00683CF6">
            <w:pPr>
              <w:numPr>
                <w:ilvl w:val="0"/>
                <w:numId w:val="17"/>
              </w:numPr>
              <w:tabs>
                <w:tab w:val="clear" w:pos="360"/>
              </w:tabs>
              <w:spacing w:after="0"/>
              <w:ind w:left="425" w:hanging="425"/>
              <w:jc w:val="left"/>
              <w:rPr>
                <w:rFonts w:eastAsia="Times New Roman"/>
                <w:szCs w:val="17"/>
                <w:lang w:val="en-US" w:eastAsia="en-AU"/>
              </w:rPr>
            </w:pPr>
            <w:r w:rsidRPr="00E0205C">
              <w:rPr>
                <w:rFonts w:eastAsia="Times New Roman"/>
                <w:szCs w:val="17"/>
                <w:lang w:val="en-US" w:eastAsia="en-AU"/>
              </w:rPr>
              <w:t>13 November 2008</w:t>
            </w:r>
          </w:p>
        </w:tc>
        <w:tc>
          <w:tcPr>
            <w:tcW w:w="1219" w:type="pct"/>
            <w:hideMark/>
          </w:tcPr>
          <w:p w:rsidR="00E0205C" w:rsidRPr="00E0205C" w:rsidRDefault="00E0205C" w:rsidP="00683CF6">
            <w:pPr>
              <w:numPr>
                <w:ilvl w:val="0"/>
                <w:numId w:val="17"/>
              </w:numPr>
              <w:tabs>
                <w:tab w:val="clear" w:pos="360"/>
              </w:tabs>
              <w:spacing w:after="0"/>
              <w:jc w:val="left"/>
              <w:rPr>
                <w:rFonts w:eastAsia="Times New Roman"/>
                <w:szCs w:val="17"/>
                <w:lang w:val="en-US" w:eastAsia="en-AU"/>
              </w:rPr>
            </w:pPr>
            <w:r w:rsidRPr="00E0205C">
              <w:rPr>
                <w:rFonts w:eastAsia="Times New Roman"/>
                <w:szCs w:val="17"/>
                <w:lang w:val="en-US" w:eastAsia="en-AU"/>
              </w:rPr>
              <w:t>4 December 2008</w:t>
            </w:r>
          </w:p>
        </w:tc>
      </w:tr>
      <w:tr w:rsidR="00E0205C" w:rsidRPr="00E0205C" w:rsidTr="00046B75">
        <w:trPr>
          <w:jc w:val="center"/>
        </w:trPr>
        <w:tc>
          <w:tcPr>
            <w:tcW w:w="1287" w:type="pct"/>
            <w:hideMark/>
          </w:tcPr>
          <w:p w:rsidR="00E0205C" w:rsidRPr="00E0205C" w:rsidRDefault="00E0205C" w:rsidP="00683CF6">
            <w:pPr>
              <w:numPr>
                <w:ilvl w:val="0"/>
                <w:numId w:val="17"/>
              </w:numPr>
              <w:tabs>
                <w:tab w:val="clear" w:pos="360"/>
                <w:tab w:val="num" w:pos="810"/>
              </w:tabs>
              <w:spacing w:after="0"/>
              <w:jc w:val="left"/>
              <w:rPr>
                <w:rFonts w:eastAsia="Times New Roman"/>
                <w:szCs w:val="17"/>
                <w:lang w:val="en-US" w:eastAsia="en-AU"/>
              </w:rPr>
            </w:pPr>
            <w:r w:rsidRPr="00E0205C">
              <w:rPr>
                <w:rFonts w:eastAsia="Times New Roman"/>
                <w:szCs w:val="17"/>
                <w:lang w:val="en-US" w:eastAsia="en-AU"/>
              </w:rPr>
              <w:t>18 December 2008</w:t>
            </w:r>
          </w:p>
        </w:tc>
        <w:tc>
          <w:tcPr>
            <w:tcW w:w="1214" w:type="pct"/>
            <w:hideMark/>
          </w:tcPr>
          <w:p w:rsidR="00E0205C" w:rsidRPr="00E0205C" w:rsidRDefault="00E0205C" w:rsidP="00683CF6">
            <w:pPr>
              <w:numPr>
                <w:ilvl w:val="0"/>
                <w:numId w:val="17"/>
              </w:numPr>
              <w:tabs>
                <w:tab w:val="clear" w:pos="360"/>
              </w:tabs>
              <w:spacing w:after="0"/>
              <w:ind w:left="371" w:hanging="371"/>
              <w:jc w:val="left"/>
              <w:rPr>
                <w:rFonts w:eastAsia="Times New Roman"/>
                <w:szCs w:val="17"/>
                <w:lang w:val="en-US" w:eastAsia="en-AU"/>
              </w:rPr>
            </w:pPr>
            <w:r w:rsidRPr="00E0205C">
              <w:rPr>
                <w:rFonts w:eastAsia="Times New Roman"/>
                <w:szCs w:val="17"/>
                <w:lang w:val="en-US" w:eastAsia="en-AU"/>
              </w:rPr>
              <w:t>29 January 2009</w:t>
            </w:r>
          </w:p>
        </w:tc>
        <w:tc>
          <w:tcPr>
            <w:tcW w:w="1280" w:type="pct"/>
            <w:hideMark/>
          </w:tcPr>
          <w:p w:rsidR="00E0205C" w:rsidRPr="00E0205C" w:rsidRDefault="00E0205C" w:rsidP="00683CF6">
            <w:pPr>
              <w:numPr>
                <w:ilvl w:val="0"/>
                <w:numId w:val="17"/>
              </w:numPr>
              <w:tabs>
                <w:tab w:val="clear" w:pos="360"/>
              </w:tabs>
              <w:spacing w:after="0"/>
              <w:ind w:left="425" w:hanging="425"/>
              <w:jc w:val="left"/>
              <w:rPr>
                <w:rFonts w:eastAsia="Times New Roman"/>
                <w:szCs w:val="17"/>
                <w:lang w:val="en-US" w:eastAsia="en-AU"/>
              </w:rPr>
            </w:pPr>
            <w:r w:rsidRPr="00E0205C">
              <w:rPr>
                <w:rFonts w:eastAsia="Times New Roman"/>
                <w:szCs w:val="17"/>
                <w:lang w:val="en-US" w:eastAsia="en-AU"/>
              </w:rPr>
              <w:t>12 February 2009</w:t>
            </w:r>
          </w:p>
        </w:tc>
        <w:tc>
          <w:tcPr>
            <w:tcW w:w="1219" w:type="pct"/>
            <w:hideMark/>
          </w:tcPr>
          <w:p w:rsidR="00E0205C" w:rsidRPr="00E0205C" w:rsidRDefault="00E0205C" w:rsidP="00683CF6">
            <w:pPr>
              <w:numPr>
                <w:ilvl w:val="0"/>
                <w:numId w:val="17"/>
              </w:numPr>
              <w:tabs>
                <w:tab w:val="clear" w:pos="360"/>
              </w:tabs>
              <w:spacing w:after="0"/>
              <w:jc w:val="left"/>
              <w:rPr>
                <w:rFonts w:eastAsia="Times New Roman"/>
                <w:szCs w:val="17"/>
                <w:lang w:val="en-US" w:eastAsia="en-AU"/>
              </w:rPr>
            </w:pPr>
            <w:r w:rsidRPr="00E0205C">
              <w:rPr>
                <w:rFonts w:eastAsia="Times New Roman"/>
                <w:szCs w:val="17"/>
                <w:lang w:val="en-US" w:eastAsia="en-AU"/>
              </w:rPr>
              <w:t>5 March 2009</w:t>
            </w:r>
          </w:p>
        </w:tc>
      </w:tr>
      <w:tr w:rsidR="00E0205C" w:rsidRPr="00E0205C" w:rsidTr="00046B75">
        <w:trPr>
          <w:jc w:val="center"/>
        </w:trPr>
        <w:tc>
          <w:tcPr>
            <w:tcW w:w="1287" w:type="pct"/>
            <w:hideMark/>
          </w:tcPr>
          <w:p w:rsidR="00E0205C" w:rsidRPr="00E0205C" w:rsidRDefault="00E0205C" w:rsidP="00683CF6">
            <w:pPr>
              <w:numPr>
                <w:ilvl w:val="0"/>
                <w:numId w:val="17"/>
              </w:numPr>
              <w:tabs>
                <w:tab w:val="clear" w:pos="360"/>
                <w:tab w:val="num" w:pos="810"/>
              </w:tabs>
              <w:spacing w:after="0"/>
              <w:jc w:val="left"/>
              <w:rPr>
                <w:rFonts w:eastAsia="Times New Roman"/>
                <w:szCs w:val="17"/>
                <w:lang w:val="en-US" w:eastAsia="en-AU"/>
              </w:rPr>
            </w:pPr>
            <w:r w:rsidRPr="00E0205C">
              <w:rPr>
                <w:rFonts w:eastAsia="Times New Roman"/>
                <w:szCs w:val="17"/>
                <w:lang w:val="en-US" w:eastAsia="en-AU"/>
              </w:rPr>
              <w:t>12 March 2009</w:t>
            </w:r>
          </w:p>
        </w:tc>
        <w:tc>
          <w:tcPr>
            <w:tcW w:w="1214" w:type="pct"/>
            <w:hideMark/>
          </w:tcPr>
          <w:p w:rsidR="00E0205C" w:rsidRPr="00E0205C" w:rsidRDefault="00E0205C" w:rsidP="00683CF6">
            <w:pPr>
              <w:numPr>
                <w:ilvl w:val="0"/>
                <w:numId w:val="17"/>
              </w:numPr>
              <w:tabs>
                <w:tab w:val="clear" w:pos="360"/>
              </w:tabs>
              <w:spacing w:after="0"/>
              <w:ind w:left="371" w:hanging="371"/>
              <w:jc w:val="left"/>
              <w:rPr>
                <w:rFonts w:eastAsia="Times New Roman"/>
                <w:szCs w:val="17"/>
                <w:lang w:val="en-US" w:eastAsia="en-AU"/>
              </w:rPr>
            </w:pPr>
            <w:r w:rsidRPr="00E0205C">
              <w:rPr>
                <w:rFonts w:eastAsia="Times New Roman"/>
                <w:szCs w:val="17"/>
                <w:lang w:val="en-US" w:eastAsia="en-AU"/>
              </w:rPr>
              <w:t>26 March 2009</w:t>
            </w:r>
          </w:p>
        </w:tc>
        <w:tc>
          <w:tcPr>
            <w:tcW w:w="1280" w:type="pct"/>
            <w:hideMark/>
          </w:tcPr>
          <w:p w:rsidR="00E0205C" w:rsidRPr="00E0205C" w:rsidRDefault="00E0205C" w:rsidP="00683CF6">
            <w:pPr>
              <w:numPr>
                <w:ilvl w:val="0"/>
                <w:numId w:val="17"/>
              </w:numPr>
              <w:tabs>
                <w:tab w:val="clear" w:pos="360"/>
              </w:tabs>
              <w:spacing w:after="0"/>
              <w:ind w:left="425" w:hanging="425"/>
              <w:jc w:val="left"/>
              <w:rPr>
                <w:rFonts w:eastAsia="Times New Roman"/>
                <w:szCs w:val="17"/>
                <w:lang w:val="en-US" w:eastAsia="en-AU"/>
              </w:rPr>
            </w:pPr>
            <w:r w:rsidRPr="00E0205C">
              <w:rPr>
                <w:rFonts w:eastAsia="Times New Roman"/>
                <w:szCs w:val="17"/>
                <w:lang w:val="en-US" w:eastAsia="en-AU"/>
              </w:rPr>
              <w:t>30 April 2009</w:t>
            </w:r>
          </w:p>
        </w:tc>
        <w:tc>
          <w:tcPr>
            <w:tcW w:w="1219" w:type="pct"/>
            <w:hideMark/>
          </w:tcPr>
          <w:p w:rsidR="00E0205C" w:rsidRPr="00E0205C" w:rsidRDefault="00E0205C" w:rsidP="00683CF6">
            <w:pPr>
              <w:numPr>
                <w:ilvl w:val="0"/>
                <w:numId w:val="17"/>
              </w:numPr>
              <w:tabs>
                <w:tab w:val="clear" w:pos="360"/>
              </w:tabs>
              <w:spacing w:after="0"/>
              <w:jc w:val="left"/>
              <w:rPr>
                <w:rFonts w:eastAsia="Times New Roman"/>
                <w:szCs w:val="17"/>
                <w:lang w:val="en-US" w:eastAsia="en-AU"/>
              </w:rPr>
            </w:pPr>
            <w:r w:rsidRPr="00E0205C">
              <w:rPr>
                <w:rFonts w:eastAsia="Times New Roman"/>
                <w:szCs w:val="17"/>
                <w:lang w:val="en-US" w:eastAsia="en-AU"/>
              </w:rPr>
              <w:t>18 June 2009</w:t>
            </w:r>
          </w:p>
        </w:tc>
      </w:tr>
      <w:tr w:rsidR="00E0205C" w:rsidRPr="00E0205C" w:rsidTr="00046B75">
        <w:trPr>
          <w:jc w:val="center"/>
        </w:trPr>
        <w:tc>
          <w:tcPr>
            <w:tcW w:w="1287" w:type="pct"/>
            <w:hideMark/>
          </w:tcPr>
          <w:p w:rsidR="00E0205C" w:rsidRPr="00E0205C" w:rsidRDefault="00E0205C" w:rsidP="00683CF6">
            <w:pPr>
              <w:numPr>
                <w:ilvl w:val="0"/>
                <w:numId w:val="17"/>
              </w:numPr>
              <w:tabs>
                <w:tab w:val="clear" w:pos="360"/>
                <w:tab w:val="num" w:pos="810"/>
              </w:tabs>
              <w:spacing w:after="0"/>
              <w:jc w:val="left"/>
              <w:rPr>
                <w:rFonts w:eastAsia="Times New Roman"/>
                <w:szCs w:val="17"/>
                <w:lang w:val="en-US" w:eastAsia="en-AU"/>
              </w:rPr>
            </w:pPr>
            <w:r w:rsidRPr="00E0205C">
              <w:rPr>
                <w:rFonts w:eastAsia="Times New Roman"/>
                <w:szCs w:val="17"/>
                <w:lang w:val="en-US" w:eastAsia="en-AU"/>
              </w:rPr>
              <w:t>25 June 2009</w:t>
            </w:r>
          </w:p>
        </w:tc>
        <w:tc>
          <w:tcPr>
            <w:tcW w:w="1214" w:type="pct"/>
            <w:hideMark/>
          </w:tcPr>
          <w:p w:rsidR="00E0205C" w:rsidRPr="00E0205C" w:rsidRDefault="00E0205C" w:rsidP="00683CF6">
            <w:pPr>
              <w:numPr>
                <w:ilvl w:val="0"/>
                <w:numId w:val="17"/>
              </w:numPr>
              <w:tabs>
                <w:tab w:val="clear" w:pos="360"/>
              </w:tabs>
              <w:spacing w:after="0"/>
              <w:ind w:left="371" w:hanging="371"/>
              <w:jc w:val="left"/>
              <w:rPr>
                <w:rFonts w:eastAsia="Times New Roman"/>
                <w:szCs w:val="17"/>
                <w:lang w:val="en-US" w:eastAsia="en-AU"/>
              </w:rPr>
            </w:pPr>
            <w:r w:rsidRPr="00E0205C">
              <w:rPr>
                <w:rFonts w:eastAsia="Times New Roman"/>
                <w:szCs w:val="17"/>
                <w:lang w:val="en-US" w:eastAsia="en-AU"/>
              </w:rPr>
              <w:t>27 August 2009</w:t>
            </w:r>
          </w:p>
        </w:tc>
        <w:tc>
          <w:tcPr>
            <w:tcW w:w="1280" w:type="pct"/>
            <w:hideMark/>
          </w:tcPr>
          <w:p w:rsidR="00E0205C" w:rsidRPr="00E0205C" w:rsidRDefault="00E0205C" w:rsidP="00683CF6">
            <w:pPr>
              <w:numPr>
                <w:ilvl w:val="0"/>
                <w:numId w:val="17"/>
              </w:numPr>
              <w:tabs>
                <w:tab w:val="clear" w:pos="360"/>
              </w:tabs>
              <w:spacing w:after="0"/>
              <w:ind w:left="425" w:hanging="425"/>
              <w:jc w:val="left"/>
              <w:rPr>
                <w:rFonts w:eastAsia="Times New Roman"/>
                <w:szCs w:val="17"/>
                <w:lang w:val="en-US" w:eastAsia="en-AU"/>
              </w:rPr>
            </w:pPr>
            <w:r w:rsidRPr="00E0205C">
              <w:rPr>
                <w:rFonts w:eastAsia="Times New Roman"/>
                <w:szCs w:val="17"/>
                <w:lang w:val="en-US" w:eastAsia="en-AU"/>
              </w:rPr>
              <w:t>17 September 2009</w:t>
            </w:r>
          </w:p>
        </w:tc>
        <w:tc>
          <w:tcPr>
            <w:tcW w:w="1219" w:type="pct"/>
            <w:hideMark/>
          </w:tcPr>
          <w:p w:rsidR="00E0205C" w:rsidRPr="00E0205C" w:rsidRDefault="00E0205C" w:rsidP="00683CF6">
            <w:pPr>
              <w:numPr>
                <w:ilvl w:val="0"/>
                <w:numId w:val="17"/>
              </w:numPr>
              <w:tabs>
                <w:tab w:val="clear" w:pos="360"/>
              </w:tabs>
              <w:spacing w:after="0"/>
              <w:jc w:val="left"/>
              <w:rPr>
                <w:rFonts w:eastAsia="Times New Roman"/>
                <w:szCs w:val="17"/>
                <w:lang w:val="en-US" w:eastAsia="en-AU"/>
              </w:rPr>
            </w:pPr>
            <w:r w:rsidRPr="00E0205C">
              <w:rPr>
                <w:rFonts w:eastAsia="Times New Roman"/>
                <w:szCs w:val="17"/>
                <w:lang w:val="en-US" w:eastAsia="en-AU"/>
              </w:rPr>
              <w:t>24 September 2009</w:t>
            </w:r>
          </w:p>
        </w:tc>
      </w:tr>
      <w:tr w:rsidR="00E0205C" w:rsidRPr="00E0205C" w:rsidTr="00046B75">
        <w:trPr>
          <w:jc w:val="center"/>
        </w:trPr>
        <w:tc>
          <w:tcPr>
            <w:tcW w:w="1287" w:type="pct"/>
            <w:hideMark/>
          </w:tcPr>
          <w:p w:rsidR="00E0205C" w:rsidRPr="00E0205C" w:rsidRDefault="00E0205C" w:rsidP="00683CF6">
            <w:pPr>
              <w:numPr>
                <w:ilvl w:val="0"/>
                <w:numId w:val="17"/>
              </w:numPr>
              <w:tabs>
                <w:tab w:val="clear" w:pos="360"/>
                <w:tab w:val="num" w:pos="810"/>
              </w:tabs>
              <w:spacing w:after="0"/>
              <w:jc w:val="left"/>
              <w:rPr>
                <w:rFonts w:eastAsia="Times New Roman"/>
                <w:szCs w:val="17"/>
                <w:lang w:val="en-US" w:eastAsia="en-AU"/>
              </w:rPr>
            </w:pPr>
            <w:r w:rsidRPr="00E0205C">
              <w:rPr>
                <w:rFonts w:eastAsia="Times New Roman"/>
                <w:szCs w:val="17"/>
                <w:lang w:val="en-US" w:eastAsia="en-AU"/>
              </w:rPr>
              <w:t>9 October 2009</w:t>
            </w:r>
          </w:p>
        </w:tc>
        <w:tc>
          <w:tcPr>
            <w:tcW w:w="1214" w:type="pct"/>
            <w:hideMark/>
          </w:tcPr>
          <w:p w:rsidR="00E0205C" w:rsidRPr="00E0205C" w:rsidRDefault="00E0205C" w:rsidP="00683CF6">
            <w:pPr>
              <w:numPr>
                <w:ilvl w:val="0"/>
                <w:numId w:val="17"/>
              </w:numPr>
              <w:tabs>
                <w:tab w:val="clear" w:pos="360"/>
              </w:tabs>
              <w:spacing w:after="0"/>
              <w:ind w:left="371" w:hanging="371"/>
              <w:jc w:val="left"/>
              <w:rPr>
                <w:rFonts w:eastAsia="Times New Roman"/>
                <w:szCs w:val="17"/>
                <w:lang w:val="en-US" w:eastAsia="en-AU"/>
              </w:rPr>
            </w:pPr>
            <w:r w:rsidRPr="00E0205C">
              <w:rPr>
                <w:rFonts w:eastAsia="Times New Roman"/>
                <w:szCs w:val="17"/>
                <w:lang w:val="en-US" w:eastAsia="en-AU"/>
              </w:rPr>
              <w:t>22 October 2009</w:t>
            </w:r>
          </w:p>
        </w:tc>
        <w:tc>
          <w:tcPr>
            <w:tcW w:w="1280" w:type="pct"/>
            <w:hideMark/>
          </w:tcPr>
          <w:p w:rsidR="00E0205C" w:rsidRPr="00E0205C" w:rsidRDefault="00E0205C" w:rsidP="00683CF6">
            <w:pPr>
              <w:numPr>
                <w:ilvl w:val="0"/>
                <w:numId w:val="17"/>
              </w:numPr>
              <w:tabs>
                <w:tab w:val="clear" w:pos="360"/>
              </w:tabs>
              <w:spacing w:after="0"/>
              <w:ind w:left="425" w:hanging="425"/>
              <w:jc w:val="left"/>
              <w:rPr>
                <w:rFonts w:eastAsia="Times New Roman"/>
                <w:szCs w:val="17"/>
                <w:lang w:val="en-US" w:eastAsia="en-AU"/>
              </w:rPr>
            </w:pPr>
            <w:r w:rsidRPr="00E0205C">
              <w:rPr>
                <w:rFonts w:eastAsia="Times New Roman"/>
                <w:szCs w:val="17"/>
                <w:lang w:val="en-US" w:eastAsia="en-AU"/>
              </w:rPr>
              <w:t>3 December 2009</w:t>
            </w:r>
          </w:p>
        </w:tc>
        <w:tc>
          <w:tcPr>
            <w:tcW w:w="1219" w:type="pct"/>
            <w:hideMark/>
          </w:tcPr>
          <w:p w:rsidR="00E0205C" w:rsidRPr="00E0205C" w:rsidRDefault="00E0205C" w:rsidP="00683CF6">
            <w:pPr>
              <w:numPr>
                <w:ilvl w:val="0"/>
                <w:numId w:val="17"/>
              </w:numPr>
              <w:tabs>
                <w:tab w:val="clear" w:pos="360"/>
              </w:tabs>
              <w:spacing w:after="0"/>
              <w:jc w:val="left"/>
              <w:rPr>
                <w:rFonts w:eastAsia="Times New Roman"/>
                <w:szCs w:val="17"/>
                <w:lang w:val="en-US" w:eastAsia="en-AU"/>
              </w:rPr>
            </w:pPr>
            <w:r w:rsidRPr="00E0205C">
              <w:rPr>
                <w:rFonts w:eastAsia="Times New Roman"/>
                <w:szCs w:val="17"/>
                <w:lang w:val="en-US" w:eastAsia="en-AU"/>
              </w:rPr>
              <w:t>17 December 2009</w:t>
            </w:r>
          </w:p>
        </w:tc>
      </w:tr>
      <w:tr w:rsidR="00E0205C" w:rsidRPr="00E0205C" w:rsidTr="00046B75">
        <w:trPr>
          <w:jc w:val="center"/>
        </w:trPr>
        <w:tc>
          <w:tcPr>
            <w:tcW w:w="1287" w:type="pct"/>
            <w:hideMark/>
          </w:tcPr>
          <w:p w:rsidR="00E0205C" w:rsidRPr="00E0205C" w:rsidRDefault="00E0205C" w:rsidP="00683CF6">
            <w:pPr>
              <w:numPr>
                <w:ilvl w:val="0"/>
                <w:numId w:val="17"/>
              </w:numPr>
              <w:tabs>
                <w:tab w:val="clear" w:pos="360"/>
                <w:tab w:val="num" w:pos="810"/>
              </w:tabs>
              <w:spacing w:after="0"/>
              <w:jc w:val="left"/>
              <w:rPr>
                <w:rFonts w:eastAsia="Times New Roman"/>
                <w:szCs w:val="17"/>
                <w:lang w:val="en-US" w:eastAsia="en-AU"/>
              </w:rPr>
            </w:pPr>
            <w:r w:rsidRPr="00E0205C">
              <w:rPr>
                <w:rFonts w:eastAsia="Times New Roman"/>
                <w:szCs w:val="17"/>
                <w:lang w:val="en-US" w:eastAsia="en-AU"/>
              </w:rPr>
              <w:t>4 February 2010</w:t>
            </w:r>
          </w:p>
        </w:tc>
        <w:tc>
          <w:tcPr>
            <w:tcW w:w="1214" w:type="pct"/>
            <w:hideMark/>
          </w:tcPr>
          <w:p w:rsidR="00E0205C" w:rsidRPr="00E0205C" w:rsidRDefault="00E0205C" w:rsidP="00683CF6">
            <w:pPr>
              <w:numPr>
                <w:ilvl w:val="0"/>
                <w:numId w:val="17"/>
              </w:numPr>
              <w:tabs>
                <w:tab w:val="clear" w:pos="360"/>
              </w:tabs>
              <w:spacing w:after="0"/>
              <w:ind w:left="371" w:hanging="371"/>
              <w:jc w:val="left"/>
              <w:rPr>
                <w:rFonts w:eastAsia="Times New Roman"/>
                <w:szCs w:val="17"/>
                <w:lang w:val="en-US" w:eastAsia="en-AU"/>
              </w:rPr>
            </w:pPr>
            <w:r w:rsidRPr="00E0205C">
              <w:rPr>
                <w:rFonts w:eastAsia="Times New Roman"/>
                <w:szCs w:val="17"/>
                <w:lang w:val="en-US" w:eastAsia="en-AU"/>
              </w:rPr>
              <w:t>11 February 2010</w:t>
            </w:r>
          </w:p>
        </w:tc>
        <w:tc>
          <w:tcPr>
            <w:tcW w:w="1280" w:type="pct"/>
            <w:hideMark/>
          </w:tcPr>
          <w:p w:rsidR="00E0205C" w:rsidRPr="00E0205C" w:rsidRDefault="00E0205C" w:rsidP="00683CF6">
            <w:pPr>
              <w:numPr>
                <w:ilvl w:val="0"/>
                <w:numId w:val="17"/>
              </w:numPr>
              <w:tabs>
                <w:tab w:val="clear" w:pos="360"/>
              </w:tabs>
              <w:spacing w:after="0"/>
              <w:ind w:left="425" w:hanging="425"/>
              <w:jc w:val="left"/>
              <w:rPr>
                <w:rFonts w:eastAsia="Times New Roman"/>
                <w:szCs w:val="17"/>
                <w:lang w:val="en-US" w:eastAsia="en-AU"/>
              </w:rPr>
            </w:pPr>
            <w:r w:rsidRPr="00E0205C">
              <w:rPr>
                <w:rFonts w:eastAsia="Times New Roman"/>
                <w:szCs w:val="17"/>
                <w:lang w:val="en-US" w:eastAsia="en-AU"/>
              </w:rPr>
              <w:t>18 February 2010</w:t>
            </w:r>
          </w:p>
        </w:tc>
        <w:tc>
          <w:tcPr>
            <w:tcW w:w="1219" w:type="pct"/>
            <w:hideMark/>
          </w:tcPr>
          <w:p w:rsidR="00E0205C" w:rsidRPr="00E0205C" w:rsidRDefault="00E0205C" w:rsidP="00683CF6">
            <w:pPr>
              <w:numPr>
                <w:ilvl w:val="0"/>
                <w:numId w:val="17"/>
              </w:numPr>
              <w:tabs>
                <w:tab w:val="clear" w:pos="360"/>
              </w:tabs>
              <w:spacing w:after="0"/>
              <w:jc w:val="left"/>
              <w:rPr>
                <w:rFonts w:eastAsia="Times New Roman"/>
                <w:szCs w:val="17"/>
                <w:lang w:val="en-US" w:eastAsia="en-AU"/>
              </w:rPr>
            </w:pPr>
            <w:r w:rsidRPr="00E0205C">
              <w:rPr>
                <w:rFonts w:eastAsia="Times New Roman"/>
                <w:szCs w:val="17"/>
                <w:lang w:val="en-US" w:eastAsia="en-AU"/>
              </w:rPr>
              <w:t>18 March 2010</w:t>
            </w:r>
          </w:p>
        </w:tc>
      </w:tr>
      <w:tr w:rsidR="00E0205C" w:rsidRPr="00E0205C" w:rsidTr="00046B75">
        <w:trPr>
          <w:jc w:val="center"/>
        </w:trPr>
        <w:tc>
          <w:tcPr>
            <w:tcW w:w="1287" w:type="pct"/>
            <w:hideMark/>
          </w:tcPr>
          <w:p w:rsidR="00E0205C" w:rsidRPr="00E0205C" w:rsidRDefault="00E0205C" w:rsidP="00683CF6">
            <w:pPr>
              <w:numPr>
                <w:ilvl w:val="0"/>
                <w:numId w:val="17"/>
              </w:numPr>
              <w:tabs>
                <w:tab w:val="clear" w:pos="360"/>
                <w:tab w:val="num" w:pos="810"/>
              </w:tabs>
              <w:spacing w:after="0"/>
              <w:jc w:val="left"/>
              <w:rPr>
                <w:rFonts w:eastAsia="Times New Roman"/>
                <w:szCs w:val="17"/>
                <w:lang w:val="en-US" w:eastAsia="en-AU"/>
              </w:rPr>
            </w:pPr>
            <w:r w:rsidRPr="00E0205C">
              <w:rPr>
                <w:rFonts w:eastAsia="Times New Roman"/>
                <w:szCs w:val="17"/>
                <w:lang w:val="en-US" w:eastAsia="en-AU"/>
              </w:rPr>
              <w:t>8 April 2010</w:t>
            </w:r>
          </w:p>
        </w:tc>
        <w:tc>
          <w:tcPr>
            <w:tcW w:w="1214" w:type="pct"/>
            <w:hideMark/>
          </w:tcPr>
          <w:p w:rsidR="00E0205C" w:rsidRPr="00E0205C" w:rsidRDefault="00E0205C" w:rsidP="00683CF6">
            <w:pPr>
              <w:numPr>
                <w:ilvl w:val="0"/>
                <w:numId w:val="17"/>
              </w:numPr>
              <w:tabs>
                <w:tab w:val="clear" w:pos="360"/>
              </w:tabs>
              <w:spacing w:after="0"/>
              <w:ind w:left="371" w:hanging="371"/>
              <w:jc w:val="left"/>
              <w:rPr>
                <w:rFonts w:eastAsia="Times New Roman"/>
                <w:szCs w:val="17"/>
                <w:lang w:val="en-US" w:eastAsia="en-AU"/>
              </w:rPr>
            </w:pPr>
            <w:r w:rsidRPr="00E0205C">
              <w:rPr>
                <w:rFonts w:eastAsia="Times New Roman"/>
                <w:szCs w:val="17"/>
                <w:lang w:val="en-US" w:eastAsia="en-AU"/>
              </w:rPr>
              <w:t>6 May 2010</w:t>
            </w:r>
          </w:p>
        </w:tc>
        <w:tc>
          <w:tcPr>
            <w:tcW w:w="1280" w:type="pct"/>
            <w:hideMark/>
          </w:tcPr>
          <w:p w:rsidR="00E0205C" w:rsidRPr="00E0205C" w:rsidRDefault="00E0205C" w:rsidP="00683CF6">
            <w:pPr>
              <w:numPr>
                <w:ilvl w:val="0"/>
                <w:numId w:val="17"/>
              </w:numPr>
              <w:tabs>
                <w:tab w:val="clear" w:pos="360"/>
              </w:tabs>
              <w:spacing w:after="0"/>
              <w:ind w:left="425" w:hanging="425"/>
              <w:jc w:val="left"/>
              <w:rPr>
                <w:rFonts w:eastAsia="Times New Roman"/>
                <w:szCs w:val="17"/>
                <w:lang w:val="en-US" w:eastAsia="en-AU"/>
              </w:rPr>
            </w:pPr>
            <w:r w:rsidRPr="00E0205C">
              <w:rPr>
                <w:rFonts w:eastAsia="Times New Roman"/>
                <w:szCs w:val="17"/>
                <w:lang w:val="en-US" w:eastAsia="en-AU"/>
              </w:rPr>
              <w:t>20 May 2010</w:t>
            </w:r>
          </w:p>
        </w:tc>
        <w:tc>
          <w:tcPr>
            <w:tcW w:w="1219" w:type="pct"/>
            <w:hideMark/>
          </w:tcPr>
          <w:p w:rsidR="00E0205C" w:rsidRPr="00E0205C" w:rsidRDefault="00E0205C" w:rsidP="00683CF6">
            <w:pPr>
              <w:numPr>
                <w:ilvl w:val="0"/>
                <w:numId w:val="17"/>
              </w:numPr>
              <w:tabs>
                <w:tab w:val="clear" w:pos="360"/>
              </w:tabs>
              <w:spacing w:after="0"/>
              <w:jc w:val="left"/>
              <w:rPr>
                <w:rFonts w:eastAsia="Times New Roman"/>
                <w:szCs w:val="17"/>
                <w:lang w:val="en-US" w:eastAsia="en-AU"/>
              </w:rPr>
            </w:pPr>
            <w:r w:rsidRPr="00E0205C">
              <w:rPr>
                <w:rFonts w:eastAsia="Times New Roman"/>
                <w:szCs w:val="17"/>
                <w:lang w:val="en-US" w:eastAsia="en-AU"/>
              </w:rPr>
              <w:t>3 June 2010</w:t>
            </w:r>
          </w:p>
        </w:tc>
      </w:tr>
      <w:tr w:rsidR="00E0205C" w:rsidRPr="00E0205C" w:rsidTr="00046B75">
        <w:trPr>
          <w:jc w:val="center"/>
        </w:trPr>
        <w:tc>
          <w:tcPr>
            <w:tcW w:w="1287" w:type="pct"/>
            <w:hideMark/>
          </w:tcPr>
          <w:p w:rsidR="00E0205C" w:rsidRPr="00E0205C" w:rsidRDefault="00E0205C" w:rsidP="00683CF6">
            <w:pPr>
              <w:numPr>
                <w:ilvl w:val="0"/>
                <w:numId w:val="17"/>
              </w:numPr>
              <w:tabs>
                <w:tab w:val="clear" w:pos="360"/>
                <w:tab w:val="num" w:pos="810"/>
              </w:tabs>
              <w:spacing w:after="0"/>
              <w:jc w:val="left"/>
              <w:rPr>
                <w:rFonts w:eastAsia="Times New Roman"/>
                <w:szCs w:val="17"/>
                <w:lang w:val="en-US" w:eastAsia="en-AU"/>
              </w:rPr>
            </w:pPr>
            <w:r w:rsidRPr="00E0205C">
              <w:rPr>
                <w:rFonts w:eastAsia="Times New Roman"/>
                <w:szCs w:val="17"/>
                <w:lang w:val="en-US" w:eastAsia="en-AU"/>
              </w:rPr>
              <w:t>17 June 2010</w:t>
            </w:r>
          </w:p>
        </w:tc>
        <w:tc>
          <w:tcPr>
            <w:tcW w:w="1214" w:type="pct"/>
            <w:hideMark/>
          </w:tcPr>
          <w:p w:rsidR="00E0205C" w:rsidRPr="00E0205C" w:rsidRDefault="00E0205C" w:rsidP="00683CF6">
            <w:pPr>
              <w:numPr>
                <w:ilvl w:val="0"/>
                <w:numId w:val="17"/>
              </w:numPr>
              <w:tabs>
                <w:tab w:val="clear" w:pos="360"/>
              </w:tabs>
              <w:spacing w:after="0"/>
              <w:ind w:left="371" w:hanging="371"/>
              <w:jc w:val="left"/>
              <w:rPr>
                <w:rFonts w:eastAsia="Times New Roman"/>
                <w:szCs w:val="17"/>
                <w:lang w:val="en-US" w:eastAsia="en-AU"/>
              </w:rPr>
            </w:pPr>
            <w:r w:rsidRPr="00E0205C">
              <w:rPr>
                <w:rFonts w:eastAsia="Times New Roman"/>
                <w:szCs w:val="17"/>
                <w:lang w:val="en-US" w:eastAsia="en-AU"/>
              </w:rPr>
              <w:t>24 June 2010</w:t>
            </w:r>
          </w:p>
        </w:tc>
        <w:tc>
          <w:tcPr>
            <w:tcW w:w="1280" w:type="pct"/>
            <w:hideMark/>
          </w:tcPr>
          <w:p w:rsidR="00E0205C" w:rsidRPr="00E0205C" w:rsidRDefault="00E0205C" w:rsidP="00683CF6">
            <w:pPr>
              <w:numPr>
                <w:ilvl w:val="0"/>
                <w:numId w:val="17"/>
              </w:numPr>
              <w:tabs>
                <w:tab w:val="clear" w:pos="360"/>
              </w:tabs>
              <w:spacing w:after="0"/>
              <w:ind w:left="425" w:hanging="425"/>
              <w:jc w:val="left"/>
              <w:rPr>
                <w:rFonts w:eastAsia="Times New Roman"/>
                <w:szCs w:val="17"/>
                <w:lang w:val="en-US" w:eastAsia="en-AU"/>
              </w:rPr>
            </w:pPr>
            <w:r w:rsidRPr="00E0205C">
              <w:rPr>
                <w:rFonts w:eastAsia="Times New Roman"/>
                <w:szCs w:val="17"/>
                <w:lang w:val="en-US" w:eastAsia="en-AU"/>
              </w:rPr>
              <w:t>8 July 2010</w:t>
            </w:r>
          </w:p>
        </w:tc>
        <w:tc>
          <w:tcPr>
            <w:tcW w:w="1219" w:type="pct"/>
            <w:hideMark/>
          </w:tcPr>
          <w:p w:rsidR="00E0205C" w:rsidRPr="00E0205C" w:rsidRDefault="00E0205C" w:rsidP="00683CF6">
            <w:pPr>
              <w:numPr>
                <w:ilvl w:val="0"/>
                <w:numId w:val="17"/>
              </w:numPr>
              <w:tabs>
                <w:tab w:val="clear" w:pos="360"/>
              </w:tabs>
              <w:spacing w:after="0"/>
              <w:jc w:val="left"/>
              <w:rPr>
                <w:rFonts w:eastAsia="Times New Roman"/>
                <w:szCs w:val="17"/>
                <w:lang w:val="en-US" w:eastAsia="en-AU"/>
              </w:rPr>
            </w:pPr>
            <w:r w:rsidRPr="00E0205C">
              <w:rPr>
                <w:rFonts w:eastAsia="Times New Roman"/>
                <w:szCs w:val="17"/>
                <w:lang w:val="en-US" w:eastAsia="en-AU"/>
              </w:rPr>
              <w:t>9 September 2010</w:t>
            </w:r>
          </w:p>
        </w:tc>
      </w:tr>
      <w:tr w:rsidR="00E0205C" w:rsidRPr="00E0205C" w:rsidTr="00046B75">
        <w:trPr>
          <w:jc w:val="center"/>
        </w:trPr>
        <w:tc>
          <w:tcPr>
            <w:tcW w:w="1287" w:type="pct"/>
            <w:hideMark/>
          </w:tcPr>
          <w:p w:rsidR="00E0205C" w:rsidRPr="00E0205C" w:rsidRDefault="00E0205C" w:rsidP="00683CF6">
            <w:pPr>
              <w:numPr>
                <w:ilvl w:val="0"/>
                <w:numId w:val="17"/>
              </w:numPr>
              <w:tabs>
                <w:tab w:val="clear" w:pos="360"/>
                <w:tab w:val="num" w:pos="810"/>
              </w:tabs>
              <w:spacing w:after="0"/>
              <w:jc w:val="left"/>
              <w:rPr>
                <w:rFonts w:eastAsia="Times New Roman"/>
                <w:szCs w:val="17"/>
                <w:lang w:val="en-US" w:eastAsia="en-AU"/>
              </w:rPr>
            </w:pPr>
            <w:r w:rsidRPr="00E0205C">
              <w:rPr>
                <w:rFonts w:eastAsia="Times New Roman"/>
                <w:szCs w:val="17"/>
                <w:lang w:val="en-US" w:eastAsia="en-AU"/>
              </w:rPr>
              <w:t>23 September 2010</w:t>
            </w:r>
          </w:p>
        </w:tc>
        <w:tc>
          <w:tcPr>
            <w:tcW w:w="1214" w:type="pct"/>
            <w:hideMark/>
          </w:tcPr>
          <w:p w:rsidR="00E0205C" w:rsidRPr="00E0205C" w:rsidRDefault="00E0205C" w:rsidP="00683CF6">
            <w:pPr>
              <w:numPr>
                <w:ilvl w:val="0"/>
                <w:numId w:val="17"/>
              </w:numPr>
              <w:tabs>
                <w:tab w:val="clear" w:pos="360"/>
              </w:tabs>
              <w:spacing w:after="0"/>
              <w:ind w:left="371" w:hanging="371"/>
              <w:jc w:val="left"/>
              <w:rPr>
                <w:rFonts w:eastAsia="Times New Roman"/>
                <w:szCs w:val="17"/>
                <w:lang w:val="en-US" w:eastAsia="en-AU"/>
              </w:rPr>
            </w:pPr>
            <w:r w:rsidRPr="00E0205C">
              <w:rPr>
                <w:rFonts w:eastAsia="Times New Roman"/>
                <w:szCs w:val="17"/>
                <w:lang w:val="en-US" w:eastAsia="en-AU"/>
              </w:rPr>
              <w:t>4 November 2010</w:t>
            </w:r>
          </w:p>
        </w:tc>
        <w:tc>
          <w:tcPr>
            <w:tcW w:w="1280" w:type="pct"/>
            <w:hideMark/>
          </w:tcPr>
          <w:p w:rsidR="00E0205C" w:rsidRPr="00E0205C" w:rsidRDefault="00E0205C" w:rsidP="00683CF6">
            <w:pPr>
              <w:numPr>
                <w:ilvl w:val="0"/>
                <w:numId w:val="17"/>
              </w:numPr>
              <w:tabs>
                <w:tab w:val="clear" w:pos="360"/>
              </w:tabs>
              <w:spacing w:after="0"/>
              <w:ind w:left="425" w:hanging="425"/>
              <w:jc w:val="left"/>
              <w:rPr>
                <w:rFonts w:eastAsia="Times New Roman"/>
                <w:szCs w:val="17"/>
                <w:lang w:val="en-US" w:eastAsia="en-AU"/>
              </w:rPr>
            </w:pPr>
            <w:r w:rsidRPr="00E0205C">
              <w:rPr>
                <w:rFonts w:eastAsia="Times New Roman"/>
                <w:szCs w:val="17"/>
                <w:lang w:val="en-US" w:eastAsia="en-AU"/>
              </w:rPr>
              <w:t>25 November 2010</w:t>
            </w:r>
          </w:p>
        </w:tc>
        <w:tc>
          <w:tcPr>
            <w:tcW w:w="1219" w:type="pct"/>
            <w:hideMark/>
          </w:tcPr>
          <w:p w:rsidR="00E0205C" w:rsidRPr="00E0205C" w:rsidRDefault="00E0205C" w:rsidP="00683CF6">
            <w:pPr>
              <w:numPr>
                <w:ilvl w:val="0"/>
                <w:numId w:val="17"/>
              </w:numPr>
              <w:tabs>
                <w:tab w:val="clear" w:pos="360"/>
              </w:tabs>
              <w:spacing w:after="0"/>
              <w:jc w:val="left"/>
              <w:rPr>
                <w:rFonts w:eastAsia="Times New Roman"/>
                <w:szCs w:val="17"/>
                <w:lang w:val="en-US" w:eastAsia="en-AU"/>
              </w:rPr>
            </w:pPr>
            <w:r w:rsidRPr="00E0205C">
              <w:rPr>
                <w:rFonts w:eastAsia="Times New Roman"/>
                <w:szCs w:val="17"/>
                <w:lang w:val="en-US" w:eastAsia="en-AU"/>
              </w:rPr>
              <w:t>16 December 2010</w:t>
            </w:r>
          </w:p>
        </w:tc>
      </w:tr>
      <w:tr w:rsidR="00E0205C" w:rsidRPr="00E0205C" w:rsidTr="00046B75">
        <w:trPr>
          <w:jc w:val="center"/>
        </w:trPr>
        <w:tc>
          <w:tcPr>
            <w:tcW w:w="1287" w:type="pct"/>
            <w:hideMark/>
          </w:tcPr>
          <w:p w:rsidR="00E0205C" w:rsidRPr="00E0205C" w:rsidRDefault="00E0205C" w:rsidP="00683CF6">
            <w:pPr>
              <w:numPr>
                <w:ilvl w:val="0"/>
                <w:numId w:val="17"/>
              </w:numPr>
              <w:tabs>
                <w:tab w:val="clear" w:pos="360"/>
                <w:tab w:val="num" w:pos="810"/>
              </w:tabs>
              <w:spacing w:after="0"/>
              <w:jc w:val="left"/>
              <w:rPr>
                <w:rFonts w:eastAsia="Times New Roman"/>
                <w:szCs w:val="17"/>
                <w:lang w:val="en-US" w:eastAsia="en-AU"/>
              </w:rPr>
            </w:pPr>
            <w:r w:rsidRPr="00E0205C">
              <w:rPr>
                <w:rFonts w:eastAsia="Times New Roman"/>
                <w:szCs w:val="17"/>
                <w:lang w:val="en-US" w:eastAsia="en-AU"/>
              </w:rPr>
              <w:t>23 December 2010</w:t>
            </w:r>
          </w:p>
        </w:tc>
        <w:tc>
          <w:tcPr>
            <w:tcW w:w="1214" w:type="pct"/>
            <w:hideMark/>
          </w:tcPr>
          <w:p w:rsidR="00E0205C" w:rsidRPr="00E0205C" w:rsidRDefault="00E0205C" w:rsidP="00683CF6">
            <w:pPr>
              <w:numPr>
                <w:ilvl w:val="0"/>
                <w:numId w:val="17"/>
              </w:numPr>
              <w:tabs>
                <w:tab w:val="clear" w:pos="360"/>
              </w:tabs>
              <w:spacing w:after="0"/>
              <w:ind w:left="371" w:hanging="371"/>
              <w:jc w:val="left"/>
              <w:rPr>
                <w:rFonts w:eastAsia="Times New Roman"/>
                <w:szCs w:val="17"/>
                <w:lang w:val="en-US" w:eastAsia="en-AU"/>
              </w:rPr>
            </w:pPr>
            <w:r w:rsidRPr="00E0205C">
              <w:rPr>
                <w:rFonts w:eastAsia="Times New Roman"/>
                <w:szCs w:val="17"/>
                <w:lang w:val="en-US" w:eastAsia="en-AU"/>
              </w:rPr>
              <w:t>17 March 2011</w:t>
            </w:r>
          </w:p>
        </w:tc>
        <w:tc>
          <w:tcPr>
            <w:tcW w:w="1280" w:type="pct"/>
            <w:hideMark/>
          </w:tcPr>
          <w:p w:rsidR="00E0205C" w:rsidRPr="00E0205C" w:rsidRDefault="00E0205C" w:rsidP="00683CF6">
            <w:pPr>
              <w:numPr>
                <w:ilvl w:val="0"/>
                <w:numId w:val="17"/>
              </w:numPr>
              <w:tabs>
                <w:tab w:val="clear" w:pos="360"/>
              </w:tabs>
              <w:spacing w:after="0"/>
              <w:ind w:left="425" w:hanging="425"/>
              <w:jc w:val="left"/>
              <w:rPr>
                <w:rFonts w:eastAsia="Times New Roman"/>
                <w:szCs w:val="17"/>
                <w:lang w:val="en-US" w:eastAsia="en-AU"/>
              </w:rPr>
            </w:pPr>
            <w:r w:rsidRPr="00E0205C">
              <w:rPr>
                <w:rFonts w:eastAsia="Times New Roman"/>
                <w:szCs w:val="17"/>
                <w:lang w:val="en-US" w:eastAsia="en-AU"/>
              </w:rPr>
              <w:t>7 April 2011</w:t>
            </w:r>
          </w:p>
        </w:tc>
        <w:tc>
          <w:tcPr>
            <w:tcW w:w="1219" w:type="pct"/>
            <w:hideMark/>
          </w:tcPr>
          <w:p w:rsidR="00E0205C" w:rsidRPr="00E0205C" w:rsidRDefault="00E0205C" w:rsidP="00683CF6">
            <w:pPr>
              <w:numPr>
                <w:ilvl w:val="0"/>
                <w:numId w:val="17"/>
              </w:numPr>
              <w:tabs>
                <w:tab w:val="clear" w:pos="360"/>
              </w:tabs>
              <w:spacing w:after="0"/>
              <w:jc w:val="left"/>
              <w:rPr>
                <w:rFonts w:eastAsia="Times New Roman"/>
                <w:szCs w:val="17"/>
                <w:lang w:val="en-US" w:eastAsia="en-AU"/>
              </w:rPr>
            </w:pPr>
            <w:r w:rsidRPr="00E0205C">
              <w:rPr>
                <w:rFonts w:eastAsia="Times New Roman"/>
                <w:szCs w:val="17"/>
                <w:lang w:val="en-US" w:eastAsia="en-AU"/>
              </w:rPr>
              <w:t>21 April 2011</w:t>
            </w:r>
          </w:p>
        </w:tc>
      </w:tr>
      <w:tr w:rsidR="00E0205C" w:rsidRPr="00E0205C" w:rsidTr="00046B75">
        <w:trPr>
          <w:jc w:val="center"/>
        </w:trPr>
        <w:tc>
          <w:tcPr>
            <w:tcW w:w="1287" w:type="pct"/>
            <w:hideMark/>
          </w:tcPr>
          <w:p w:rsidR="00E0205C" w:rsidRPr="00E0205C" w:rsidRDefault="00E0205C" w:rsidP="00683CF6">
            <w:pPr>
              <w:numPr>
                <w:ilvl w:val="0"/>
                <w:numId w:val="17"/>
              </w:numPr>
              <w:tabs>
                <w:tab w:val="clear" w:pos="360"/>
                <w:tab w:val="num" w:pos="810"/>
              </w:tabs>
              <w:spacing w:after="0"/>
              <w:jc w:val="left"/>
              <w:rPr>
                <w:rFonts w:eastAsia="Times New Roman"/>
                <w:szCs w:val="17"/>
                <w:lang w:val="en-US" w:eastAsia="en-AU"/>
              </w:rPr>
            </w:pPr>
            <w:r w:rsidRPr="00E0205C">
              <w:rPr>
                <w:rFonts w:eastAsia="Times New Roman"/>
                <w:szCs w:val="17"/>
                <w:lang w:val="en-US" w:eastAsia="en-AU"/>
              </w:rPr>
              <w:t>19 May 2011</w:t>
            </w:r>
          </w:p>
        </w:tc>
        <w:tc>
          <w:tcPr>
            <w:tcW w:w="1214" w:type="pct"/>
            <w:hideMark/>
          </w:tcPr>
          <w:p w:rsidR="00E0205C" w:rsidRPr="00E0205C" w:rsidRDefault="00E0205C" w:rsidP="00683CF6">
            <w:pPr>
              <w:numPr>
                <w:ilvl w:val="0"/>
                <w:numId w:val="17"/>
              </w:numPr>
              <w:tabs>
                <w:tab w:val="clear" w:pos="360"/>
              </w:tabs>
              <w:spacing w:after="0"/>
              <w:ind w:left="371" w:hanging="371"/>
              <w:jc w:val="left"/>
              <w:rPr>
                <w:rFonts w:eastAsia="Times New Roman"/>
                <w:szCs w:val="17"/>
                <w:lang w:val="en-US" w:eastAsia="en-AU"/>
              </w:rPr>
            </w:pPr>
            <w:r w:rsidRPr="00E0205C">
              <w:rPr>
                <w:rFonts w:eastAsia="Times New Roman"/>
                <w:szCs w:val="17"/>
                <w:lang w:val="en-US" w:eastAsia="en-AU"/>
              </w:rPr>
              <w:t>30 June 2011</w:t>
            </w:r>
          </w:p>
        </w:tc>
        <w:tc>
          <w:tcPr>
            <w:tcW w:w="1280" w:type="pct"/>
            <w:hideMark/>
          </w:tcPr>
          <w:p w:rsidR="00E0205C" w:rsidRPr="00E0205C" w:rsidRDefault="00E0205C" w:rsidP="00683CF6">
            <w:pPr>
              <w:numPr>
                <w:ilvl w:val="0"/>
                <w:numId w:val="17"/>
              </w:numPr>
              <w:tabs>
                <w:tab w:val="clear" w:pos="360"/>
              </w:tabs>
              <w:spacing w:after="0"/>
              <w:ind w:left="425" w:hanging="425"/>
              <w:jc w:val="left"/>
              <w:rPr>
                <w:rFonts w:eastAsia="Times New Roman"/>
                <w:szCs w:val="17"/>
                <w:lang w:val="en-US" w:eastAsia="en-AU"/>
              </w:rPr>
            </w:pPr>
            <w:r w:rsidRPr="00E0205C">
              <w:rPr>
                <w:rFonts w:eastAsia="Times New Roman"/>
                <w:szCs w:val="17"/>
                <w:lang w:val="en-US" w:eastAsia="en-AU"/>
              </w:rPr>
              <w:t>21 July 2011</w:t>
            </w:r>
          </w:p>
        </w:tc>
        <w:tc>
          <w:tcPr>
            <w:tcW w:w="1219" w:type="pct"/>
            <w:hideMark/>
          </w:tcPr>
          <w:p w:rsidR="00E0205C" w:rsidRPr="00E0205C" w:rsidRDefault="00E0205C" w:rsidP="00683CF6">
            <w:pPr>
              <w:numPr>
                <w:ilvl w:val="0"/>
                <w:numId w:val="17"/>
              </w:numPr>
              <w:tabs>
                <w:tab w:val="clear" w:pos="360"/>
              </w:tabs>
              <w:spacing w:after="0"/>
              <w:jc w:val="left"/>
              <w:rPr>
                <w:rFonts w:eastAsia="Times New Roman"/>
                <w:szCs w:val="17"/>
                <w:lang w:val="en-US" w:eastAsia="en-AU"/>
              </w:rPr>
            </w:pPr>
            <w:r w:rsidRPr="00E0205C">
              <w:rPr>
                <w:rFonts w:eastAsia="Times New Roman"/>
                <w:szCs w:val="17"/>
                <w:lang w:val="en-US" w:eastAsia="en-AU"/>
              </w:rPr>
              <w:t>8 September 2011</w:t>
            </w:r>
          </w:p>
        </w:tc>
      </w:tr>
      <w:tr w:rsidR="00E0205C" w:rsidRPr="00E0205C" w:rsidTr="00046B75">
        <w:trPr>
          <w:jc w:val="center"/>
        </w:trPr>
        <w:tc>
          <w:tcPr>
            <w:tcW w:w="1287" w:type="pct"/>
            <w:hideMark/>
          </w:tcPr>
          <w:p w:rsidR="00E0205C" w:rsidRPr="00E0205C" w:rsidRDefault="00E0205C" w:rsidP="00683CF6">
            <w:pPr>
              <w:numPr>
                <w:ilvl w:val="0"/>
                <w:numId w:val="17"/>
              </w:numPr>
              <w:tabs>
                <w:tab w:val="clear" w:pos="360"/>
                <w:tab w:val="num" w:pos="810"/>
              </w:tabs>
              <w:spacing w:after="0"/>
              <w:jc w:val="left"/>
              <w:rPr>
                <w:rFonts w:eastAsia="Times New Roman"/>
                <w:szCs w:val="17"/>
                <w:lang w:val="en-US" w:eastAsia="en-AU"/>
              </w:rPr>
            </w:pPr>
            <w:r w:rsidRPr="00E0205C">
              <w:rPr>
                <w:rFonts w:eastAsia="Times New Roman"/>
                <w:szCs w:val="17"/>
                <w:lang w:val="en-US" w:eastAsia="en-AU"/>
              </w:rPr>
              <w:t>10 November 2011</w:t>
            </w:r>
          </w:p>
        </w:tc>
        <w:tc>
          <w:tcPr>
            <w:tcW w:w="1214" w:type="pct"/>
            <w:hideMark/>
          </w:tcPr>
          <w:p w:rsidR="00E0205C" w:rsidRPr="00E0205C" w:rsidRDefault="00E0205C" w:rsidP="00683CF6">
            <w:pPr>
              <w:numPr>
                <w:ilvl w:val="0"/>
                <w:numId w:val="17"/>
              </w:numPr>
              <w:tabs>
                <w:tab w:val="clear" w:pos="360"/>
              </w:tabs>
              <w:spacing w:after="0"/>
              <w:ind w:left="371" w:hanging="371"/>
              <w:jc w:val="left"/>
              <w:rPr>
                <w:rFonts w:eastAsia="Times New Roman"/>
                <w:szCs w:val="17"/>
                <w:lang w:val="en-US" w:eastAsia="en-AU"/>
              </w:rPr>
            </w:pPr>
            <w:r w:rsidRPr="00E0205C">
              <w:rPr>
                <w:rFonts w:eastAsia="Times New Roman"/>
                <w:szCs w:val="17"/>
                <w:lang w:val="en-US" w:eastAsia="en-AU"/>
              </w:rPr>
              <w:t>24 November 2011</w:t>
            </w:r>
          </w:p>
        </w:tc>
        <w:tc>
          <w:tcPr>
            <w:tcW w:w="1280" w:type="pct"/>
            <w:hideMark/>
          </w:tcPr>
          <w:p w:rsidR="00E0205C" w:rsidRPr="00E0205C" w:rsidRDefault="00E0205C" w:rsidP="00683CF6">
            <w:pPr>
              <w:numPr>
                <w:ilvl w:val="0"/>
                <w:numId w:val="17"/>
              </w:numPr>
              <w:tabs>
                <w:tab w:val="clear" w:pos="360"/>
              </w:tabs>
              <w:spacing w:after="0"/>
              <w:ind w:left="425" w:hanging="425"/>
              <w:jc w:val="left"/>
              <w:rPr>
                <w:rFonts w:eastAsia="Times New Roman"/>
                <w:szCs w:val="17"/>
                <w:lang w:val="en-US" w:eastAsia="en-AU"/>
              </w:rPr>
            </w:pPr>
            <w:r w:rsidRPr="00E0205C">
              <w:rPr>
                <w:rFonts w:eastAsia="Times New Roman"/>
                <w:szCs w:val="17"/>
                <w:lang w:val="en-US" w:eastAsia="en-AU"/>
              </w:rPr>
              <w:t>1 December 2011</w:t>
            </w:r>
          </w:p>
        </w:tc>
        <w:tc>
          <w:tcPr>
            <w:tcW w:w="1219" w:type="pct"/>
            <w:hideMark/>
          </w:tcPr>
          <w:p w:rsidR="00E0205C" w:rsidRPr="00E0205C" w:rsidRDefault="00E0205C" w:rsidP="00683CF6">
            <w:pPr>
              <w:numPr>
                <w:ilvl w:val="0"/>
                <w:numId w:val="17"/>
              </w:numPr>
              <w:tabs>
                <w:tab w:val="clear" w:pos="360"/>
              </w:tabs>
              <w:spacing w:after="0"/>
              <w:jc w:val="left"/>
              <w:rPr>
                <w:rFonts w:eastAsia="Times New Roman"/>
                <w:szCs w:val="17"/>
                <w:lang w:val="en-US" w:eastAsia="en-AU"/>
              </w:rPr>
            </w:pPr>
            <w:r w:rsidRPr="00E0205C">
              <w:rPr>
                <w:rFonts w:eastAsia="Times New Roman"/>
                <w:szCs w:val="17"/>
                <w:lang w:val="en-US" w:eastAsia="en-AU"/>
              </w:rPr>
              <w:t>8 December 2011</w:t>
            </w:r>
          </w:p>
        </w:tc>
      </w:tr>
      <w:tr w:rsidR="00E0205C" w:rsidRPr="00E0205C" w:rsidTr="00046B75">
        <w:trPr>
          <w:jc w:val="center"/>
        </w:trPr>
        <w:tc>
          <w:tcPr>
            <w:tcW w:w="1287" w:type="pct"/>
            <w:hideMark/>
          </w:tcPr>
          <w:p w:rsidR="00E0205C" w:rsidRPr="00E0205C" w:rsidRDefault="00E0205C" w:rsidP="00683CF6">
            <w:pPr>
              <w:numPr>
                <w:ilvl w:val="0"/>
                <w:numId w:val="17"/>
              </w:numPr>
              <w:tabs>
                <w:tab w:val="clear" w:pos="360"/>
                <w:tab w:val="num" w:pos="810"/>
              </w:tabs>
              <w:spacing w:after="0"/>
              <w:jc w:val="left"/>
              <w:rPr>
                <w:rFonts w:eastAsia="Times New Roman"/>
                <w:szCs w:val="17"/>
                <w:lang w:val="en-US" w:eastAsia="en-AU"/>
              </w:rPr>
            </w:pPr>
            <w:r w:rsidRPr="00E0205C">
              <w:rPr>
                <w:rFonts w:eastAsia="Times New Roman"/>
                <w:szCs w:val="17"/>
                <w:lang w:val="en-US" w:eastAsia="en-AU"/>
              </w:rPr>
              <w:t>16 December 2011</w:t>
            </w:r>
          </w:p>
        </w:tc>
        <w:tc>
          <w:tcPr>
            <w:tcW w:w="1214" w:type="pct"/>
            <w:hideMark/>
          </w:tcPr>
          <w:p w:rsidR="00E0205C" w:rsidRPr="00E0205C" w:rsidRDefault="00E0205C" w:rsidP="00683CF6">
            <w:pPr>
              <w:numPr>
                <w:ilvl w:val="0"/>
                <w:numId w:val="17"/>
              </w:numPr>
              <w:tabs>
                <w:tab w:val="clear" w:pos="360"/>
              </w:tabs>
              <w:spacing w:after="0"/>
              <w:ind w:left="371" w:hanging="371"/>
              <w:jc w:val="left"/>
              <w:rPr>
                <w:rFonts w:eastAsia="Times New Roman"/>
                <w:szCs w:val="17"/>
                <w:lang w:val="en-US" w:eastAsia="en-AU"/>
              </w:rPr>
            </w:pPr>
            <w:r w:rsidRPr="00E0205C">
              <w:rPr>
                <w:rFonts w:eastAsia="Times New Roman"/>
                <w:szCs w:val="17"/>
                <w:lang w:val="en-US" w:eastAsia="en-AU"/>
              </w:rPr>
              <w:t>22 December 2011</w:t>
            </w:r>
          </w:p>
        </w:tc>
        <w:tc>
          <w:tcPr>
            <w:tcW w:w="1280" w:type="pct"/>
            <w:hideMark/>
          </w:tcPr>
          <w:p w:rsidR="00E0205C" w:rsidRPr="00E0205C" w:rsidRDefault="00E0205C" w:rsidP="00683CF6">
            <w:pPr>
              <w:numPr>
                <w:ilvl w:val="0"/>
                <w:numId w:val="17"/>
              </w:numPr>
              <w:tabs>
                <w:tab w:val="clear" w:pos="360"/>
              </w:tabs>
              <w:spacing w:after="0"/>
              <w:ind w:left="425" w:hanging="425"/>
              <w:jc w:val="left"/>
              <w:rPr>
                <w:rFonts w:eastAsia="Times New Roman"/>
                <w:szCs w:val="17"/>
                <w:lang w:val="en-US" w:eastAsia="en-AU"/>
              </w:rPr>
            </w:pPr>
            <w:r w:rsidRPr="00E0205C">
              <w:rPr>
                <w:rFonts w:eastAsia="Times New Roman"/>
                <w:szCs w:val="17"/>
                <w:lang w:val="en-US" w:eastAsia="en-AU"/>
              </w:rPr>
              <w:t>5 January 2012</w:t>
            </w:r>
          </w:p>
        </w:tc>
        <w:tc>
          <w:tcPr>
            <w:tcW w:w="1219" w:type="pct"/>
            <w:hideMark/>
          </w:tcPr>
          <w:p w:rsidR="00E0205C" w:rsidRPr="00E0205C" w:rsidRDefault="00E0205C" w:rsidP="00683CF6">
            <w:pPr>
              <w:numPr>
                <w:ilvl w:val="0"/>
                <w:numId w:val="17"/>
              </w:numPr>
              <w:tabs>
                <w:tab w:val="clear" w:pos="360"/>
              </w:tabs>
              <w:spacing w:after="0"/>
              <w:jc w:val="left"/>
              <w:rPr>
                <w:rFonts w:eastAsia="Times New Roman"/>
                <w:szCs w:val="17"/>
                <w:lang w:val="en-US" w:eastAsia="en-AU"/>
              </w:rPr>
            </w:pPr>
            <w:r w:rsidRPr="00E0205C">
              <w:rPr>
                <w:rFonts w:eastAsia="Times New Roman"/>
                <w:szCs w:val="17"/>
                <w:lang w:val="en-US" w:eastAsia="en-AU"/>
              </w:rPr>
              <w:t>19 January 2012</w:t>
            </w:r>
          </w:p>
        </w:tc>
      </w:tr>
      <w:tr w:rsidR="00E0205C" w:rsidRPr="00E0205C" w:rsidTr="00046B75">
        <w:trPr>
          <w:jc w:val="center"/>
        </w:trPr>
        <w:tc>
          <w:tcPr>
            <w:tcW w:w="1287" w:type="pct"/>
            <w:hideMark/>
          </w:tcPr>
          <w:p w:rsidR="00E0205C" w:rsidRPr="00E0205C" w:rsidRDefault="00E0205C" w:rsidP="00683CF6">
            <w:pPr>
              <w:numPr>
                <w:ilvl w:val="0"/>
                <w:numId w:val="17"/>
              </w:numPr>
              <w:tabs>
                <w:tab w:val="clear" w:pos="360"/>
                <w:tab w:val="num" w:pos="810"/>
              </w:tabs>
              <w:spacing w:after="0"/>
              <w:jc w:val="left"/>
              <w:rPr>
                <w:rFonts w:eastAsia="Times New Roman"/>
                <w:szCs w:val="17"/>
                <w:lang w:val="en-US" w:eastAsia="en-AU"/>
              </w:rPr>
            </w:pPr>
            <w:r w:rsidRPr="00E0205C">
              <w:rPr>
                <w:rFonts w:eastAsia="Times New Roman"/>
                <w:szCs w:val="17"/>
                <w:lang w:val="en-US" w:eastAsia="en-AU"/>
              </w:rPr>
              <w:t>1 March 2012</w:t>
            </w:r>
          </w:p>
        </w:tc>
        <w:tc>
          <w:tcPr>
            <w:tcW w:w="1214" w:type="pct"/>
            <w:hideMark/>
          </w:tcPr>
          <w:p w:rsidR="00E0205C" w:rsidRPr="00E0205C" w:rsidRDefault="00E0205C" w:rsidP="00683CF6">
            <w:pPr>
              <w:numPr>
                <w:ilvl w:val="0"/>
                <w:numId w:val="17"/>
              </w:numPr>
              <w:tabs>
                <w:tab w:val="clear" w:pos="360"/>
              </w:tabs>
              <w:spacing w:after="0"/>
              <w:ind w:left="371" w:hanging="371"/>
              <w:jc w:val="left"/>
              <w:rPr>
                <w:rFonts w:eastAsia="Times New Roman"/>
                <w:szCs w:val="17"/>
                <w:lang w:val="en-US" w:eastAsia="en-AU"/>
              </w:rPr>
            </w:pPr>
            <w:r w:rsidRPr="00E0205C">
              <w:rPr>
                <w:rFonts w:eastAsia="Times New Roman"/>
                <w:szCs w:val="17"/>
                <w:lang w:val="en-US" w:eastAsia="en-AU"/>
              </w:rPr>
              <w:t>29 March 2012</w:t>
            </w:r>
          </w:p>
        </w:tc>
        <w:tc>
          <w:tcPr>
            <w:tcW w:w="1280" w:type="pct"/>
            <w:hideMark/>
          </w:tcPr>
          <w:p w:rsidR="00E0205C" w:rsidRPr="00E0205C" w:rsidRDefault="00E0205C" w:rsidP="00683CF6">
            <w:pPr>
              <w:numPr>
                <w:ilvl w:val="0"/>
                <w:numId w:val="17"/>
              </w:numPr>
              <w:tabs>
                <w:tab w:val="clear" w:pos="360"/>
              </w:tabs>
              <w:spacing w:after="0"/>
              <w:ind w:left="425" w:hanging="425"/>
              <w:jc w:val="left"/>
              <w:rPr>
                <w:rFonts w:eastAsia="Times New Roman"/>
                <w:szCs w:val="17"/>
                <w:lang w:val="en-US" w:eastAsia="en-AU"/>
              </w:rPr>
            </w:pPr>
            <w:r w:rsidRPr="00E0205C">
              <w:rPr>
                <w:rFonts w:eastAsia="Times New Roman"/>
                <w:szCs w:val="17"/>
                <w:lang w:val="en-US" w:eastAsia="en-AU"/>
              </w:rPr>
              <w:t>24 May 2012</w:t>
            </w:r>
          </w:p>
        </w:tc>
        <w:tc>
          <w:tcPr>
            <w:tcW w:w="1219" w:type="pct"/>
            <w:hideMark/>
          </w:tcPr>
          <w:p w:rsidR="00E0205C" w:rsidRPr="00E0205C" w:rsidRDefault="00E0205C" w:rsidP="00683CF6">
            <w:pPr>
              <w:numPr>
                <w:ilvl w:val="0"/>
                <w:numId w:val="17"/>
              </w:numPr>
              <w:tabs>
                <w:tab w:val="clear" w:pos="360"/>
              </w:tabs>
              <w:spacing w:after="0"/>
              <w:jc w:val="left"/>
              <w:rPr>
                <w:rFonts w:eastAsia="Times New Roman"/>
                <w:szCs w:val="17"/>
                <w:lang w:val="en-US" w:eastAsia="en-AU"/>
              </w:rPr>
            </w:pPr>
            <w:r w:rsidRPr="00E0205C">
              <w:rPr>
                <w:rFonts w:eastAsia="Times New Roman"/>
                <w:szCs w:val="17"/>
                <w:lang w:val="en-US" w:eastAsia="en-AU"/>
              </w:rPr>
              <w:t>31 May 2012</w:t>
            </w:r>
          </w:p>
        </w:tc>
      </w:tr>
      <w:tr w:rsidR="00E0205C" w:rsidRPr="00E0205C" w:rsidTr="00046B75">
        <w:trPr>
          <w:jc w:val="center"/>
        </w:trPr>
        <w:tc>
          <w:tcPr>
            <w:tcW w:w="1287" w:type="pct"/>
            <w:hideMark/>
          </w:tcPr>
          <w:p w:rsidR="00E0205C" w:rsidRPr="00E0205C" w:rsidRDefault="00E0205C" w:rsidP="00683CF6">
            <w:pPr>
              <w:numPr>
                <w:ilvl w:val="0"/>
                <w:numId w:val="17"/>
              </w:numPr>
              <w:tabs>
                <w:tab w:val="clear" w:pos="360"/>
                <w:tab w:val="num" w:pos="810"/>
              </w:tabs>
              <w:spacing w:after="0"/>
              <w:jc w:val="left"/>
              <w:rPr>
                <w:rFonts w:eastAsia="Times New Roman"/>
                <w:szCs w:val="17"/>
                <w:lang w:val="en-US" w:eastAsia="en-AU"/>
              </w:rPr>
            </w:pPr>
            <w:r w:rsidRPr="00E0205C">
              <w:rPr>
                <w:rFonts w:eastAsia="Times New Roman"/>
                <w:szCs w:val="17"/>
                <w:lang w:val="en-US" w:eastAsia="en-AU"/>
              </w:rPr>
              <w:t>7 June 2012</w:t>
            </w:r>
          </w:p>
        </w:tc>
        <w:tc>
          <w:tcPr>
            <w:tcW w:w="1214" w:type="pct"/>
            <w:hideMark/>
          </w:tcPr>
          <w:p w:rsidR="00E0205C" w:rsidRPr="00E0205C" w:rsidRDefault="00E0205C" w:rsidP="00683CF6">
            <w:pPr>
              <w:numPr>
                <w:ilvl w:val="0"/>
                <w:numId w:val="17"/>
              </w:numPr>
              <w:tabs>
                <w:tab w:val="clear" w:pos="360"/>
              </w:tabs>
              <w:spacing w:after="0"/>
              <w:ind w:left="371" w:hanging="371"/>
              <w:jc w:val="left"/>
              <w:rPr>
                <w:rFonts w:eastAsia="Times New Roman"/>
                <w:szCs w:val="17"/>
                <w:lang w:val="en-US" w:eastAsia="en-AU"/>
              </w:rPr>
            </w:pPr>
            <w:r w:rsidRPr="00E0205C">
              <w:rPr>
                <w:rFonts w:eastAsia="Times New Roman"/>
                <w:szCs w:val="17"/>
                <w:lang w:val="en-US" w:eastAsia="en-AU"/>
              </w:rPr>
              <w:t>14 June 2012</w:t>
            </w:r>
          </w:p>
        </w:tc>
        <w:tc>
          <w:tcPr>
            <w:tcW w:w="1280" w:type="pct"/>
            <w:hideMark/>
          </w:tcPr>
          <w:p w:rsidR="00E0205C" w:rsidRPr="00E0205C" w:rsidRDefault="00E0205C" w:rsidP="00683CF6">
            <w:pPr>
              <w:numPr>
                <w:ilvl w:val="0"/>
                <w:numId w:val="17"/>
              </w:numPr>
              <w:tabs>
                <w:tab w:val="clear" w:pos="360"/>
              </w:tabs>
              <w:spacing w:after="0"/>
              <w:ind w:left="425" w:hanging="425"/>
              <w:jc w:val="left"/>
              <w:rPr>
                <w:rFonts w:eastAsia="Times New Roman"/>
                <w:szCs w:val="17"/>
                <w:lang w:val="en-US" w:eastAsia="en-AU"/>
              </w:rPr>
            </w:pPr>
            <w:r w:rsidRPr="00E0205C">
              <w:rPr>
                <w:rFonts w:eastAsia="Times New Roman"/>
                <w:szCs w:val="17"/>
                <w:lang w:val="en-US" w:eastAsia="en-AU"/>
              </w:rPr>
              <w:t>21 June 2012</w:t>
            </w:r>
          </w:p>
        </w:tc>
        <w:tc>
          <w:tcPr>
            <w:tcW w:w="1219" w:type="pct"/>
            <w:hideMark/>
          </w:tcPr>
          <w:p w:rsidR="00E0205C" w:rsidRPr="00E0205C" w:rsidRDefault="00E0205C" w:rsidP="00683CF6">
            <w:pPr>
              <w:numPr>
                <w:ilvl w:val="0"/>
                <w:numId w:val="17"/>
              </w:numPr>
              <w:tabs>
                <w:tab w:val="clear" w:pos="360"/>
              </w:tabs>
              <w:spacing w:after="0"/>
              <w:jc w:val="left"/>
              <w:rPr>
                <w:rFonts w:eastAsia="Times New Roman"/>
                <w:szCs w:val="17"/>
                <w:lang w:val="en-US" w:eastAsia="en-AU"/>
              </w:rPr>
            </w:pPr>
            <w:r w:rsidRPr="00E0205C">
              <w:rPr>
                <w:rFonts w:eastAsia="Times New Roman"/>
                <w:szCs w:val="17"/>
                <w:lang w:val="en-US" w:eastAsia="en-AU"/>
              </w:rPr>
              <w:t>28 June 2012</w:t>
            </w:r>
          </w:p>
        </w:tc>
      </w:tr>
      <w:tr w:rsidR="00E0205C" w:rsidRPr="00E0205C" w:rsidTr="00046B75">
        <w:trPr>
          <w:jc w:val="center"/>
        </w:trPr>
        <w:tc>
          <w:tcPr>
            <w:tcW w:w="1287" w:type="pct"/>
            <w:hideMark/>
          </w:tcPr>
          <w:p w:rsidR="00E0205C" w:rsidRPr="00E0205C" w:rsidRDefault="00E0205C" w:rsidP="00683CF6">
            <w:pPr>
              <w:numPr>
                <w:ilvl w:val="0"/>
                <w:numId w:val="17"/>
              </w:numPr>
              <w:tabs>
                <w:tab w:val="clear" w:pos="360"/>
                <w:tab w:val="num" w:pos="810"/>
              </w:tabs>
              <w:spacing w:after="0"/>
              <w:jc w:val="left"/>
              <w:rPr>
                <w:rFonts w:eastAsia="Times New Roman"/>
                <w:szCs w:val="17"/>
                <w:lang w:val="en-US" w:eastAsia="en-AU"/>
              </w:rPr>
            </w:pPr>
            <w:r w:rsidRPr="00E0205C">
              <w:rPr>
                <w:rFonts w:eastAsia="Times New Roman"/>
                <w:szCs w:val="17"/>
                <w:lang w:val="en-US" w:eastAsia="en-AU"/>
              </w:rPr>
              <w:t>5 July 2012</w:t>
            </w:r>
          </w:p>
        </w:tc>
        <w:tc>
          <w:tcPr>
            <w:tcW w:w="1214" w:type="pct"/>
            <w:hideMark/>
          </w:tcPr>
          <w:p w:rsidR="00E0205C" w:rsidRPr="00E0205C" w:rsidRDefault="00E0205C" w:rsidP="00683CF6">
            <w:pPr>
              <w:numPr>
                <w:ilvl w:val="0"/>
                <w:numId w:val="17"/>
              </w:numPr>
              <w:tabs>
                <w:tab w:val="clear" w:pos="360"/>
              </w:tabs>
              <w:spacing w:after="0"/>
              <w:ind w:left="371" w:hanging="371"/>
              <w:jc w:val="left"/>
              <w:rPr>
                <w:rFonts w:eastAsia="Times New Roman"/>
                <w:szCs w:val="17"/>
                <w:lang w:val="en-US" w:eastAsia="en-AU"/>
              </w:rPr>
            </w:pPr>
            <w:r w:rsidRPr="00E0205C">
              <w:rPr>
                <w:rFonts w:eastAsia="Times New Roman"/>
                <w:szCs w:val="17"/>
                <w:lang w:val="en-US" w:eastAsia="en-AU"/>
              </w:rPr>
              <w:t>12 July 2012</w:t>
            </w:r>
          </w:p>
        </w:tc>
        <w:tc>
          <w:tcPr>
            <w:tcW w:w="1280" w:type="pct"/>
            <w:hideMark/>
          </w:tcPr>
          <w:p w:rsidR="00E0205C" w:rsidRPr="00E0205C" w:rsidRDefault="00E0205C" w:rsidP="00683CF6">
            <w:pPr>
              <w:numPr>
                <w:ilvl w:val="0"/>
                <w:numId w:val="17"/>
              </w:numPr>
              <w:tabs>
                <w:tab w:val="clear" w:pos="360"/>
              </w:tabs>
              <w:spacing w:after="0"/>
              <w:ind w:left="425" w:hanging="425"/>
              <w:jc w:val="left"/>
              <w:rPr>
                <w:rFonts w:eastAsia="Times New Roman"/>
                <w:szCs w:val="17"/>
                <w:lang w:val="en-US" w:eastAsia="en-AU"/>
              </w:rPr>
            </w:pPr>
            <w:r w:rsidRPr="00E0205C">
              <w:rPr>
                <w:rFonts w:eastAsia="Times New Roman"/>
                <w:szCs w:val="17"/>
                <w:lang w:val="en-US" w:eastAsia="en-AU"/>
              </w:rPr>
              <w:t>19 July 2012</w:t>
            </w:r>
          </w:p>
        </w:tc>
        <w:tc>
          <w:tcPr>
            <w:tcW w:w="1219" w:type="pct"/>
            <w:hideMark/>
          </w:tcPr>
          <w:p w:rsidR="00E0205C" w:rsidRPr="00E0205C" w:rsidRDefault="00E0205C" w:rsidP="00683CF6">
            <w:pPr>
              <w:numPr>
                <w:ilvl w:val="0"/>
                <w:numId w:val="17"/>
              </w:numPr>
              <w:tabs>
                <w:tab w:val="clear" w:pos="360"/>
              </w:tabs>
              <w:spacing w:after="0"/>
              <w:jc w:val="left"/>
              <w:rPr>
                <w:rFonts w:eastAsia="Times New Roman"/>
                <w:szCs w:val="17"/>
                <w:lang w:val="en-US" w:eastAsia="en-AU"/>
              </w:rPr>
            </w:pPr>
            <w:r w:rsidRPr="00E0205C">
              <w:rPr>
                <w:rFonts w:eastAsia="Times New Roman"/>
                <w:szCs w:val="17"/>
                <w:lang w:val="en-US" w:eastAsia="en-AU"/>
              </w:rPr>
              <w:t>2 August 2012</w:t>
            </w:r>
          </w:p>
        </w:tc>
      </w:tr>
      <w:tr w:rsidR="00E0205C" w:rsidRPr="00E0205C" w:rsidTr="00046B75">
        <w:trPr>
          <w:jc w:val="center"/>
        </w:trPr>
        <w:tc>
          <w:tcPr>
            <w:tcW w:w="1287" w:type="pct"/>
            <w:hideMark/>
          </w:tcPr>
          <w:p w:rsidR="00E0205C" w:rsidRPr="00E0205C" w:rsidRDefault="00E0205C" w:rsidP="00683CF6">
            <w:pPr>
              <w:numPr>
                <w:ilvl w:val="0"/>
                <w:numId w:val="17"/>
              </w:numPr>
              <w:tabs>
                <w:tab w:val="clear" w:pos="360"/>
                <w:tab w:val="num" w:pos="810"/>
              </w:tabs>
              <w:spacing w:after="0"/>
              <w:jc w:val="left"/>
              <w:rPr>
                <w:rFonts w:eastAsia="Times New Roman"/>
                <w:szCs w:val="17"/>
                <w:lang w:val="en-US" w:eastAsia="en-AU"/>
              </w:rPr>
            </w:pPr>
            <w:r w:rsidRPr="00E0205C">
              <w:rPr>
                <w:rFonts w:eastAsia="Times New Roman"/>
                <w:szCs w:val="17"/>
                <w:lang w:val="en-US" w:eastAsia="en-AU"/>
              </w:rPr>
              <w:t>9 August 2012</w:t>
            </w:r>
          </w:p>
        </w:tc>
        <w:tc>
          <w:tcPr>
            <w:tcW w:w="1214" w:type="pct"/>
            <w:hideMark/>
          </w:tcPr>
          <w:p w:rsidR="00E0205C" w:rsidRPr="00E0205C" w:rsidRDefault="00E0205C" w:rsidP="00683CF6">
            <w:pPr>
              <w:numPr>
                <w:ilvl w:val="0"/>
                <w:numId w:val="17"/>
              </w:numPr>
              <w:tabs>
                <w:tab w:val="clear" w:pos="360"/>
              </w:tabs>
              <w:spacing w:after="0"/>
              <w:ind w:left="371" w:hanging="371"/>
              <w:jc w:val="left"/>
              <w:rPr>
                <w:rFonts w:eastAsia="Times New Roman"/>
                <w:szCs w:val="17"/>
                <w:lang w:val="en-US" w:eastAsia="en-AU"/>
              </w:rPr>
            </w:pPr>
            <w:r w:rsidRPr="00E0205C">
              <w:rPr>
                <w:rFonts w:eastAsia="Times New Roman"/>
                <w:szCs w:val="17"/>
                <w:lang w:val="en-US" w:eastAsia="en-AU"/>
              </w:rPr>
              <w:t>30 August 2012</w:t>
            </w:r>
          </w:p>
        </w:tc>
        <w:tc>
          <w:tcPr>
            <w:tcW w:w="1280" w:type="pct"/>
            <w:hideMark/>
          </w:tcPr>
          <w:p w:rsidR="00E0205C" w:rsidRPr="00E0205C" w:rsidRDefault="00E0205C" w:rsidP="00683CF6">
            <w:pPr>
              <w:numPr>
                <w:ilvl w:val="0"/>
                <w:numId w:val="17"/>
              </w:numPr>
              <w:tabs>
                <w:tab w:val="clear" w:pos="360"/>
              </w:tabs>
              <w:spacing w:after="0"/>
              <w:ind w:left="425" w:hanging="425"/>
              <w:jc w:val="left"/>
              <w:rPr>
                <w:rFonts w:eastAsia="Times New Roman"/>
                <w:szCs w:val="17"/>
                <w:lang w:val="en-US" w:eastAsia="en-AU"/>
              </w:rPr>
            </w:pPr>
            <w:r w:rsidRPr="00E0205C">
              <w:rPr>
                <w:rFonts w:eastAsia="Times New Roman"/>
                <w:szCs w:val="17"/>
                <w:lang w:val="en-US" w:eastAsia="en-AU"/>
              </w:rPr>
              <w:t>13 September 2012</w:t>
            </w:r>
          </w:p>
        </w:tc>
        <w:tc>
          <w:tcPr>
            <w:tcW w:w="1219" w:type="pct"/>
            <w:hideMark/>
          </w:tcPr>
          <w:p w:rsidR="00E0205C" w:rsidRPr="00E0205C" w:rsidRDefault="00E0205C" w:rsidP="00683CF6">
            <w:pPr>
              <w:numPr>
                <w:ilvl w:val="0"/>
                <w:numId w:val="17"/>
              </w:numPr>
              <w:tabs>
                <w:tab w:val="clear" w:pos="360"/>
              </w:tabs>
              <w:spacing w:after="0"/>
              <w:jc w:val="left"/>
              <w:rPr>
                <w:rFonts w:eastAsia="Times New Roman"/>
                <w:szCs w:val="17"/>
                <w:lang w:val="en-US" w:eastAsia="en-AU"/>
              </w:rPr>
            </w:pPr>
            <w:r w:rsidRPr="00E0205C">
              <w:rPr>
                <w:rFonts w:eastAsia="Times New Roman"/>
                <w:szCs w:val="17"/>
                <w:lang w:val="en-US" w:eastAsia="en-AU"/>
              </w:rPr>
              <w:t>4 October 2012</w:t>
            </w:r>
          </w:p>
        </w:tc>
      </w:tr>
      <w:tr w:rsidR="00E0205C" w:rsidRPr="00E0205C" w:rsidTr="00046B75">
        <w:trPr>
          <w:jc w:val="center"/>
        </w:trPr>
        <w:tc>
          <w:tcPr>
            <w:tcW w:w="1287" w:type="pct"/>
            <w:hideMark/>
          </w:tcPr>
          <w:p w:rsidR="00E0205C" w:rsidRPr="00E0205C" w:rsidRDefault="00E0205C" w:rsidP="00683CF6">
            <w:pPr>
              <w:numPr>
                <w:ilvl w:val="0"/>
                <w:numId w:val="17"/>
              </w:numPr>
              <w:tabs>
                <w:tab w:val="clear" w:pos="360"/>
                <w:tab w:val="num" w:pos="810"/>
              </w:tabs>
              <w:spacing w:after="0"/>
              <w:jc w:val="left"/>
              <w:rPr>
                <w:rFonts w:eastAsia="Times New Roman"/>
                <w:szCs w:val="17"/>
                <w:lang w:val="en-US" w:eastAsia="en-AU"/>
              </w:rPr>
            </w:pPr>
            <w:r w:rsidRPr="00E0205C">
              <w:rPr>
                <w:rFonts w:eastAsia="Times New Roman"/>
                <w:szCs w:val="17"/>
                <w:lang w:val="en-US" w:eastAsia="en-AU"/>
              </w:rPr>
              <w:t>18 October 2012</w:t>
            </w:r>
          </w:p>
        </w:tc>
        <w:tc>
          <w:tcPr>
            <w:tcW w:w="1214" w:type="pct"/>
            <w:hideMark/>
          </w:tcPr>
          <w:p w:rsidR="00E0205C" w:rsidRPr="00E0205C" w:rsidRDefault="00E0205C" w:rsidP="00683CF6">
            <w:pPr>
              <w:numPr>
                <w:ilvl w:val="0"/>
                <w:numId w:val="17"/>
              </w:numPr>
              <w:tabs>
                <w:tab w:val="clear" w:pos="360"/>
              </w:tabs>
              <w:spacing w:after="0"/>
              <w:ind w:left="371" w:hanging="371"/>
              <w:jc w:val="left"/>
              <w:rPr>
                <w:rFonts w:eastAsia="Times New Roman"/>
                <w:szCs w:val="17"/>
                <w:lang w:val="en-US" w:eastAsia="en-AU"/>
              </w:rPr>
            </w:pPr>
            <w:r w:rsidRPr="00E0205C">
              <w:rPr>
                <w:rFonts w:eastAsia="Times New Roman"/>
                <w:szCs w:val="17"/>
                <w:lang w:val="en-US" w:eastAsia="en-AU"/>
              </w:rPr>
              <w:t>25 October 2012</w:t>
            </w:r>
          </w:p>
        </w:tc>
        <w:tc>
          <w:tcPr>
            <w:tcW w:w="1280" w:type="pct"/>
            <w:hideMark/>
          </w:tcPr>
          <w:p w:rsidR="00E0205C" w:rsidRPr="00E0205C" w:rsidRDefault="00E0205C" w:rsidP="00683CF6">
            <w:pPr>
              <w:numPr>
                <w:ilvl w:val="0"/>
                <w:numId w:val="17"/>
              </w:numPr>
              <w:tabs>
                <w:tab w:val="clear" w:pos="360"/>
              </w:tabs>
              <w:spacing w:after="0"/>
              <w:ind w:left="425" w:hanging="425"/>
              <w:jc w:val="left"/>
              <w:rPr>
                <w:rFonts w:eastAsia="Times New Roman"/>
                <w:szCs w:val="17"/>
                <w:lang w:val="en-US" w:eastAsia="en-AU"/>
              </w:rPr>
            </w:pPr>
            <w:r w:rsidRPr="00E0205C">
              <w:rPr>
                <w:rFonts w:eastAsia="Times New Roman"/>
                <w:szCs w:val="17"/>
                <w:lang w:val="en-US" w:eastAsia="en-AU"/>
              </w:rPr>
              <w:t>8 November 2012</w:t>
            </w:r>
          </w:p>
        </w:tc>
        <w:tc>
          <w:tcPr>
            <w:tcW w:w="1219" w:type="pct"/>
            <w:hideMark/>
          </w:tcPr>
          <w:p w:rsidR="00E0205C" w:rsidRPr="00E0205C" w:rsidRDefault="00E0205C" w:rsidP="00683CF6">
            <w:pPr>
              <w:numPr>
                <w:ilvl w:val="0"/>
                <w:numId w:val="17"/>
              </w:numPr>
              <w:tabs>
                <w:tab w:val="clear" w:pos="360"/>
              </w:tabs>
              <w:spacing w:after="0"/>
              <w:jc w:val="left"/>
              <w:rPr>
                <w:rFonts w:eastAsia="Times New Roman"/>
                <w:szCs w:val="17"/>
                <w:lang w:val="en-US" w:eastAsia="en-AU"/>
              </w:rPr>
            </w:pPr>
            <w:r w:rsidRPr="00E0205C">
              <w:rPr>
                <w:rFonts w:eastAsia="Times New Roman"/>
                <w:szCs w:val="17"/>
                <w:lang w:val="en-US" w:eastAsia="en-AU"/>
              </w:rPr>
              <w:t>29 November 2012</w:t>
            </w:r>
          </w:p>
        </w:tc>
      </w:tr>
      <w:tr w:rsidR="00E0205C" w:rsidRPr="00E0205C" w:rsidTr="00046B75">
        <w:trPr>
          <w:jc w:val="center"/>
        </w:trPr>
        <w:tc>
          <w:tcPr>
            <w:tcW w:w="1287" w:type="pct"/>
            <w:hideMark/>
          </w:tcPr>
          <w:p w:rsidR="00E0205C" w:rsidRPr="00E0205C" w:rsidRDefault="00E0205C" w:rsidP="00683CF6">
            <w:pPr>
              <w:numPr>
                <w:ilvl w:val="0"/>
                <w:numId w:val="17"/>
              </w:numPr>
              <w:tabs>
                <w:tab w:val="clear" w:pos="360"/>
                <w:tab w:val="num" w:pos="810"/>
              </w:tabs>
              <w:spacing w:after="0"/>
              <w:jc w:val="left"/>
              <w:rPr>
                <w:rFonts w:eastAsia="Times New Roman"/>
                <w:szCs w:val="17"/>
                <w:lang w:val="en-US" w:eastAsia="en-AU"/>
              </w:rPr>
            </w:pPr>
            <w:r w:rsidRPr="00E0205C">
              <w:rPr>
                <w:rFonts w:eastAsia="Times New Roman"/>
                <w:szCs w:val="17"/>
                <w:lang w:val="en-US" w:eastAsia="en-AU"/>
              </w:rPr>
              <w:t>13 December 2012</w:t>
            </w:r>
          </w:p>
        </w:tc>
        <w:tc>
          <w:tcPr>
            <w:tcW w:w="1214" w:type="pct"/>
            <w:hideMark/>
          </w:tcPr>
          <w:p w:rsidR="00E0205C" w:rsidRPr="00E0205C" w:rsidRDefault="00E0205C" w:rsidP="00683CF6">
            <w:pPr>
              <w:numPr>
                <w:ilvl w:val="0"/>
                <w:numId w:val="17"/>
              </w:numPr>
              <w:tabs>
                <w:tab w:val="clear" w:pos="360"/>
              </w:tabs>
              <w:spacing w:after="0"/>
              <w:ind w:left="371" w:hanging="371"/>
              <w:jc w:val="left"/>
              <w:rPr>
                <w:rFonts w:eastAsia="Times New Roman"/>
                <w:szCs w:val="17"/>
                <w:lang w:val="en-US" w:eastAsia="en-AU"/>
              </w:rPr>
            </w:pPr>
            <w:r w:rsidRPr="00E0205C">
              <w:rPr>
                <w:rFonts w:eastAsia="Times New Roman"/>
                <w:szCs w:val="17"/>
                <w:lang w:val="en-US" w:eastAsia="en-AU"/>
              </w:rPr>
              <w:t>25 January 2013</w:t>
            </w:r>
          </w:p>
        </w:tc>
        <w:tc>
          <w:tcPr>
            <w:tcW w:w="1280" w:type="pct"/>
            <w:hideMark/>
          </w:tcPr>
          <w:p w:rsidR="00E0205C" w:rsidRPr="00E0205C" w:rsidRDefault="00E0205C" w:rsidP="00683CF6">
            <w:pPr>
              <w:numPr>
                <w:ilvl w:val="0"/>
                <w:numId w:val="17"/>
              </w:numPr>
              <w:tabs>
                <w:tab w:val="clear" w:pos="360"/>
              </w:tabs>
              <w:spacing w:after="0"/>
              <w:ind w:left="425" w:hanging="425"/>
              <w:jc w:val="left"/>
              <w:rPr>
                <w:rFonts w:eastAsia="Times New Roman"/>
                <w:szCs w:val="17"/>
                <w:lang w:val="en-US" w:eastAsia="en-AU"/>
              </w:rPr>
            </w:pPr>
            <w:r w:rsidRPr="00E0205C">
              <w:rPr>
                <w:rFonts w:eastAsia="Times New Roman"/>
                <w:szCs w:val="17"/>
                <w:lang w:val="en-US" w:eastAsia="en-AU"/>
              </w:rPr>
              <w:t>14 February 2013</w:t>
            </w:r>
          </w:p>
        </w:tc>
        <w:tc>
          <w:tcPr>
            <w:tcW w:w="1219" w:type="pct"/>
            <w:hideMark/>
          </w:tcPr>
          <w:p w:rsidR="00E0205C" w:rsidRPr="00E0205C" w:rsidRDefault="00E0205C" w:rsidP="00683CF6">
            <w:pPr>
              <w:numPr>
                <w:ilvl w:val="0"/>
                <w:numId w:val="17"/>
              </w:numPr>
              <w:tabs>
                <w:tab w:val="clear" w:pos="360"/>
              </w:tabs>
              <w:spacing w:after="0"/>
              <w:jc w:val="left"/>
              <w:rPr>
                <w:rFonts w:eastAsia="Times New Roman"/>
                <w:szCs w:val="17"/>
                <w:lang w:val="en-US" w:eastAsia="en-AU"/>
              </w:rPr>
            </w:pPr>
            <w:r w:rsidRPr="00E0205C">
              <w:rPr>
                <w:rFonts w:eastAsia="Times New Roman"/>
                <w:szCs w:val="17"/>
                <w:lang w:val="en-US" w:eastAsia="en-AU"/>
              </w:rPr>
              <w:t>21 February 2013</w:t>
            </w:r>
          </w:p>
        </w:tc>
      </w:tr>
      <w:tr w:rsidR="00E0205C" w:rsidRPr="00E0205C" w:rsidTr="00046B75">
        <w:trPr>
          <w:jc w:val="center"/>
        </w:trPr>
        <w:tc>
          <w:tcPr>
            <w:tcW w:w="1287" w:type="pct"/>
            <w:hideMark/>
          </w:tcPr>
          <w:p w:rsidR="00E0205C" w:rsidRPr="00E0205C" w:rsidRDefault="00E0205C" w:rsidP="00683CF6">
            <w:pPr>
              <w:numPr>
                <w:ilvl w:val="0"/>
                <w:numId w:val="17"/>
              </w:numPr>
              <w:tabs>
                <w:tab w:val="clear" w:pos="360"/>
                <w:tab w:val="num" w:pos="810"/>
              </w:tabs>
              <w:spacing w:after="0"/>
              <w:jc w:val="left"/>
              <w:rPr>
                <w:rFonts w:eastAsia="Times New Roman"/>
                <w:szCs w:val="17"/>
                <w:lang w:val="en-US" w:eastAsia="en-AU"/>
              </w:rPr>
            </w:pPr>
            <w:r w:rsidRPr="00E0205C">
              <w:rPr>
                <w:rFonts w:eastAsia="Times New Roman"/>
                <w:szCs w:val="17"/>
                <w:lang w:val="en-US" w:eastAsia="en-AU"/>
              </w:rPr>
              <w:t>28 February 2013</w:t>
            </w:r>
          </w:p>
        </w:tc>
        <w:tc>
          <w:tcPr>
            <w:tcW w:w="1214" w:type="pct"/>
            <w:hideMark/>
          </w:tcPr>
          <w:p w:rsidR="00E0205C" w:rsidRPr="00E0205C" w:rsidRDefault="00E0205C" w:rsidP="00683CF6">
            <w:pPr>
              <w:numPr>
                <w:ilvl w:val="0"/>
                <w:numId w:val="17"/>
              </w:numPr>
              <w:tabs>
                <w:tab w:val="clear" w:pos="360"/>
              </w:tabs>
              <w:spacing w:after="0"/>
              <w:ind w:left="371" w:hanging="371"/>
              <w:jc w:val="left"/>
              <w:rPr>
                <w:rFonts w:eastAsia="Times New Roman"/>
                <w:szCs w:val="17"/>
                <w:lang w:val="en-US" w:eastAsia="en-AU"/>
              </w:rPr>
            </w:pPr>
            <w:r w:rsidRPr="00E0205C">
              <w:rPr>
                <w:rFonts w:eastAsia="Times New Roman"/>
                <w:szCs w:val="17"/>
                <w:lang w:val="en-US" w:eastAsia="en-AU"/>
              </w:rPr>
              <w:t>7 March 2013</w:t>
            </w:r>
          </w:p>
        </w:tc>
        <w:tc>
          <w:tcPr>
            <w:tcW w:w="1280" w:type="pct"/>
            <w:hideMark/>
          </w:tcPr>
          <w:p w:rsidR="00E0205C" w:rsidRPr="00E0205C" w:rsidRDefault="00E0205C" w:rsidP="00683CF6">
            <w:pPr>
              <w:numPr>
                <w:ilvl w:val="0"/>
                <w:numId w:val="17"/>
              </w:numPr>
              <w:tabs>
                <w:tab w:val="clear" w:pos="360"/>
              </w:tabs>
              <w:spacing w:after="0"/>
              <w:ind w:left="425" w:hanging="425"/>
              <w:jc w:val="left"/>
              <w:rPr>
                <w:rFonts w:eastAsia="Times New Roman"/>
                <w:szCs w:val="17"/>
                <w:lang w:val="en-US" w:eastAsia="en-AU"/>
              </w:rPr>
            </w:pPr>
            <w:r w:rsidRPr="00E0205C">
              <w:rPr>
                <w:rFonts w:eastAsia="Times New Roman"/>
                <w:szCs w:val="17"/>
                <w:lang w:val="en-US" w:eastAsia="en-AU"/>
              </w:rPr>
              <w:t>14 March 2013</w:t>
            </w:r>
          </w:p>
        </w:tc>
        <w:tc>
          <w:tcPr>
            <w:tcW w:w="1219" w:type="pct"/>
            <w:hideMark/>
          </w:tcPr>
          <w:p w:rsidR="00E0205C" w:rsidRPr="00E0205C" w:rsidRDefault="00E0205C" w:rsidP="00683CF6">
            <w:pPr>
              <w:numPr>
                <w:ilvl w:val="0"/>
                <w:numId w:val="17"/>
              </w:numPr>
              <w:tabs>
                <w:tab w:val="clear" w:pos="360"/>
              </w:tabs>
              <w:spacing w:after="0"/>
              <w:jc w:val="left"/>
              <w:rPr>
                <w:rFonts w:eastAsia="Times New Roman"/>
                <w:szCs w:val="17"/>
                <w:lang w:val="en-US" w:eastAsia="en-AU"/>
              </w:rPr>
            </w:pPr>
            <w:r w:rsidRPr="00E0205C">
              <w:rPr>
                <w:rFonts w:eastAsia="Times New Roman"/>
                <w:szCs w:val="17"/>
                <w:lang w:val="en-US" w:eastAsia="en-AU"/>
              </w:rPr>
              <w:t>21 March 2013</w:t>
            </w:r>
          </w:p>
        </w:tc>
      </w:tr>
      <w:tr w:rsidR="00E0205C" w:rsidRPr="00E0205C" w:rsidTr="00046B75">
        <w:trPr>
          <w:jc w:val="center"/>
        </w:trPr>
        <w:tc>
          <w:tcPr>
            <w:tcW w:w="1287" w:type="pct"/>
            <w:hideMark/>
          </w:tcPr>
          <w:p w:rsidR="00E0205C" w:rsidRPr="00E0205C" w:rsidRDefault="00E0205C" w:rsidP="00683CF6">
            <w:pPr>
              <w:numPr>
                <w:ilvl w:val="0"/>
                <w:numId w:val="17"/>
              </w:numPr>
              <w:tabs>
                <w:tab w:val="clear" w:pos="360"/>
                <w:tab w:val="num" w:pos="810"/>
              </w:tabs>
              <w:spacing w:after="0"/>
              <w:jc w:val="left"/>
              <w:rPr>
                <w:rFonts w:eastAsia="Times New Roman"/>
                <w:szCs w:val="17"/>
                <w:lang w:val="en-US" w:eastAsia="en-AU"/>
              </w:rPr>
            </w:pPr>
            <w:r w:rsidRPr="00E0205C">
              <w:rPr>
                <w:rFonts w:eastAsia="Times New Roman"/>
                <w:szCs w:val="17"/>
                <w:lang w:val="en-US" w:eastAsia="en-AU"/>
              </w:rPr>
              <w:t>28 March 2013</w:t>
            </w:r>
          </w:p>
        </w:tc>
        <w:tc>
          <w:tcPr>
            <w:tcW w:w="1214" w:type="pct"/>
            <w:hideMark/>
          </w:tcPr>
          <w:p w:rsidR="00E0205C" w:rsidRPr="00E0205C" w:rsidRDefault="00E0205C" w:rsidP="00683CF6">
            <w:pPr>
              <w:numPr>
                <w:ilvl w:val="0"/>
                <w:numId w:val="17"/>
              </w:numPr>
              <w:tabs>
                <w:tab w:val="clear" w:pos="360"/>
              </w:tabs>
              <w:spacing w:after="0"/>
              <w:ind w:left="371" w:hanging="371"/>
              <w:jc w:val="left"/>
              <w:rPr>
                <w:rFonts w:eastAsia="Times New Roman"/>
                <w:szCs w:val="17"/>
                <w:lang w:val="en-US" w:eastAsia="en-AU"/>
              </w:rPr>
            </w:pPr>
            <w:r w:rsidRPr="00E0205C">
              <w:rPr>
                <w:rFonts w:eastAsia="Times New Roman"/>
                <w:szCs w:val="17"/>
                <w:lang w:val="en-US" w:eastAsia="en-AU"/>
              </w:rPr>
              <w:t>26 April 2013</w:t>
            </w:r>
          </w:p>
        </w:tc>
        <w:tc>
          <w:tcPr>
            <w:tcW w:w="1280" w:type="pct"/>
            <w:hideMark/>
          </w:tcPr>
          <w:p w:rsidR="00E0205C" w:rsidRPr="00E0205C" w:rsidRDefault="00E0205C" w:rsidP="00683CF6">
            <w:pPr>
              <w:numPr>
                <w:ilvl w:val="0"/>
                <w:numId w:val="17"/>
              </w:numPr>
              <w:tabs>
                <w:tab w:val="clear" w:pos="360"/>
              </w:tabs>
              <w:spacing w:after="0"/>
              <w:ind w:left="425" w:hanging="425"/>
              <w:jc w:val="left"/>
              <w:rPr>
                <w:rFonts w:eastAsia="Times New Roman"/>
                <w:szCs w:val="17"/>
                <w:lang w:val="en-US" w:eastAsia="en-AU"/>
              </w:rPr>
            </w:pPr>
            <w:r w:rsidRPr="00E0205C">
              <w:rPr>
                <w:rFonts w:eastAsia="Times New Roman"/>
                <w:szCs w:val="17"/>
                <w:lang w:val="en-US" w:eastAsia="en-AU"/>
              </w:rPr>
              <w:t>23 May 2013</w:t>
            </w:r>
          </w:p>
        </w:tc>
        <w:tc>
          <w:tcPr>
            <w:tcW w:w="1219" w:type="pct"/>
            <w:hideMark/>
          </w:tcPr>
          <w:p w:rsidR="00E0205C" w:rsidRPr="00E0205C" w:rsidRDefault="00E0205C" w:rsidP="00683CF6">
            <w:pPr>
              <w:numPr>
                <w:ilvl w:val="0"/>
                <w:numId w:val="17"/>
              </w:numPr>
              <w:tabs>
                <w:tab w:val="clear" w:pos="360"/>
              </w:tabs>
              <w:spacing w:after="0"/>
              <w:jc w:val="left"/>
              <w:rPr>
                <w:rFonts w:eastAsia="Times New Roman"/>
                <w:szCs w:val="17"/>
                <w:lang w:val="en-US" w:eastAsia="en-AU"/>
              </w:rPr>
            </w:pPr>
            <w:r w:rsidRPr="00E0205C">
              <w:rPr>
                <w:rFonts w:eastAsia="Times New Roman"/>
                <w:szCs w:val="17"/>
                <w:lang w:val="en-US" w:eastAsia="en-AU"/>
              </w:rPr>
              <w:t>30 May 2013</w:t>
            </w:r>
          </w:p>
        </w:tc>
      </w:tr>
      <w:tr w:rsidR="00E0205C" w:rsidRPr="00E0205C" w:rsidTr="00046B75">
        <w:trPr>
          <w:jc w:val="center"/>
        </w:trPr>
        <w:tc>
          <w:tcPr>
            <w:tcW w:w="1287" w:type="pct"/>
            <w:hideMark/>
          </w:tcPr>
          <w:p w:rsidR="00E0205C" w:rsidRPr="00E0205C" w:rsidRDefault="00E0205C" w:rsidP="00683CF6">
            <w:pPr>
              <w:numPr>
                <w:ilvl w:val="0"/>
                <w:numId w:val="17"/>
              </w:numPr>
              <w:tabs>
                <w:tab w:val="clear" w:pos="360"/>
                <w:tab w:val="num" w:pos="810"/>
              </w:tabs>
              <w:spacing w:after="0"/>
              <w:jc w:val="left"/>
              <w:rPr>
                <w:rFonts w:eastAsia="Times New Roman"/>
                <w:szCs w:val="17"/>
                <w:lang w:val="en-US" w:eastAsia="en-AU"/>
              </w:rPr>
            </w:pPr>
            <w:r w:rsidRPr="00E0205C">
              <w:rPr>
                <w:rFonts w:eastAsia="Times New Roman"/>
                <w:szCs w:val="17"/>
                <w:lang w:val="en-US" w:eastAsia="en-AU"/>
              </w:rPr>
              <w:t>13 June 2013</w:t>
            </w:r>
          </w:p>
        </w:tc>
        <w:tc>
          <w:tcPr>
            <w:tcW w:w="1214" w:type="pct"/>
            <w:hideMark/>
          </w:tcPr>
          <w:p w:rsidR="00E0205C" w:rsidRPr="00E0205C" w:rsidRDefault="00E0205C" w:rsidP="00683CF6">
            <w:pPr>
              <w:numPr>
                <w:ilvl w:val="0"/>
                <w:numId w:val="17"/>
              </w:numPr>
              <w:tabs>
                <w:tab w:val="clear" w:pos="360"/>
              </w:tabs>
              <w:spacing w:after="0"/>
              <w:ind w:left="371" w:hanging="371"/>
              <w:jc w:val="left"/>
              <w:rPr>
                <w:rFonts w:eastAsia="Times New Roman"/>
                <w:szCs w:val="17"/>
                <w:lang w:val="en-US" w:eastAsia="en-AU"/>
              </w:rPr>
            </w:pPr>
            <w:r w:rsidRPr="00E0205C">
              <w:rPr>
                <w:rFonts w:eastAsia="Times New Roman"/>
                <w:szCs w:val="17"/>
                <w:lang w:val="en-US" w:eastAsia="en-AU"/>
              </w:rPr>
              <w:t>20 June 2013</w:t>
            </w:r>
          </w:p>
        </w:tc>
        <w:tc>
          <w:tcPr>
            <w:tcW w:w="1280" w:type="pct"/>
            <w:hideMark/>
          </w:tcPr>
          <w:p w:rsidR="00E0205C" w:rsidRPr="00E0205C" w:rsidRDefault="00E0205C" w:rsidP="00683CF6">
            <w:pPr>
              <w:numPr>
                <w:ilvl w:val="0"/>
                <w:numId w:val="17"/>
              </w:numPr>
              <w:tabs>
                <w:tab w:val="clear" w:pos="360"/>
              </w:tabs>
              <w:spacing w:after="0"/>
              <w:ind w:left="425" w:hanging="425"/>
              <w:jc w:val="left"/>
              <w:rPr>
                <w:rFonts w:eastAsia="Times New Roman"/>
                <w:szCs w:val="17"/>
                <w:lang w:val="en-US" w:eastAsia="en-AU"/>
              </w:rPr>
            </w:pPr>
            <w:r w:rsidRPr="00E0205C">
              <w:rPr>
                <w:rFonts w:eastAsia="Times New Roman"/>
                <w:szCs w:val="17"/>
                <w:lang w:val="en-US" w:eastAsia="en-AU"/>
              </w:rPr>
              <w:t>11 July 2013</w:t>
            </w:r>
          </w:p>
        </w:tc>
        <w:tc>
          <w:tcPr>
            <w:tcW w:w="1219" w:type="pct"/>
            <w:hideMark/>
          </w:tcPr>
          <w:p w:rsidR="00E0205C" w:rsidRPr="00E0205C" w:rsidRDefault="00E0205C" w:rsidP="00683CF6">
            <w:pPr>
              <w:numPr>
                <w:ilvl w:val="0"/>
                <w:numId w:val="17"/>
              </w:numPr>
              <w:tabs>
                <w:tab w:val="clear" w:pos="360"/>
              </w:tabs>
              <w:spacing w:after="0"/>
              <w:jc w:val="left"/>
              <w:rPr>
                <w:rFonts w:eastAsia="Times New Roman"/>
                <w:szCs w:val="17"/>
                <w:lang w:val="en-US" w:eastAsia="en-AU"/>
              </w:rPr>
            </w:pPr>
            <w:r w:rsidRPr="00E0205C">
              <w:rPr>
                <w:rFonts w:eastAsia="Times New Roman"/>
                <w:szCs w:val="17"/>
                <w:lang w:val="en-US" w:eastAsia="en-AU"/>
              </w:rPr>
              <w:t>1 August 2013</w:t>
            </w:r>
          </w:p>
        </w:tc>
      </w:tr>
      <w:tr w:rsidR="00E0205C" w:rsidRPr="00E0205C" w:rsidTr="00046B75">
        <w:trPr>
          <w:jc w:val="center"/>
        </w:trPr>
        <w:tc>
          <w:tcPr>
            <w:tcW w:w="1287" w:type="pct"/>
            <w:hideMark/>
          </w:tcPr>
          <w:p w:rsidR="00E0205C" w:rsidRPr="00E0205C" w:rsidRDefault="00E0205C" w:rsidP="00683CF6">
            <w:pPr>
              <w:numPr>
                <w:ilvl w:val="0"/>
                <w:numId w:val="17"/>
              </w:numPr>
              <w:tabs>
                <w:tab w:val="clear" w:pos="360"/>
                <w:tab w:val="num" w:pos="810"/>
              </w:tabs>
              <w:spacing w:after="0"/>
              <w:jc w:val="left"/>
              <w:rPr>
                <w:rFonts w:eastAsia="Times New Roman"/>
                <w:szCs w:val="17"/>
                <w:lang w:val="en-US" w:eastAsia="en-AU"/>
              </w:rPr>
            </w:pPr>
            <w:r w:rsidRPr="00E0205C">
              <w:rPr>
                <w:rFonts w:eastAsia="Times New Roman"/>
                <w:szCs w:val="17"/>
                <w:lang w:val="en-US" w:eastAsia="en-AU"/>
              </w:rPr>
              <w:t>8 August 2013</w:t>
            </w:r>
          </w:p>
        </w:tc>
        <w:tc>
          <w:tcPr>
            <w:tcW w:w="1214" w:type="pct"/>
            <w:hideMark/>
          </w:tcPr>
          <w:p w:rsidR="00E0205C" w:rsidRPr="00E0205C" w:rsidRDefault="00E0205C" w:rsidP="00683CF6">
            <w:pPr>
              <w:numPr>
                <w:ilvl w:val="0"/>
                <w:numId w:val="17"/>
              </w:numPr>
              <w:tabs>
                <w:tab w:val="clear" w:pos="360"/>
              </w:tabs>
              <w:spacing w:after="0"/>
              <w:ind w:left="371" w:hanging="371"/>
              <w:jc w:val="left"/>
              <w:rPr>
                <w:rFonts w:eastAsia="Times New Roman"/>
                <w:szCs w:val="17"/>
                <w:lang w:val="en-US" w:eastAsia="en-AU"/>
              </w:rPr>
            </w:pPr>
            <w:r w:rsidRPr="00E0205C">
              <w:rPr>
                <w:rFonts w:eastAsia="Times New Roman"/>
                <w:szCs w:val="17"/>
                <w:lang w:val="en-US" w:eastAsia="en-AU"/>
              </w:rPr>
              <w:t>15 August 2013</w:t>
            </w:r>
          </w:p>
        </w:tc>
        <w:tc>
          <w:tcPr>
            <w:tcW w:w="1280" w:type="pct"/>
            <w:hideMark/>
          </w:tcPr>
          <w:p w:rsidR="00E0205C" w:rsidRPr="00E0205C" w:rsidRDefault="00E0205C" w:rsidP="00683CF6">
            <w:pPr>
              <w:numPr>
                <w:ilvl w:val="0"/>
                <w:numId w:val="17"/>
              </w:numPr>
              <w:tabs>
                <w:tab w:val="clear" w:pos="360"/>
              </w:tabs>
              <w:spacing w:after="0"/>
              <w:ind w:left="425" w:hanging="425"/>
              <w:jc w:val="left"/>
              <w:rPr>
                <w:rFonts w:eastAsia="Times New Roman"/>
                <w:szCs w:val="17"/>
                <w:lang w:val="en-US" w:eastAsia="en-AU"/>
              </w:rPr>
            </w:pPr>
            <w:r w:rsidRPr="00E0205C">
              <w:rPr>
                <w:rFonts w:eastAsia="Times New Roman"/>
                <w:szCs w:val="17"/>
                <w:lang w:val="en-US" w:eastAsia="en-AU"/>
              </w:rPr>
              <w:t>29 August 2013</w:t>
            </w:r>
          </w:p>
        </w:tc>
        <w:tc>
          <w:tcPr>
            <w:tcW w:w="1219" w:type="pct"/>
            <w:hideMark/>
          </w:tcPr>
          <w:p w:rsidR="00E0205C" w:rsidRPr="00E0205C" w:rsidRDefault="00E0205C" w:rsidP="00683CF6">
            <w:pPr>
              <w:numPr>
                <w:ilvl w:val="0"/>
                <w:numId w:val="17"/>
              </w:numPr>
              <w:tabs>
                <w:tab w:val="clear" w:pos="360"/>
              </w:tabs>
              <w:spacing w:after="0"/>
              <w:jc w:val="left"/>
              <w:rPr>
                <w:rFonts w:eastAsia="Times New Roman"/>
                <w:szCs w:val="17"/>
                <w:lang w:val="en-US" w:eastAsia="en-AU"/>
              </w:rPr>
            </w:pPr>
            <w:r w:rsidRPr="00E0205C">
              <w:rPr>
                <w:rFonts w:eastAsia="Times New Roman"/>
                <w:szCs w:val="17"/>
                <w:lang w:val="en-US" w:eastAsia="en-AU"/>
              </w:rPr>
              <w:t>6 February 2014</w:t>
            </w:r>
          </w:p>
        </w:tc>
        <w:bookmarkEnd w:id="149"/>
        <w:bookmarkEnd w:id="150"/>
      </w:tr>
      <w:tr w:rsidR="00E0205C" w:rsidRPr="00E0205C" w:rsidTr="00046B75">
        <w:trPr>
          <w:jc w:val="center"/>
        </w:trPr>
        <w:tc>
          <w:tcPr>
            <w:tcW w:w="1287" w:type="pct"/>
            <w:hideMark/>
          </w:tcPr>
          <w:p w:rsidR="00E0205C" w:rsidRPr="00E0205C" w:rsidRDefault="00E0205C" w:rsidP="00683CF6">
            <w:pPr>
              <w:numPr>
                <w:ilvl w:val="0"/>
                <w:numId w:val="17"/>
              </w:numPr>
              <w:tabs>
                <w:tab w:val="clear" w:pos="360"/>
                <w:tab w:val="num" w:pos="810"/>
              </w:tabs>
              <w:spacing w:after="0"/>
              <w:jc w:val="left"/>
              <w:rPr>
                <w:rFonts w:eastAsia="Times New Roman"/>
                <w:szCs w:val="17"/>
                <w:lang w:val="en-US" w:eastAsia="en-AU"/>
              </w:rPr>
            </w:pPr>
            <w:r w:rsidRPr="00E0205C">
              <w:rPr>
                <w:rFonts w:eastAsia="Times New Roman"/>
                <w:szCs w:val="17"/>
                <w:lang w:val="en-US" w:eastAsia="en-AU"/>
              </w:rPr>
              <w:t>12 June 2014</w:t>
            </w:r>
          </w:p>
        </w:tc>
        <w:tc>
          <w:tcPr>
            <w:tcW w:w="1214" w:type="pct"/>
            <w:hideMark/>
          </w:tcPr>
          <w:p w:rsidR="00E0205C" w:rsidRPr="00E0205C" w:rsidRDefault="00E0205C" w:rsidP="00683CF6">
            <w:pPr>
              <w:numPr>
                <w:ilvl w:val="0"/>
                <w:numId w:val="17"/>
              </w:numPr>
              <w:tabs>
                <w:tab w:val="clear" w:pos="360"/>
                <w:tab w:val="num" w:pos="810"/>
              </w:tabs>
              <w:spacing w:after="0"/>
              <w:ind w:left="371" w:hanging="371"/>
              <w:jc w:val="left"/>
              <w:rPr>
                <w:rFonts w:eastAsia="Times New Roman"/>
                <w:szCs w:val="17"/>
                <w:lang w:val="en-US" w:eastAsia="en-AU"/>
              </w:rPr>
            </w:pPr>
            <w:r w:rsidRPr="00E0205C">
              <w:rPr>
                <w:rFonts w:eastAsia="Times New Roman"/>
                <w:szCs w:val="17"/>
                <w:lang w:val="en-US" w:eastAsia="en-AU"/>
              </w:rPr>
              <w:t>28 August 2014</w:t>
            </w:r>
          </w:p>
        </w:tc>
        <w:tc>
          <w:tcPr>
            <w:tcW w:w="1280" w:type="pct"/>
            <w:hideMark/>
          </w:tcPr>
          <w:p w:rsidR="00E0205C" w:rsidRPr="00E0205C" w:rsidRDefault="00E0205C" w:rsidP="00683CF6">
            <w:pPr>
              <w:numPr>
                <w:ilvl w:val="0"/>
                <w:numId w:val="17"/>
              </w:numPr>
              <w:tabs>
                <w:tab w:val="clear" w:pos="360"/>
                <w:tab w:val="num" w:pos="810"/>
              </w:tabs>
              <w:spacing w:after="0"/>
              <w:ind w:left="425" w:hanging="425"/>
              <w:jc w:val="left"/>
              <w:rPr>
                <w:rFonts w:eastAsia="Times New Roman"/>
                <w:szCs w:val="17"/>
                <w:lang w:val="en-US" w:eastAsia="en-AU"/>
              </w:rPr>
            </w:pPr>
            <w:r w:rsidRPr="00E0205C">
              <w:rPr>
                <w:rFonts w:eastAsia="Times New Roman"/>
                <w:szCs w:val="17"/>
                <w:lang w:val="en-US" w:eastAsia="en-AU"/>
              </w:rPr>
              <w:t>4 September 2014</w:t>
            </w:r>
          </w:p>
        </w:tc>
        <w:tc>
          <w:tcPr>
            <w:tcW w:w="1219" w:type="pct"/>
            <w:hideMark/>
          </w:tcPr>
          <w:p w:rsidR="00E0205C" w:rsidRPr="00E0205C" w:rsidRDefault="00E0205C" w:rsidP="00683CF6">
            <w:pPr>
              <w:numPr>
                <w:ilvl w:val="0"/>
                <w:numId w:val="17"/>
              </w:numPr>
              <w:tabs>
                <w:tab w:val="clear" w:pos="360"/>
                <w:tab w:val="num" w:pos="810"/>
              </w:tabs>
              <w:spacing w:after="0"/>
              <w:jc w:val="left"/>
              <w:rPr>
                <w:rFonts w:eastAsia="Times New Roman"/>
                <w:szCs w:val="17"/>
                <w:lang w:val="en-US" w:eastAsia="en-AU"/>
              </w:rPr>
            </w:pPr>
            <w:r w:rsidRPr="00E0205C">
              <w:rPr>
                <w:rFonts w:eastAsia="Times New Roman"/>
                <w:szCs w:val="17"/>
                <w:lang w:val="en-US" w:eastAsia="en-AU"/>
              </w:rPr>
              <w:t>16 October 2014</w:t>
            </w:r>
          </w:p>
        </w:tc>
      </w:tr>
      <w:tr w:rsidR="00E0205C" w:rsidRPr="00E0205C" w:rsidTr="00046B75">
        <w:trPr>
          <w:jc w:val="center"/>
        </w:trPr>
        <w:tc>
          <w:tcPr>
            <w:tcW w:w="1287" w:type="pct"/>
            <w:hideMark/>
          </w:tcPr>
          <w:p w:rsidR="00E0205C" w:rsidRPr="00E0205C" w:rsidRDefault="00E0205C" w:rsidP="00683CF6">
            <w:pPr>
              <w:numPr>
                <w:ilvl w:val="0"/>
                <w:numId w:val="17"/>
              </w:numPr>
              <w:tabs>
                <w:tab w:val="clear" w:pos="360"/>
                <w:tab w:val="num" w:pos="810"/>
              </w:tabs>
              <w:spacing w:after="0"/>
              <w:jc w:val="left"/>
              <w:rPr>
                <w:rFonts w:eastAsia="Times New Roman"/>
                <w:szCs w:val="17"/>
                <w:lang w:val="en-US" w:eastAsia="en-AU"/>
              </w:rPr>
            </w:pPr>
            <w:r w:rsidRPr="00E0205C">
              <w:rPr>
                <w:rFonts w:eastAsia="Times New Roman"/>
                <w:szCs w:val="17"/>
                <w:lang w:val="en-US" w:eastAsia="en-AU"/>
              </w:rPr>
              <w:t>23 October 2014</w:t>
            </w:r>
          </w:p>
        </w:tc>
        <w:tc>
          <w:tcPr>
            <w:tcW w:w="1214" w:type="pct"/>
            <w:hideMark/>
          </w:tcPr>
          <w:p w:rsidR="00E0205C" w:rsidRPr="00E0205C" w:rsidRDefault="00E0205C" w:rsidP="00683CF6">
            <w:pPr>
              <w:numPr>
                <w:ilvl w:val="0"/>
                <w:numId w:val="17"/>
              </w:numPr>
              <w:tabs>
                <w:tab w:val="clear" w:pos="360"/>
                <w:tab w:val="num" w:pos="810"/>
              </w:tabs>
              <w:spacing w:after="0"/>
              <w:ind w:left="371" w:hanging="371"/>
              <w:jc w:val="left"/>
              <w:rPr>
                <w:rFonts w:eastAsia="Times New Roman"/>
                <w:szCs w:val="17"/>
                <w:lang w:val="en-US" w:eastAsia="en-AU"/>
              </w:rPr>
            </w:pPr>
            <w:r w:rsidRPr="00E0205C">
              <w:rPr>
                <w:rFonts w:eastAsia="Times New Roman"/>
                <w:szCs w:val="17"/>
                <w:lang w:val="en-US" w:eastAsia="en-AU"/>
              </w:rPr>
              <w:t>5 February 2015</w:t>
            </w:r>
          </w:p>
        </w:tc>
        <w:tc>
          <w:tcPr>
            <w:tcW w:w="1280" w:type="pct"/>
            <w:hideMark/>
          </w:tcPr>
          <w:p w:rsidR="00E0205C" w:rsidRPr="00E0205C" w:rsidRDefault="00E0205C" w:rsidP="00683CF6">
            <w:pPr>
              <w:numPr>
                <w:ilvl w:val="0"/>
                <w:numId w:val="18"/>
              </w:numPr>
              <w:tabs>
                <w:tab w:val="clear" w:pos="360"/>
                <w:tab w:val="num" w:pos="810"/>
              </w:tabs>
              <w:spacing w:after="0"/>
              <w:ind w:left="425" w:hanging="425"/>
              <w:jc w:val="left"/>
              <w:rPr>
                <w:rFonts w:eastAsia="Times New Roman"/>
                <w:szCs w:val="17"/>
                <w:lang w:val="en-US" w:eastAsia="en-AU"/>
              </w:rPr>
            </w:pPr>
            <w:r w:rsidRPr="00E0205C">
              <w:rPr>
                <w:rFonts w:eastAsia="Times New Roman"/>
                <w:szCs w:val="17"/>
                <w:lang w:val="en-US" w:eastAsia="en-AU"/>
              </w:rPr>
              <w:t>26 March 2015</w:t>
            </w:r>
          </w:p>
        </w:tc>
        <w:tc>
          <w:tcPr>
            <w:tcW w:w="1219" w:type="pct"/>
            <w:hideMark/>
          </w:tcPr>
          <w:p w:rsidR="00E0205C" w:rsidRPr="00E0205C" w:rsidRDefault="00E0205C" w:rsidP="00683CF6">
            <w:pPr>
              <w:numPr>
                <w:ilvl w:val="0"/>
                <w:numId w:val="19"/>
              </w:numPr>
              <w:tabs>
                <w:tab w:val="clear" w:pos="360"/>
                <w:tab w:val="num" w:pos="810"/>
              </w:tabs>
              <w:spacing w:after="0"/>
              <w:jc w:val="left"/>
              <w:rPr>
                <w:rFonts w:eastAsia="Times New Roman"/>
                <w:szCs w:val="17"/>
                <w:lang w:val="en-US" w:eastAsia="en-AU"/>
              </w:rPr>
            </w:pPr>
            <w:r w:rsidRPr="00E0205C">
              <w:rPr>
                <w:rFonts w:eastAsia="Times New Roman"/>
                <w:szCs w:val="17"/>
                <w:lang w:val="en-US" w:eastAsia="en-AU"/>
              </w:rPr>
              <w:t xml:space="preserve">16 April 2015 </w:t>
            </w:r>
          </w:p>
        </w:tc>
      </w:tr>
      <w:tr w:rsidR="00E0205C" w:rsidRPr="00E0205C" w:rsidTr="00046B75">
        <w:trPr>
          <w:jc w:val="center"/>
        </w:trPr>
        <w:tc>
          <w:tcPr>
            <w:tcW w:w="1287" w:type="pct"/>
            <w:hideMark/>
          </w:tcPr>
          <w:p w:rsidR="00E0205C" w:rsidRPr="00E0205C" w:rsidRDefault="00E0205C" w:rsidP="00B16976">
            <w:pPr>
              <w:tabs>
                <w:tab w:val="num" w:pos="810"/>
              </w:tabs>
              <w:spacing w:after="0"/>
              <w:ind w:left="360" w:hanging="360"/>
              <w:jc w:val="left"/>
              <w:rPr>
                <w:rFonts w:eastAsia="Times New Roman"/>
                <w:szCs w:val="17"/>
                <w:lang w:val="en-US" w:eastAsia="en-AU"/>
              </w:rPr>
            </w:pPr>
            <w:r w:rsidRPr="00E0205C">
              <w:rPr>
                <w:rFonts w:eastAsia="Times New Roman"/>
                <w:szCs w:val="17"/>
                <w:lang w:val="en-US" w:eastAsia="en-AU"/>
              </w:rPr>
              <w:t>101.</w:t>
            </w:r>
            <w:r w:rsidRPr="00E0205C">
              <w:rPr>
                <w:rFonts w:eastAsia="Times New Roman"/>
                <w:szCs w:val="17"/>
                <w:lang w:val="en-US" w:eastAsia="en-AU"/>
              </w:rPr>
              <w:tab/>
              <w:t>27 May 2015</w:t>
            </w:r>
          </w:p>
        </w:tc>
        <w:tc>
          <w:tcPr>
            <w:tcW w:w="1214" w:type="pct"/>
            <w:hideMark/>
          </w:tcPr>
          <w:p w:rsidR="00E0205C" w:rsidRPr="00E0205C" w:rsidRDefault="00E0205C" w:rsidP="00B16976">
            <w:pPr>
              <w:tabs>
                <w:tab w:val="num" w:pos="810"/>
              </w:tabs>
              <w:spacing w:after="0"/>
              <w:ind w:left="371" w:hanging="371"/>
              <w:jc w:val="left"/>
              <w:rPr>
                <w:rFonts w:eastAsia="Times New Roman"/>
                <w:szCs w:val="17"/>
                <w:lang w:val="en-US" w:eastAsia="en-AU"/>
              </w:rPr>
            </w:pPr>
            <w:r w:rsidRPr="00E0205C">
              <w:rPr>
                <w:rFonts w:eastAsia="Times New Roman"/>
                <w:szCs w:val="17"/>
                <w:lang w:val="en-US" w:eastAsia="en-AU"/>
              </w:rPr>
              <w:t>102.</w:t>
            </w:r>
            <w:r w:rsidRPr="00E0205C">
              <w:rPr>
                <w:rFonts w:eastAsia="Times New Roman"/>
                <w:szCs w:val="17"/>
                <w:lang w:val="en-US" w:eastAsia="en-AU"/>
              </w:rPr>
              <w:tab/>
              <w:t>18 June 2015</w:t>
            </w:r>
          </w:p>
        </w:tc>
        <w:tc>
          <w:tcPr>
            <w:tcW w:w="1280" w:type="pct"/>
            <w:hideMark/>
          </w:tcPr>
          <w:p w:rsidR="00E0205C" w:rsidRPr="00E0205C" w:rsidRDefault="00E0205C" w:rsidP="00B16976">
            <w:pPr>
              <w:tabs>
                <w:tab w:val="num" w:pos="810"/>
              </w:tabs>
              <w:spacing w:after="0"/>
              <w:ind w:left="425" w:hanging="425"/>
              <w:jc w:val="left"/>
              <w:rPr>
                <w:rFonts w:eastAsia="Times New Roman"/>
                <w:szCs w:val="17"/>
                <w:lang w:val="en-US" w:eastAsia="en-AU"/>
              </w:rPr>
            </w:pPr>
            <w:r w:rsidRPr="00E0205C">
              <w:rPr>
                <w:rFonts w:eastAsia="Times New Roman"/>
                <w:szCs w:val="17"/>
                <w:lang w:val="en-US" w:eastAsia="en-AU"/>
              </w:rPr>
              <w:t xml:space="preserve">103. </w:t>
            </w:r>
            <w:r w:rsidRPr="00E0205C">
              <w:rPr>
                <w:rFonts w:eastAsia="Times New Roman"/>
                <w:szCs w:val="17"/>
                <w:lang w:val="en-US" w:eastAsia="en-AU"/>
              </w:rPr>
              <w:tab/>
              <w:t>3 December 2015</w:t>
            </w:r>
          </w:p>
        </w:tc>
        <w:tc>
          <w:tcPr>
            <w:tcW w:w="1219" w:type="pct"/>
            <w:hideMark/>
          </w:tcPr>
          <w:p w:rsidR="00E0205C" w:rsidRPr="00E0205C" w:rsidRDefault="00E0205C" w:rsidP="00B16976">
            <w:pPr>
              <w:tabs>
                <w:tab w:val="num" w:pos="810"/>
              </w:tabs>
              <w:spacing w:after="0"/>
              <w:ind w:left="360" w:hanging="360"/>
              <w:jc w:val="left"/>
              <w:rPr>
                <w:rFonts w:eastAsia="Times New Roman"/>
                <w:szCs w:val="17"/>
                <w:lang w:val="en-US" w:eastAsia="en-AU"/>
              </w:rPr>
            </w:pPr>
            <w:r w:rsidRPr="00E0205C">
              <w:rPr>
                <w:rFonts w:eastAsia="Times New Roman"/>
                <w:szCs w:val="17"/>
                <w:lang w:val="en-US" w:eastAsia="en-AU"/>
              </w:rPr>
              <w:t xml:space="preserve">104. </w:t>
            </w:r>
            <w:r w:rsidRPr="00E0205C">
              <w:rPr>
                <w:rFonts w:eastAsia="Times New Roman"/>
                <w:szCs w:val="17"/>
                <w:lang w:val="en-US" w:eastAsia="en-AU"/>
              </w:rPr>
              <w:tab/>
              <w:t>7 April 2016</w:t>
            </w:r>
          </w:p>
        </w:tc>
      </w:tr>
      <w:tr w:rsidR="00E0205C" w:rsidRPr="00E0205C" w:rsidTr="00046B75">
        <w:trPr>
          <w:jc w:val="center"/>
        </w:trPr>
        <w:tc>
          <w:tcPr>
            <w:tcW w:w="1287" w:type="pct"/>
            <w:hideMark/>
          </w:tcPr>
          <w:p w:rsidR="00E0205C" w:rsidRPr="00E0205C" w:rsidRDefault="00E0205C" w:rsidP="00B16976">
            <w:pPr>
              <w:tabs>
                <w:tab w:val="num" w:pos="810"/>
              </w:tabs>
              <w:spacing w:after="0"/>
              <w:ind w:left="360" w:hanging="360"/>
              <w:jc w:val="left"/>
              <w:rPr>
                <w:rFonts w:eastAsia="Times New Roman"/>
                <w:szCs w:val="17"/>
                <w:lang w:val="en-US" w:eastAsia="en-AU"/>
              </w:rPr>
            </w:pPr>
            <w:r w:rsidRPr="00E0205C">
              <w:rPr>
                <w:rFonts w:eastAsia="Times New Roman"/>
                <w:szCs w:val="17"/>
                <w:lang w:val="en-US" w:eastAsia="en-AU"/>
              </w:rPr>
              <w:t>105.</w:t>
            </w:r>
            <w:r w:rsidRPr="00E0205C">
              <w:rPr>
                <w:rFonts w:eastAsia="Times New Roman"/>
                <w:szCs w:val="17"/>
                <w:lang w:val="en-US" w:eastAsia="en-AU"/>
              </w:rPr>
              <w:tab/>
              <w:t>30 June 2016</w:t>
            </w:r>
          </w:p>
        </w:tc>
        <w:tc>
          <w:tcPr>
            <w:tcW w:w="1214" w:type="pct"/>
            <w:hideMark/>
          </w:tcPr>
          <w:p w:rsidR="00E0205C" w:rsidRPr="00E0205C" w:rsidRDefault="00E0205C" w:rsidP="00B16976">
            <w:pPr>
              <w:tabs>
                <w:tab w:val="num" w:pos="810"/>
              </w:tabs>
              <w:spacing w:after="0"/>
              <w:ind w:left="371" w:hanging="371"/>
              <w:jc w:val="left"/>
              <w:rPr>
                <w:rFonts w:eastAsia="Times New Roman"/>
                <w:szCs w:val="17"/>
                <w:lang w:val="en-US" w:eastAsia="en-AU"/>
              </w:rPr>
            </w:pPr>
            <w:r w:rsidRPr="00E0205C">
              <w:rPr>
                <w:rFonts w:eastAsia="Times New Roman"/>
                <w:szCs w:val="17"/>
                <w:lang w:val="en-US" w:eastAsia="en-AU"/>
              </w:rPr>
              <w:t>106.</w:t>
            </w:r>
            <w:r w:rsidRPr="00E0205C">
              <w:rPr>
                <w:rFonts w:eastAsia="Times New Roman"/>
                <w:szCs w:val="17"/>
                <w:lang w:val="en-US" w:eastAsia="en-AU"/>
              </w:rPr>
              <w:tab/>
              <w:t>28 July 2016</w:t>
            </w:r>
          </w:p>
        </w:tc>
        <w:tc>
          <w:tcPr>
            <w:tcW w:w="1280" w:type="pct"/>
            <w:hideMark/>
          </w:tcPr>
          <w:p w:rsidR="00E0205C" w:rsidRPr="00E0205C" w:rsidRDefault="00E0205C" w:rsidP="00B16976">
            <w:pPr>
              <w:tabs>
                <w:tab w:val="num" w:pos="810"/>
              </w:tabs>
              <w:spacing w:after="0"/>
              <w:ind w:left="425" w:hanging="425"/>
              <w:jc w:val="left"/>
              <w:rPr>
                <w:rFonts w:eastAsia="Times New Roman"/>
                <w:szCs w:val="17"/>
                <w:lang w:val="en-US" w:eastAsia="en-AU"/>
              </w:rPr>
            </w:pPr>
            <w:r w:rsidRPr="00E0205C">
              <w:rPr>
                <w:rFonts w:eastAsia="Times New Roman"/>
                <w:szCs w:val="17"/>
                <w:lang w:val="en-US" w:eastAsia="en-AU"/>
              </w:rPr>
              <w:t xml:space="preserve">107. </w:t>
            </w:r>
            <w:r w:rsidRPr="00E0205C">
              <w:rPr>
                <w:rFonts w:eastAsia="Times New Roman"/>
                <w:szCs w:val="17"/>
                <w:lang w:val="en-US" w:eastAsia="en-AU"/>
              </w:rPr>
              <w:tab/>
              <w:t>8 September 2016</w:t>
            </w:r>
          </w:p>
        </w:tc>
        <w:tc>
          <w:tcPr>
            <w:tcW w:w="1219" w:type="pct"/>
            <w:hideMark/>
          </w:tcPr>
          <w:p w:rsidR="00E0205C" w:rsidRPr="00E0205C" w:rsidRDefault="00E0205C" w:rsidP="00B16976">
            <w:pPr>
              <w:tabs>
                <w:tab w:val="num" w:pos="810"/>
              </w:tabs>
              <w:spacing w:after="0"/>
              <w:ind w:left="360" w:hanging="360"/>
              <w:jc w:val="left"/>
              <w:rPr>
                <w:rFonts w:eastAsia="Times New Roman"/>
                <w:szCs w:val="17"/>
                <w:lang w:val="en-US" w:eastAsia="en-AU"/>
              </w:rPr>
            </w:pPr>
            <w:r w:rsidRPr="00E0205C">
              <w:rPr>
                <w:rFonts w:eastAsia="Times New Roman"/>
                <w:szCs w:val="17"/>
                <w:lang w:val="en-US" w:eastAsia="en-AU"/>
              </w:rPr>
              <w:t xml:space="preserve">108. </w:t>
            </w:r>
            <w:r w:rsidRPr="00E0205C">
              <w:rPr>
                <w:rFonts w:eastAsia="Times New Roman"/>
                <w:szCs w:val="17"/>
                <w:lang w:val="en-US" w:eastAsia="en-AU"/>
              </w:rPr>
              <w:tab/>
              <w:t>22 September 2016</w:t>
            </w:r>
          </w:p>
        </w:tc>
      </w:tr>
      <w:tr w:rsidR="00E0205C" w:rsidRPr="00E0205C" w:rsidTr="00046B75">
        <w:trPr>
          <w:jc w:val="center"/>
        </w:trPr>
        <w:tc>
          <w:tcPr>
            <w:tcW w:w="1287" w:type="pct"/>
            <w:hideMark/>
          </w:tcPr>
          <w:p w:rsidR="00E0205C" w:rsidRPr="00E0205C" w:rsidRDefault="00E0205C" w:rsidP="00B16976">
            <w:pPr>
              <w:tabs>
                <w:tab w:val="num" w:pos="810"/>
              </w:tabs>
              <w:spacing w:after="0"/>
              <w:ind w:left="360" w:hanging="360"/>
              <w:jc w:val="left"/>
              <w:rPr>
                <w:rFonts w:eastAsia="Times New Roman"/>
                <w:szCs w:val="17"/>
                <w:lang w:val="en-US" w:eastAsia="en-AU"/>
              </w:rPr>
            </w:pPr>
            <w:r w:rsidRPr="00E0205C">
              <w:rPr>
                <w:rFonts w:eastAsia="Times New Roman"/>
                <w:szCs w:val="17"/>
                <w:lang w:val="en-US" w:eastAsia="en-AU"/>
              </w:rPr>
              <w:t>109.</w:t>
            </w:r>
            <w:r w:rsidRPr="00E0205C">
              <w:rPr>
                <w:rFonts w:eastAsia="Times New Roman"/>
                <w:szCs w:val="17"/>
                <w:lang w:val="en-US" w:eastAsia="en-AU"/>
              </w:rPr>
              <w:tab/>
              <w:t>27 October 2016</w:t>
            </w:r>
          </w:p>
        </w:tc>
        <w:tc>
          <w:tcPr>
            <w:tcW w:w="1214" w:type="pct"/>
            <w:hideMark/>
          </w:tcPr>
          <w:p w:rsidR="00E0205C" w:rsidRPr="00E0205C" w:rsidRDefault="00E0205C" w:rsidP="00B16976">
            <w:pPr>
              <w:tabs>
                <w:tab w:val="num" w:pos="810"/>
              </w:tabs>
              <w:spacing w:after="0"/>
              <w:ind w:left="371" w:hanging="371"/>
              <w:jc w:val="left"/>
              <w:rPr>
                <w:rFonts w:eastAsia="Times New Roman"/>
                <w:szCs w:val="17"/>
                <w:lang w:val="en-US" w:eastAsia="en-AU"/>
              </w:rPr>
            </w:pPr>
            <w:r w:rsidRPr="00E0205C">
              <w:rPr>
                <w:rFonts w:eastAsia="Times New Roman"/>
                <w:szCs w:val="17"/>
                <w:lang w:val="en-US" w:eastAsia="en-AU"/>
              </w:rPr>
              <w:t>110.</w:t>
            </w:r>
            <w:r w:rsidRPr="00E0205C">
              <w:rPr>
                <w:rFonts w:eastAsia="Times New Roman"/>
                <w:szCs w:val="17"/>
                <w:lang w:val="en-US" w:eastAsia="en-AU"/>
              </w:rPr>
              <w:tab/>
              <w:t>1 December 2016</w:t>
            </w:r>
          </w:p>
        </w:tc>
        <w:tc>
          <w:tcPr>
            <w:tcW w:w="1280" w:type="pct"/>
            <w:hideMark/>
          </w:tcPr>
          <w:p w:rsidR="00E0205C" w:rsidRPr="00E0205C" w:rsidRDefault="00E0205C" w:rsidP="00B16976">
            <w:pPr>
              <w:tabs>
                <w:tab w:val="num" w:pos="810"/>
              </w:tabs>
              <w:spacing w:after="0"/>
              <w:ind w:left="425" w:hanging="425"/>
              <w:jc w:val="left"/>
              <w:rPr>
                <w:rFonts w:eastAsia="Times New Roman"/>
                <w:szCs w:val="17"/>
                <w:lang w:val="en-US" w:eastAsia="en-AU"/>
              </w:rPr>
            </w:pPr>
            <w:r w:rsidRPr="00E0205C">
              <w:rPr>
                <w:rFonts w:eastAsia="Times New Roman"/>
                <w:szCs w:val="17"/>
                <w:lang w:val="en-US" w:eastAsia="en-AU"/>
              </w:rPr>
              <w:t xml:space="preserve">111. </w:t>
            </w:r>
            <w:r w:rsidRPr="00E0205C">
              <w:rPr>
                <w:rFonts w:eastAsia="Times New Roman"/>
                <w:szCs w:val="17"/>
                <w:lang w:val="en-US" w:eastAsia="en-AU"/>
              </w:rPr>
              <w:tab/>
              <w:t>15 December 2016</w:t>
            </w:r>
          </w:p>
        </w:tc>
        <w:tc>
          <w:tcPr>
            <w:tcW w:w="1219" w:type="pct"/>
            <w:hideMark/>
          </w:tcPr>
          <w:p w:rsidR="00E0205C" w:rsidRPr="00E0205C" w:rsidRDefault="00E0205C" w:rsidP="00B16976">
            <w:pPr>
              <w:tabs>
                <w:tab w:val="num" w:pos="810"/>
              </w:tabs>
              <w:spacing w:after="0"/>
              <w:ind w:left="360" w:hanging="360"/>
              <w:jc w:val="left"/>
              <w:rPr>
                <w:rFonts w:eastAsia="Times New Roman"/>
                <w:szCs w:val="17"/>
                <w:lang w:val="en-US" w:eastAsia="en-AU"/>
              </w:rPr>
            </w:pPr>
            <w:r w:rsidRPr="00E0205C">
              <w:rPr>
                <w:rFonts w:eastAsia="Times New Roman"/>
                <w:szCs w:val="17"/>
                <w:lang w:val="en-US" w:eastAsia="en-AU"/>
              </w:rPr>
              <w:t xml:space="preserve">112. </w:t>
            </w:r>
            <w:r w:rsidRPr="00E0205C">
              <w:rPr>
                <w:rFonts w:eastAsia="Times New Roman"/>
                <w:szCs w:val="17"/>
                <w:lang w:val="en-US" w:eastAsia="en-AU"/>
              </w:rPr>
              <w:tab/>
              <w:t>7 March 2017</w:t>
            </w:r>
          </w:p>
        </w:tc>
      </w:tr>
      <w:tr w:rsidR="00E0205C" w:rsidRPr="00E0205C" w:rsidTr="00046B75">
        <w:trPr>
          <w:jc w:val="center"/>
        </w:trPr>
        <w:tc>
          <w:tcPr>
            <w:tcW w:w="1287" w:type="pct"/>
            <w:hideMark/>
          </w:tcPr>
          <w:p w:rsidR="00E0205C" w:rsidRPr="00E0205C" w:rsidRDefault="00E0205C" w:rsidP="00B16976">
            <w:pPr>
              <w:tabs>
                <w:tab w:val="num" w:pos="810"/>
              </w:tabs>
              <w:spacing w:after="0"/>
              <w:ind w:left="360" w:hanging="360"/>
              <w:jc w:val="left"/>
              <w:rPr>
                <w:rFonts w:eastAsia="Times New Roman"/>
                <w:szCs w:val="17"/>
                <w:lang w:val="en-US" w:eastAsia="en-AU"/>
              </w:rPr>
            </w:pPr>
            <w:r w:rsidRPr="00E0205C">
              <w:rPr>
                <w:rFonts w:eastAsia="Times New Roman"/>
                <w:szCs w:val="17"/>
                <w:lang w:val="en-US" w:eastAsia="en-AU"/>
              </w:rPr>
              <w:t>113.</w:t>
            </w:r>
            <w:r w:rsidRPr="00E0205C">
              <w:rPr>
                <w:rFonts w:eastAsia="Times New Roman"/>
                <w:szCs w:val="17"/>
                <w:lang w:val="en-US" w:eastAsia="en-AU"/>
              </w:rPr>
              <w:tab/>
              <w:t>21 March 2017</w:t>
            </w:r>
          </w:p>
        </w:tc>
        <w:tc>
          <w:tcPr>
            <w:tcW w:w="1214" w:type="pct"/>
            <w:hideMark/>
          </w:tcPr>
          <w:p w:rsidR="00E0205C" w:rsidRPr="00E0205C" w:rsidRDefault="00E0205C" w:rsidP="00B16976">
            <w:pPr>
              <w:tabs>
                <w:tab w:val="num" w:pos="810"/>
              </w:tabs>
              <w:spacing w:after="0"/>
              <w:ind w:left="371" w:hanging="371"/>
              <w:jc w:val="left"/>
              <w:rPr>
                <w:rFonts w:eastAsia="Times New Roman"/>
                <w:szCs w:val="17"/>
                <w:lang w:val="en-US" w:eastAsia="en-AU"/>
              </w:rPr>
            </w:pPr>
            <w:r w:rsidRPr="00E0205C">
              <w:rPr>
                <w:rFonts w:eastAsia="Times New Roman"/>
                <w:szCs w:val="17"/>
                <w:lang w:val="en-US" w:eastAsia="en-AU"/>
              </w:rPr>
              <w:t>114.</w:t>
            </w:r>
            <w:r w:rsidRPr="00E0205C">
              <w:rPr>
                <w:rFonts w:eastAsia="Times New Roman"/>
                <w:szCs w:val="17"/>
                <w:lang w:val="en-US" w:eastAsia="en-AU"/>
              </w:rPr>
              <w:tab/>
              <w:t>23 May 2017</w:t>
            </w:r>
          </w:p>
        </w:tc>
        <w:tc>
          <w:tcPr>
            <w:tcW w:w="1280" w:type="pct"/>
            <w:hideMark/>
          </w:tcPr>
          <w:p w:rsidR="00E0205C" w:rsidRPr="00E0205C" w:rsidRDefault="00E0205C" w:rsidP="00B16976">
            <w:pPr>
              <w:tabs>
                <w:tab w:val="num" w:pos="810"/>
              </w:tabs>
              <w:spacing w:after="0"/>
              <w:ind w:left="425" w:hanging="425"/>
              <w:jc w:val="left"/>
              <w:rPr>
                <w:rFonts w:eastAsia="Times New Roman"/>
                <w:szCs w:val="17"/>
                <w:lang w:val="en-US" w:eastAsia="en-AU"/>
              </w:rPr>
            </w:pPr>
            <w:r w:rsidRPr="00E0205C">
              <w:rPr>
                <w:rFonts w:eastAsia="Times New Roman"/>
                <w:szCs w:val="17"/>
                <w:lang w:val="en-US" w:eastAsia="en-AU"/>
              </w:rPr>
              <w:t xml:space="preserve">115. </w:t>
            </w:r>
            <w:r w:rsidRPr="00E0205C">
              <w:rPr>
                <w:rFonts w:eastAsia="Times New Roman"/>
                <w:szCs w:val="17"/>
                <w:lang w:val="en-US" w:eastAsia="en-AU"/>
              </w:rPr>
              <w:tab/>
              <w:t>13 June 2017</w:t>
            </w:r>
          </w:p>
        </w:tc>
        <w:tc>
          <w:tcPr>
            <w:tcW w:w="1219" w:type="pct"/>
            <w:hideMark/>
          </w:tcPr>
          <w:p w:rsidR="00E0205C" w:rsidRPr="00E0205C" w:rsidRDefault="00E0205C" w:rsidP="00B16976">
            <w:pPr>
              <w:tabs>
                <w:tab w:val="num" w:pos="810"/>
              </w:tabs>
              <w:spacing w:after="0"/>
              <w:ind w:left="360" w:hanging="360"/>
              <w:jc w:val="left"/>
              <w:rPr>
                <w:rFonts w:eastAsia="Times New Roman"/>
                <w:szCs w:val="17"/>
                <w:lang w:val="en-US" w:eastAsia="en-AU"/>
              </w:rPr>
            </w:pPr>
            <w:r w:rsidRPr="00E0205C">
              <w:rPr>
                <w:rFonts w:eastAsia="Times New Roman"/>
                <w:szCs w:val="17"/>
                <w:lang w:val="en-US" w:eastAsia="en-AU"/>
              </w:rPr>
              <w:t xml:space="preserve">116. </w:t>
            </w:r>
            <w:r w:rsidRPr="00E0205C">
              <w:rPr>
                <w:rFonts w:eastAsia="Times New Roman"/>
                <w:szCs w:val="17"/>
                <w:lang w:val="en-US" w:eastAsia="en-AU"/>
              </w:rPr>
              <w:tab/>
              <w:t>18 July 2017</w:t>
            </w:r>
          </w:p>
        </w:tc>
      </w:tr>
      <w:tr w:rsidR="00E0205C" w:rsidRPr="00E0205C" w:rsidTr="00046B75">
        <w:trPr>
          <w:jc w:val="center"/>
        </w:trPr>
        <w:tc>
          <w:tcPr>
            <w:tcW w:w="1287" w:type="pct"/>
            <w:hideMark/>
          </w:tcPr>
          <w:p w:rsidR="00E0205C" w:rsidRPr="00E0205C" w:rsidRDefault="00E0205C" w:rsidP="00B16976">
            <w:pPr>
              <w:tabs>
                <w:tab w:val="num" w:pos="810"/>
              </w:tabs>
              <w:spacing w:after="0"/>
              <w:ind w:left="360" w:hanging="360"/>
              <w:jc w:val="left"/>
              <w:rPr>
                <w:rFonts w:eastAsia="Times New Roman"/>
                <w:szCs w:val="17"/>
                <w:lang w:val="en-US" w:eastAsia="en-AU"/>
              </w:rPr>
            </w:pPr>
            <w:r w:rsidRPr="00E0205C">
              <w:rPr>
                <w:rFonts w:eastAsia="Times New Roman"/>
                <w:szCs w:val="17"/>
                <w:lang w:val="en-US" w:eastAsia="en-AU"/>
              </w:rPr>
              <w:t>117.</w:t>
            </w:r>
            <w:r w:rsidRPr="00E0205C">
              <w:rPr>
                <w:rFonts w:eastAsia="Times New Roman"/>
                <w:szCs w:val="17"/>
                <w:lang w:val="en-US" w:eastAsia="en-AU"/>
              </w:rPr>
              <w:tab/>
              <w:t>19 September 2017</w:t>
            </w:r>
          </w:p>
        </w:tc>
        <w:tc>
          <w:tcPr>
            <w:tcW w:w="1214" w:type="pct"/>
            <w:hideMark/>
          </w:tcPr>
          <w:p w:rsidR="00E0205C" w:rsidRPr="00E0205C" w:rsidRDefault="00E0205C" w:rsidP="00B16976">
            <w:pPr>
              <w:tabs>
                <w:tab w:val="num" w:pos="810"/>
              </w:tabs>
              <w:spacing w:after="0"/>
              <w:ind w:left="371" w:hanging="371"/>
              <w:jc w:val="left"/>
              <w:rPr>
                <w:rFonts w:eastAsia="Times New Roman"/>
                <w:szCs w:val="17"/>
                <w:lang w:val="en-US" w:eastAsia="en-AU"/>
              </w:rPr>
            </w:pPr>
            <w:r w:rsidRPr="00E0205C">
              <w:rPr>
                <w:rFonts w:eastAsia="Times New Roman"/>
                <w:szCs w:val="17"/>
                <w:lang w:val="en-US" w:eastAsia="en-AU"/>
              </w:rPr>
              <w:t>118.</w:t>
            </w:r>
            <w:r w:rsidRPr="00E0205C">
              <w:rPr>
                <w:rFonts w:eastAsia="Times New Roman"/>
                <w:szCs w:val="17"/>
                <w:lang w:val="en-US" w:eastAsia="en-AU"/>
              </w:rPr>
              <w:tab/>
              <w:t>26 September 2017</w:t>
            </w:r>
          </w:p>
        </w:tc>
        <w:tc>
          <w:tcPr>
            <w:tcW w:w="1280" w:type="pct"/>
            <w:hideMark/>
          </w:tcPr>
          <w:p w:rsidR="00E0205C" w:rsidRPr="00E0205C" w:rsidRDefault="00E0205C" w:rsidP="00B16976">
            <w:pPr>
              <w:tabs>
                <w:tab w:val="num" w:pos="810"/>
              </w:tabs>
              <w:spacing w:after="0"/>
              <w:ind w:left="425" w:hanging="425"/>
              <w:jc w:val="left"/>
              <w:rPr>
                <w:rFonts w:eastAsia="Times New Roman"/>
                <w:szCs w:val="17"/>
                <w:lang w:val="en-US" w:eastAsia="en-AU"/>
              </w:rPr>
            </w:pPr>
            <w:r w:rsidRPr="00E0205C">
              <w:rPr>
                <w:rFonts w:eastAsia="Times New Roman"/>
                <w:szCs w:val="17"/>
                <w:lang w:val="en-US" w:eastAsia="en-AU"/>
              </w:rPr>
              <w:t xml:space="preserve">119. </w:t>
            </w:r>
            <w:r w:rsidRPr="00E0205C">
              <w:rPr>
                <w:rFonts w:eastAsia="Times New Roman"/>
                <w:szCs w:val="17"/>
                <w:lang w:val="en-US" w:eastAsia="en-AU"/>
              </w:rPr>
              <w:tab/>
              <w:t>17 October 2017</w:t>
            </w:r>
          </w:p>
        </w:tc>
        <w:tc>
          <w:tcPr>
            <w:tcW w:w="1219" w:type="pct"/>
            <w:hideMark/>
          </w:tcPr>
          <w:p w:rsidR="00E0205C" w:rsidRPr="00E0205C" w:rsidRDefault="00E0205C" w:rsidP="00B16976">
            <w:pPr>
              <w:tabs>
                <w:tab w:val="num" w:pos="810"/>
              </w:tabs>
              <w:spacing w:after="0"/>
              <w:ind w:left="360" w:hanging="360"/>
              <w:jc w:val="left"/>
              <w:rPr>
                <w:rFonts w:eastAsia="Times New Roman"/>
                <w:szCs w:val="17"/>
                <w:lang w:val="en-US" w:eastAsia="en-AU"/>
              </w:rPr>
            </w:pPr>
            <w:r w:rsidRPr="00E0205C">
              <w:rPr>
                <w:rFonts w:eastAsia="Times New Roman"/>
                <w:szCs w:val="17"/>
                <w:lang w:val="en-US" w:eastAsia="en-AU"/>
              </w:rPr>
              <w:t>120.</w:t>
            </w:r>
            <w:r w:rsidRPr="00E0205C">
              <w:rPr>
                <w:rFonts w:eastAsia="Times New Roman"/>
                <w:szCs w:val="17"/>
                <w:lang w:val="en-US" w:eastAsia="en-AU"/>
              </w:rPr>
              <w:tab/>
              <w:t>3 January 2018</w:t>
            </w:r>
          </w:p>
        </w:tc>
      </w:tr>
      <w:tr w:rsidR="00E0205C" w:rsidRPr="00E0205C" w:rsidTr="00046B75">
        <w:trPr>
          <w:jc w:val="center"/>
        </w:trPr>
        <w:tc>
          <w:tcPr>
            <w:tcW w:w="1287" w:type="pct"/>
            <w:hideMark/>
          </w:tcPr>
          <w:p w:rsidR="00E0205C" w:rsidRPr="00E0205C" w:rsidRDefault="00E0205C" w:rsidP="00B16976">
            <w:pPr>
              <w:tabs>
                <w:tab w:val="num" w:pos="810"/>
              </w:tabs>
              <w:spacing w:after="0"/>
              <w:ind w:left="360" w:hanging="360"/>
              <w:jc w:val="left"/>
              <w:rPr>
                <w:rFonts w:eastAsia="Times New Roman"/>
                <w:szCs w:val="17"/>
                <w:lang w:val="en-US" w:eastAsia="en-AU"/>
              </w:rPr>
            </w:pPr>
            <w:r w:rsidRPr="00E0205C">
              <w:rPr>
                <w:rFonts w:eastAsia="Times New Roman"/>
                <w:szCs w:val="17"/>
                <w:lang w:val="en-US" w:eastAsia="en-AU"/>
              </w:rPr>
              <w:t>121.</w:t>
            </w:r>
            <w:r w:rsidRPr="00E0205C">
              <w:rPr>
                <w:rFonts w:eastAsia="Times New Roman"/>
                <w:szCs w:val="17"/>
                <w:lang w:val="en-US" w:eastAsia="en-AU"/>
              </w:rPr>
              <w:tab/>
              <w:t>23 January 2018</w:t>
            </w:r>
          </w:p>
        </w:tc>
        <w:tc>
          <w:tcPr>
            <w:tcW w:w="1214" w:type="pct"/>
            <w:hideMark/>
          </w:tcPr>
          <w:p w:rsidR="00E0205C" w:rsidRPr="00E0205C" w:rsidRDefault="00E0205C" w:rsidP="00B16976">
            <w:pPr>
              <w:tabs>
                <w:tab w:val="num" w:pos="810"/>
              </w:tabs>
              <w:spacing w:after="0"/>
              <w:ind w:left="371" w:hanging="371"/>
              <w:jc w:val="left"/>
              <w:rPr>
                <w:rFonts w:eastAsia="Times New Roman"/>
                <w:szCs w:val="17"/>
                <w:lang w:val="en-US" w:eastAsia="en-AU"/>
              </w:rPr>
            </w:pPr>
            <w:r w:rsidRPr="00E0205C">
              <w:rPr>
                <w:rFonts w:eastAsia="Times New Roman"/>
                <w:szCs w:val="17"/>
                <w:lang w:val="en-US" w:eastAsia="en-AU"/>
              </w:rPr>
              <w:t>122.</w:t>
            </w:r>
            <w:r w:rsidRPr="00E0205C">
              <w:rPr>
                <w:rFonts w:eastAsia="Times New Roman"/>
                <w:szCs w:val="17"/>
                <w:lang w:val="en-US" w:eastAsia="en-AU"/>
              </w:rPr>
              <w:tab/>
              <w:t>14 March 2018</w:t>
            </w:r>
          </w:p>
        </w:tc>
        <w:tc>
          <w:tcPr>
            <w:tcW w:w="1280" w:type="pct"/>
            <w:hideMark/>
          </w:tcPr>
          <w:p w:rsidR="00E0205C" w:rsidRPr="00E0205C" w:rsidRDefault="00E0205C" w:rsidP="00B16976">
            <w:pPr>
              <w:tabs>
                <w:tab w:val="num" w:pos="810"/>
              </w:tabs>
              <w:spacing w:after="0"/>
              <w:ind w:left="425" w:hanging="425"/>
              <w:jc w:val="left"/>
              <w:rPr>
                <w:rFonts w:eastAsia="Times New Roman"/>
                <w:szCs w:val="17"/>
                <w:lang w:val="en-US" w:eastAsia="en-AU"/>
              </w:rPr>
            </w:pPr>
            <w:r w:rsidRPr="00E0205C">
              <w:rPr>
                <w:rFonts w:eastAsia="Times New Roman"/>
                <w:szCs w:val="17"/>
                <w:lang w:val="en-US" w:eastAsia="en-AU"/>
              </w:rPr>
              <w:t xml:space="preserve">123. </w:t>
            </w:r>
            <w:r w:rsidRPr="00E0205C">
              <w:rPr>
                <w:rFonts w:eastAsia="Times New Roman"/>
                <w:szCs w:val="17"/>
                <w:lang w:val="en-US" w:eastAsia="en-AU"/>
              </w:rPr>
              <w:tab/>
              <w:t>14 June 2018</w:t>
            </w:r>
          </w:p>
        </w:tc>
        <w:tc>
          <w:tcPr>
            <w:tcW w:w="1219" w:type="pct"/>
            <w:hideMark/>
          </w:tcPr>
          <w:p w:rsidR="00E0205C" w:rsidRPr="00E0205C" w:rsidRDefault="00E0205C" w:rsidP="00B16976">
            <w:pPr>
              <w:tabs>
                <w:tab w:val="num" w:pos="810"/>
              </w:tabs>
              <w:spacing w:after="0"/>
              <w:ind w:left="360" w:hanging="360"/>
              <w:jc w:val="left"/>
              <w:rPr>
                <w:rFonts w:eastAsia="Times New Roman"/>
                <w:szCs w:val="17"/>
                <w:lang w:val="en-US" w:eastAsia="en-AU"/>
              </w:rPr>
            </w:pPr>
            <w:r w:rsidRPr="00E0205C">
              <w:rPr>
                <w:rFonts w:eastAsia="Times New Roman"/>
                <w:szCs w:val="17"/>
                <w:lang w:val="en-US" w:eastAsia="en-AU"/>
              </w:rPr>
              <w:t xml:space="preserve">124. </w:t>
            </w:r>
            <w:r w:rsidRPr="00E0205C">
              <w:rPr>
                <w:rFonts w:eastAsia="Times New Roman"/>
                <w:szCs w:val="17"/>
                <w:lang w:val="en-US" w:eastAsia="en-AU"/>
              </w:rPr>
              <w:tab/>
              <w:t>5 July 2018</w:t>
            </w:r>
          </w:p>
        </w:tc>
      </w:tr>
      <w:tr w:rsidR="00E0205C" w:rsidRPr="00E0205C" w:rsidTr="00046B75">
        <w:trPr>
          <w:jc w:val="center"/>
        </w:trPr>
        <w:tc>
          <w:tcPr>
            <w:tcW w:w="1287" w:type="pct"/>
            <w:hideMark/>
          </w:tcPr>
          <w:p w:rsidR="00E0205C" w:rsidRPr="00E0205C" w:rsidRDefault="00E0205C" w:rsidP="00B16976">
            <w:pPr>
              <w:tabs>
                <w:tab w:val="num" w:pos="810"/>
              </w:tabs>
              <w:spacing w:after="0"/>
              <w:ind w:left="360" w:hanging="360"/>
              <w:jc w:val="left"/>
              <w:rPr>
                <w:rFonts w:eastAsia="Times New Roman"/>
                <w:szCs w:val="17"/>
                <w:lang w:val="en-US" w:eastAsia="en-AU"/>
              </w:rPr>
            </w:pPr>
            <w:r w:rsidRPr="00E0205C">
              <w:rPr>
                <w:rFonts w:eastAsia="Times New Roman"/>
                <w:szCs w:val="17"/>
                <w:lang w:val="en-US" w:eastAsia="en-AU"/>
              </w:rPr>
              <w:t>125.</w:t>
            </w:r>
            <w:r w:rsidRPr="00E0205C">
              <w:rPr>
                <w:rFonts w:eastAsia="Times New Roman"/>
                <w:szCs w:val="17"/>
                <w:lang w:val="en-US" w:eastAsia="en-AU"/>
              </w:rPr>
              <w:tab/>
              <w:t>2 August 2018</w:t>
            </w:r>
          </w:p>
        </w:tc>
        <w:tc>
          <w:tcPr>
            <w:tcW w:w="1214" w:type="pct"/>
            <w:hideMark/>
          </w:tcPr>
          <w:p w:rsidR="00E0205C" w:rsidRPr="00E0205C" w:rsidRDefault="00E0205C" w:rsidP="00B16976">
            <w:pPr>
              <w:tabs>
                <w:tab w:val="num" w:pos="810"/>
              </w:tabs>
              <w:spacing w:after="0"/>
              <w:ind w:left="371" w:hanging="371"/>
              <w:jc w:val="left"/>
              <w:rPr>
                <w:rFonts w:eastAsia="Times New Roman"/>
                <w:szCs w:val="17"/>
                <w:lang w:val="en-US" w:eastAsia="en-AU"/>
              </w:rPr>
            </w:pPr>
            <w:r w:rsidRPr="00E0205C">
              <w:rPr>
                <w:rFonts w:eastAsia="Times New Roman"/>
                <w:szCs w:val="17"/>
                <w:lang w:val="en-US" w:eastAsia="en-AU"/>
              </w:rPr>
              <w:t>126.</w:t>
            </w:r>
            <w:r w:rsidRPr="00E0205C">
              <w:rPr>
                <w:rFonts w:eastAsia="Times New Roman"/>
                <w:szCs w:val="17"/>
                <w:lang w:val="en-US" w:eastAsia="en-AU"/>
              </w:rPr>
              <w:tab/>
              <w:t>9 August 2018</w:t>
            </w:r>
          </w:p>
        </w:tc>
        <w:tc>
          <w:tcPr>
            <w:tcW w:w="1280" w:type="pct"/>
            <w:hideMark/>
          </w:tcPr>
          <w:p w:rsidR="00E0205C" w:rsidRPr="00E0205C" w:rsidRDefault="00E0205C" w:rsidP="00B16976">
            <w:pPr>
              <w:tabs>
                <w:tab w:val="num" w:pos="810"/>
              </w:tabs>
              <w:spacing w:after="0"/>
              <w:ind w:left="425" w:hanging="425"/>
              <w:jc w:val="left"/>
              <w:rPr>
                <w:rFonts w:eastAsia="Times New Roman"/>
                <w:szCs w:val="17"/>
                <w:lang w:val="en-US" w:eastAsia="en-AU"/>
              </w:rPr>
            </w:pPr>
            <w:r w:rsidRPr="00E0205C">
              <w:rPr>
                <w:rFonts w:eastAsia="Times New Roman"/>
                <w:szCs w:val="17"/>
                <w:lang w:val="en-US" w:eastAsia="en-AU"/>
              </w:rPr>
              <w:t xml:space="preserve">127. </w:t>
            </w:r>
            <w:r w:rsidRPr="00E0205C">
              <w:rPr>
                <w:rFonts w:eastAsia="Times New Roman"/>
                <w:szCs w:val="17"/>
                <w:lang w:val="en-US" w:eastAsia="en-AU"/>
              </w:rPr>
              <w:tab/>
              <w:t>16 August 2018</w:t>
            </w:r>
          </w:p>
        </w:tc>
        <w:tc>
          <w:tcPr>
            <w:tcW w:w="1219" w:type="pct"/>
            <w:hideMark/>
          </w:tcPr>
          <w:p w:rsidR="00E0205C" w:rsidRPr="00E0205C" w:rsidRDefault="00E0205C" w:rsidP="00B16976">
            <w:pPr>
              <w:tabs>
                <w:tab w:val="num" w:pos="810"/>
              </w:tabs>
              <w:spacing w:after="0"/>
              <w:ind w:left="360" w:hanging="360"/>
              <w:jc w:val="left"/>
              <w:rPr>
                <w:rFonts w:eastAsia="Times New Roman"/>
                <w:szCs w:val="17"/>
                <w:lang w:val="en-US" w:eastAsia="en-AU"/>
              </w:rPr>
            </w:pPr>
            <w:r w:rsidRPr="00E0205C">
              <w:rPr>
                <w:rFonts w:eastAsia="Times New Roman"/>
                <w:szCs w:val="17"/>
                <w:lang w:val="en-US" w:eastAsia="en-AU"/>
              </w:rPr>
              <w:t xml:space="preserve">128. </w:t>
            </w:r>
            <w:r w:rsidRPr="00E0205C">
              <w:rPr>
                <w:rFonts w:eastAsia="Times New Roman"/>
                <w:szCs w:val="17"/>
                <w:lang w:val="en-US" w:eastAsia="en-AU"/>
              </w:rPr>
              <w:tab/>
              <w:t>30 August 2018</w:t>
            </w:r>
          </w:p>
        </w:tc>
      </w:tr>
      <w:tr w:rsidR="00E0205C" w:rsidRPr="00E0205C" w:rsidTr="00046B75">
        <w:trPr>
          <w:jc w:val="center"/>
        </w:trPr>
        <w:tc>
          <w:tcPr>
            <w:tcW w:w="1287" w:type="pct"/>
            <w:hideMark/>
          </w:tcPr>
          <w:p w:rsidR="00E0205C" w:rsidRPr="00E0205C" w:rsidRDefault="00E0205C" w:rsidP="00B16976">
            <w:pPr>
              <w:tabs>
                <w:tab w:val="num" w:pos="810"/>
              </w:tabs>
              <w:spacing w:after="0"/>
              <w:ind w:left="360" w:hanging="360"/>
              <w:jc w:val="left"/>
              <w:rPr>
                <w:rFonts w:eastAsia="Times New Roman"/>
                <w:szCs w:val="17"/>
                <w:lang w:val="en-US" w:eastAsia="en-AU"/>
              </w:rPr>
            </w:pPr>
            <w:r w:rsidRPr="00E0205C">
              <w:rPr>
                <w:rFonts w:eastAsia="Times New Roman"/>
                <w:szCs w:val="17"/>
                <w:lang w:val="en-US" w:eastAsia="en-AU"/>
              </w:rPr>
              <w:t>129.</w:t>
            </w:r>
            <w:r w:rsidRPr="00E0205C">
              <w:rPr>
                <w:rFonts w:eastAsia="Times New Roman"/>
                <w:szCs w:val="17"/>
                <w:lang w:val="en-US" w:eastAsia="en-AU"/>
              </w:rPr>
              <w:tab/>
              <w:t>27 September 2018</w:t>
            </w:r>
          </w:p>
        </w:tc>
        <w:tc>
          <w:tcPr>
            <w:tcW w:w="1214" w:type="pct"/>
            <w:hideMark/>
          </w:tcPr>
          <w:p w:rsidR="00E0205C" w:rsidRPr="00E0205C" w:rsidRDefault="00E0205C" w:rsidP="00B16976">
            <w:pPr>
              <w:tabs>
                <w:tab w:val="num" w:pos="810"/>
              </w:tabs>
              <w:spacing w:after="0"/>
              <w:ind w:left="371" w:hanging="371"/>
              <w:jc w:val="left"/>
              <w:rPr>
                <w:rFonts w:eastAsia="Times New Roman"/>
                <w:szCs w:val="17"/>
                <w:lang w:val="en-US" w:eastAsia="en-AU"/>
              </w:rPr>
            </w:pPr>
            <w:r w:rsidRPr="00E0205C">
              <w:rPr>
                <w:rFonts w:eastAsia="Times New Roman"/>
                <w:szCs w:val="17"/>
                <w:lang w:val="en-US" w:eastAsia="en-AU"/>
              </w:rPr>
              <w:t>130.</w:t>
            </w:r>
            <w:r w:rsidRPr="00E0205C">
              <w:rPr>
                <w:rFonts w:eastAsia="Times New Roman"/>
                <w:szCs w:val="17"/>
                <w:lang w:val="en-US" w:eastAsia="en-AU"/>
              </w:rPr>
              <w:tab/>
              <w:t>4 October 2018</w:t>
            </w:r>
          </w:p>
        </w:tc>
        <w:tc>
          <w:tcPr>
            <w:tcW w:w="1280" w:type="pct"/>
            <w:hideMark/>
          </w:tcPr>
          <w:p w:rsidR="00E0205C" w:rsidRPr="00E0205C" w:rsidRDefault="00E0205C" w:rsidP="00B16976">
            <w:pPr>
              <w:tabs>
                <w:tab w:val="num" w:pos="810"/>
              </w:tabs>
              <w:spacing w:after="0"/>
              <w:ind w:left="425" w:hanging="425"/>
              <w:jc w:val="left"/>
              <w:rPr>
                <w:rFonts w:eastAsia="Times New Roman"/>
                <w:szCs w:val="17"/>
                <w:lang w:val="en-US" w:eastAsia="en-AU"/>
              </w:rPr>
            </w:pPr>
            <w:r w:rsidRPr="00E0205C">
              <w:rPr>
                <w:rFonts w:eastAsia="Times New Roman"/>
                <w:szCs w:val="17"/>
                <w:lang w:val="en-US" w:eastAsia="en-AU"/>
              </w:rPr>
              <w:t xml:space="preserve">131. </w:t>
            </w:r>
            <w:r w:rsidRPr="00E0205C">
              <w:rPr>
                <w:rFonts w:eastAsia="Times New Roman"/>
                <w:szCs w:val="17"/>
                <w:lang w:val="en-US" w:eastAsia="en-AU"/>
              </w:rPr>
              <w:tab/>
              <w:t>18 October 2018</w:t>
            </w:r>
          </w:p>
        </w:tc>
        <w:tc>
          <w:tcPr>
            <w:tcW w:w="1219" w:type="pct"/>
            <w:hideMark/>
          </w:tcPr>
          <w:p w:rsidR="00E0205C" w:rsidRPr="00E0205C" w:rsidRDefault="00E0205C" w:rsidP="00B16976">
            <w:pPr>
              <w:tabs>
                <w:tab w:val="num" w:pos="810"/>
              </w:tabs>
              <w:spacing w:after="0"/>
              <w:ind w:left="360" w:hanging="360"/>
              <w:jc w:val="left"/>
              <w:rPr>
                <w:rFonts w:eastAsia="Times New Roman"/>
                <w:szCs w:val="17"/>
                <w:lang w:val="en-US" w:eastAsia="en-AU"/>
              </w:rPr>
            </w:pPr>
            <w:r w:rsidRPr="00E0205C">
              <w:rPr>
                <w:rFonts w:eastAsia="Times New Roman"/>
                <w:szCs w:val="17"/>
                <w:lang w:val="en-US" w:eastAsia="en-AU"/>
              </w:rPr>
              <w:t xml:space="preserve">132. </w:t>
            </w:r>
            <w:r w:rsidRPr="00E0205C">
              <w:rPr>
                <w:rFonts w:eastAsia="Times New Roman"/>
                <w:szCs w:val="17"/>
                <w:lang w:val="en-US" w:eastAsia="en-AU"/>
              </w:rPr>
              <w:tab/>
              <w:t>1 November 2018</w:t>
            </w:r>
          </w:p>
        </w:tc>
      </w:tr>
      <w:tr w:rsidR="00E0205C" w:rsidRPr="00E0205C" w:rsidTr="00046B75">
        <w:trPr>
          <w:jc w:val="center"/>
        </w:trPr>
        <w:tc>
          <w:tcPr>
            <w:tcW w:w="1287" w:type="pct"/>
            <w:hideMark/>
          </w:tcPr>
          <w:p w:rsidR="00E0205C" w:rsidRPr="00E0205C" w:rsidRDefault="00E0205C" w:rsidP="00B16976">
            <w:pPr>
              <w:tabs>
                <w:tab w:val="num" w:pos="810"/>
              </w:tabs>
              <w:spacing w:after="0"/>
              <w:ind w:left="360" w:hanging="360"/>
              <w:jc w:val="left"/>
              <w:rPr>
                <w:rFonts w:eastAsia="Times New Roman"/>
                <w:szCs w:val="17"/>
                <w:lang w:val="en-US" w:eastAsia="en-AU"/>
              </w:rPr>
            </w:pPr>
            <w:r w:rsidRPr="00E0205C">
              <w:rPr>
                <w:rFonts w:eastAsia="Times New Roman"/>
                <w:szCs w:val="17"/>
                <w:lang w:val="en-US" w:eastAsia="en-AU"/>
              </w:rPr>
              <w:t>133.</w:t>
            </w:r>
            <w:r w:rsidRPr="00E0205C">
              <w:rPr>
                <w:rFonts w:eastAsia="Times New Roman"/>
                <w:szCs w:val="17"/>
                <w:lang w:val="en-US" w:eastAsia="en-AU"/>
              </w:rPr>
              <w:tab/>
              <w:t>15 November 2018</w:t>
            </w:r>
          </w:p>
        </w:tc>
        <w:tc>
          <w:tcPr>
            <w:tcW w:w="1214" w:type="pct"/>
            <w:hideMark/>
          </w:tcPr>
          <w:p w:rsidR="00E0205C" w:rsidRPr="00E0205C" w:rsidRDefault="00E0205C" w:rsidP="00B16976">
            <w:pPr>
              <w:tabs>
                <w:tab w:val="num" w:pos="810"/>
              </w:tabs>
              <w:spacing w:after="0"/>
              <w:ind w:left="371" w:hanging="371"/>
              <w:jc w:val="left"/>
              <w:rPr>
                <w:rFonts w:eastAsia="Times New Roman"/>
                <w:szCs w:val="17"/>
                <w:lang w:val="en-US" w:eastAsia="en-AU"/>
              </w:rPr>
            </w:pPr>
            <w:r w:rsidRPr="00E0205C">
              <w:rPr>
                <w:rFonts w:eastAsia="Times New Roman"/>
                <w:szCs w:val="17"/>
                <w:lang w:val="en-US" w:eastAsia="en-AU"/>
              </w:rPr>
              <w:t>134.</w:t>
            </w:r>
            <w:r w:rsidRPr="00E0205C">
              <w:rPr>
                <w:rFonts w:eastAsia="Times New Roman"/>
                <w:szCs w:val="17"/>
                <w:lang w:val="en-US" w:eastAsia="en-AU"/>
              </w:rPr>
              <w:tab/>
              <w:t>22 November 2018</w:t>
            </w:r>
          </w:p>
        </w:tc>
        <w:tc>
          <w:tcPr>
            <w:tcW w:w="1280" w:type="pct"/>
            <w:hideMark/>
          </w:tcPr>
          <w:p w:rsidR="00E0205C" w:rsidRPr="00E0205C" w:rsidRDefault="00E0205C" w:rsidP="00B16976">
            <w:pPr>
              <w:tabs>
                <w:tab w:val="num" w:pos="810"/>
              </w:tabs>
              <w:spacing w:after="0"/>
              <w:ind w:left="425" w:hanging="425"/>
              <w:jc w:val="left"/>
              <w:rPr>
                <w:rFonts w:eastAsia="Times New Roman"/>
                <w:szCs w:val="17"/>
                <w:lang w:val="en-US" w:eastAsia="en-AU"/>
              </w:rPr>
            </w:pPr>
            <w:r w:rsidRPr="00E0205C">
              <w:rPr>
                <w:rFonts w:eastAsia="Times New Roman"/>
                <w:szCs w:val="17"/>
                <w:lang w:val="en-US" w:eastAsia="en-AU"/>
              </w:rPr>
              <w:t xml:space="preserve">135. </w:t>
            </w:r>
            <w:r w:rsidRPr="00E0205C">
              <w:rPr>
                <w:rFonts w:eastAsia="Times New Roman"/>
                <w:szCs w:val="17"/>
                <w:lang w:val="en-US" w:eastAsia="en-AU"/>
              </w:rPr>
              <w:tab/>
              <w:t>29 November 2018</w:t>
            </w:r>
          </w:p>
        </w:tc>
        <w:tc>
          <w:tcPr>
            <w:tcW w:w="1219" w:type="pct"/>
            <w:hideMark/>
          </w:tcPr>
          <w:p w:rsidR="00E0205C" w:rsidRPr="00E0205C" w:rsidRDefault="00E0205C" w:rsidP="00B16976">
            <w:pPr>
              <w:tabs>
                <w:tab w:val="num" w:pos="810"/>
              </w:tabs>
              <w:spacing w:after="0"/>
              <w:ind w:left="360" w:hanging="360"/>
              <w:jc w:val="left"/>
              <w:rPr>
                <w:rFonts w:eastAsia="Times New Roman"/>
                <w:szCs w:val="17"/>
                <w:lang w:val="en-US" w:eastAsia="en-AU"/>
              </w:rPr>
            </w:pPr>
            <w:r w:rsidRPr="00E0205C">
              <w:rPr>
                <w:rFonts w:eastAsia="Times New Roman"/>
                <w:szCs w:val="17"/>
                <w:lang w:val="en-US" w:eastAsia="en-AU"/>
              </w:rPr>
              <w:t xml:space="preserve">136. </w:t>
            </w:r>
            <w:r w:rsidRPr="00E0205C">
              <w:rPr>
                <w:rFonts w:eastAsia="Times New Roman"/>
                <w:szCs w:val="17"/>
                <w:lang w:val="en-US" w:eastAsia="en-AU"/>
              </w:rPr>
              <w:tab/>
              <w:t>6 December 2018</w:t>
            </w:r>
          </w:p>
        </w:tc>
      </w:tr>
      <w:tr w:rsidR="00E0205C" w:rsidRPr="00E0205C" w:rsidTr="00046B75">
        <w:trPr>
          <w:jc w:val="center"/>
        </w:trPr>
        <w:tc>
          <w:tcPr>
            <w:tcW w:w="1287" w:type="pct"/>
            <w:hideMark/>
          </w:tcPr>
          <w:p w:rsidR="00E0205C" w:rsidRPr="00E0205C" w:rsidRDefault="00E0205C" w:rsidP="00B16976">
            <w:pPr>
              <w:tabs>
                <w:tab w:val="num" w:pos="810"/>
              </w:tabs>
              <w:spacing w:after="0"/>
              <w:ind w:left="360" w:hanging="360"/>
              <w:jc w:val="left"/>
              <w:rPr>
                <w:rFonts w:eastAsia="Times New Roman"/>
                <w:szCs w:val="17"/>
                <w:lang w:val="en-US" w:eastAsia="en-AU"/>
              </w:rPr>
            </w:pPr>
            <w:r w:rsidRPr="00E0205C">
              <w:rPr>
                <w:rFonts w:eastAsia="Times New Roman"/>
                <w:szCs w:val="17"/>
                <w:lang w:val="en-US" w:eastAsia="en-AU"/>
              </w:rPr>
              <w:t>137.</w:t>
            </w:r>
            <w:r w:rsidRPr="00E0205C">
              <w:rPr>
                <w:rFonts w:eastAsia="Times New Roman"/>
                <w:szCs w:val="17"/>
                <w:lang w:val="en-US" w:eastAsia="en-AU"/>
              </w:rPr>
              <w:tab/>
              <w:t>20 December 2018</w:t>
            </w:r>
          </w:p>
        </w:tc>
        <w:tc>
          <w:tcPr>
            <w:tcW w:w="1214" w:type="pct"/>
            <w:hideMark/>
          </w:tcPr>
          <w:p w:rsidR="00E0205C" w:rsidRPr="00E0205C" w:rsidRDefault="00E0205C" w:rsidP="00B16976">
            <w:pPr>
              <w:tabs>
                <w:tab w:val="num" w:pos="810"/>
              </w:tabs>
              <w:spacing w:after="0"/>
              <w:ind w:left="371" w:hanging="371"/>
              <w:jc w:val="left"/>
              <w:rPr>
                <w:rFonts w:eastAsia="Times New Roman"/>
                <w:szCs w:val="17"/>
                <w:lang w:val="en-US" w:eastAsia="en-AU"/>
              </w:rPr>
            </w:pPr>
            <w:r w:rsidRPr="00E0205C">
              <w:rPr>
                <w:rFonts w:eastAsia="Times New Roman"/>
                <w:szCs w:val="17"/>
                <w:lang w:val="en-US" w:eastAsia="en-AU"/>
              </w:rPr>
              <w:t>138.</w:t>
            </w:r>
            <w:r w:rsidRPr="00E0205C">
              <w:rPr>
                <w:rFonts w:eastAsia="Times New Roman"/>
                <w:szCs w:val="17"/>
                <w:lang w:val="en-US" w:eastAsia="en-AU"/>
              </w:rPr>
              <w:tab/>
              <w:t>24 January 2019</w:t>
            </w:r>
          </w:p>
        </w:tc>
        <w:tc>
          <w:tcPr>
            <w:tcW w:w="1280" w:type="pct"/>
            <w:hideMark/>
          </w:tcPr>
          <w:p w:rsidR="00E0205C" w:rsidRPr="00E0205C" w:rsidRDefault="00E0205C" w:rsidP="00B16976">
            <w:pPr>
              <w:tabs>
                <w:tab w:val="num" w:pos="810"/>
              </w:tabs>
              <w:spacing w:after="0"/>
              <w:ind w:left="425" w:hanging="425"/>
              <w:jc w:val="left"/>
              <w:rPr>
                <w:rFonts w:eastAsia="Times New Roman"/>
                <w:szCs w:val="17"/>
                <w:lang w:val="en-US" w:eastAsia="en-AU"/>
              </w:rPr>
            </w:pPr>
            <w:r w:rsidRPr="00E0205C">
              <w:rPr>
                <w:rFonts w:eastAsia="Times New Roman"/>
                <w:szCs w:val="17"/>
                <w:lang w:val="en-US" w:eastAsia="en-AU"/>
              </w:rPr>
              <w:t xml:space="preserve">139. </w:t>
            </w:r>
            <w:r w:rsidRPr="00E0205C">
              <w:rPr>
                <w:rFonts w:eastAsia="Times New Roman"/>
                <w:szCs w:val="17"/>
                <w:lang w:val="en-US" w:eastAsia="en-AU"/>
              </w:rPr>
              <w:tab/>
              <w:t>14 February 2019</w:t>
            </w:r>
          </w:p>
        </w:tc>
        <w:tc>
          <w:tcPr>
            <w:tcW w:w="1219" w:type="pct"/>
            <w:hideMark/>
          </w:tcPr>
          <w:p w:rsidR="00E0205C" w:rsidRPr="00E0205C" w:rsidRDefault="00E0205C" w:rsidP="00B16976">
            <w:pPr>
              <w:tabs>
                <w:tab w:val="num" w:pos="810"/>
              </w:tabs>
              <w:spacing w:after="0"/>
              <w:ind w:left="360" w:hanging="360"/>
              <w:jc w:val="left"/>
              <w:rPr>
                <w:rFonts w:eastAsia="Times New Roman"/>
                <w:szCs w:val="17"/>
                <w:lang w:val="en-US" w:eastAsia="en-AU"/>
              </w:rPr>
            </w:pPr>
            <w:r w:rsidRPr="00E0205C">
              <w:rPr>
                <w:rFonts w:eastAsia="Times New Roman"/>
                <w:szCs w:val="17"/>
                <w:lang w:val="en-US" w:eastAsia="en-AU"/>
              </w:rPr>
              <w:t xml:space="preserve">140. </w:t>
            </w:r>
            <w:r w:rsidRPr="00E0205C">
              <w:rPr>
                <w:rFonts w:eastAsia="Times New Roman"/>
                <w:szCs w:val="17"/>
                <w:lang w:val="en-US" w:eastAsia="en-AU"/>
              </w:rPr>
              <w:tab/>
              <w:t>30 May 2019</w:t>
            </w:r>
          </w:p>
        </w:tc>
      </w:tr>
      <w:tr w:rsidR="00E0205C" w:rsidRPr="00E0205C" w:rsidTr="00046B75">
        <w:trPr>
          <w:jc w:val="center"/>
        </w:trPr>
        <w:tc>
          <w:tcPr>
            <w:tcW w:w="1287" w:type="pct"/>
            <w:hideMark/>
          </w:tcPr>
          <w:p w:rsidR="00E0205C" w:rsidRPr="00E0205C" w:rsidRDefault="00E0205C" w:rsidP="00B16976">
            <w:pPr>
              <w:tabs>
                <w:tab w:val="num" w:pos="810"/>
              </w:tabs>
              <w:spacing w:after="0"/>
              <w:ind w:left="360" w:hanging="360"/>
              <w:jc w:val="left"/>
              <w:rPr>
                <w:rFonts w:eastAsia="Times New Roman"/>
                <w:szCs w:val="17"/>
                <w:lang w:val="en-US" w:eastAsia="en-AU"/>
              </w:rPr>
            </w:pPr>
            <w:r w:rsidRPr="00E0205C">
              <w:rPr>
                <w:rFonts w:eastAsia="Times New Roman"/>
                <w:szCs w:val="17"/>
                <w:lang w:val="en-US" w:eastAsia="en-AU"/>
              </w:rPr>
              <w:t>141.</w:t>
            </w:r>
            <w:r w:rsidRPr="00E0205C">
              <w:rPr>
                <w:rFonts w:eastAsia="Times New Roman"/>
                <w:szCs w:val="17"/>
                <w:lang w:val="en-US" w:eastAsia="en-AU"/>
              </w:rPr>
              <w:tab/>
              <w:t>6 June 2019</w:t>
            </w:r>
          </w:p>
        </w:tc>
        <w:tc>
          <w:tcPr>
            <w:tcW w:w="1214" w:type="pct"/>
            <w:hideMark/>
          </w:tcPr>
          <w:p w:rsidR="00E0205C" w:rsidRPr="00E0205C" w:rsidRDefault="00E0205C" w:rsidP="00B16976">
            <w:pPr>
              <w:tabs>
                <w:tab w:val="num" w:pos="810"/>
              </w:tabs>
              <w:spacing w:after="0"/>
              <w:ind w:left="371" w:hanging="371"/>
              <w:jc w:val="left"/>
              <w:rPr>
                <w:rFonts w:eastAsia="Times New Roman"/>
                <w:szCs w:val="17"/>
                <w:lang w:val="en-US" w:eastAsia="en-AU"/>
              </w:rPr>
            </w:pPr>
            <w:r w:rsidRPr="00E0205C">
              <w:rPr>
                <w:rFonts w:eastAsia="Times New Roman"/>
                <w:szCs w:val="17"/>
                <w:lang w:val="en-US" w:eastAsia="en-AU"/>
              </w:rPr>
              <w:t>142.</w:t>
            </w:r>
            <w:r w:rsidRPr="00E0205C">
              <w:rPr>
                <w:rFonts w:eastAsia="Times New Roman"/>
                <w:szCs w:val="17"/>
                <w:lang w:val="en-US" w:eastAsia="en-AU"/>
              </w:rPr>
              <w:tab/>
              <w:t>13 June 2019</w:t>
            </w:r>
          </w:p>
        </w:tc>
        <w:tc>
          <w:tcPr>
            <w:tcW w:w="1280" w:type="pct"/>
            <w:hideMark/>
          </w:tcPr>
          <w:p w:rsidR="00E0205C" w:rsidRPr="00E0205C" w:rsidRDefault="00E0205C" w:rsidP="00B16976">
            <w:pPr>
              <w:tabs>
                <w:tab w:val="num" w:pos="810"/>
              </w:tabs>
              <w:spacing w:after="0"/>
              <w:ind w:left="425" w:hanging="425"/>
              <w:jc w:val="left"/>
              <w:rPr>
                <w:rFonts w:eastAsia="Times New Roman"/>
                <w:szCs w:val="17"/>
                <w:lang w:val="en-US" w:eastAsia="en-AU"/>
              </w:rPr>
            </w:pPr>
            <w:r w:rsidRPr="00E0205C">
              <w:rPr>
                <w:rFonts w:eastAsia="Times New Roman"/>
                <w:szCs w:val="17"/>
                <w:lang w:val="en-US" w:eastAsia="en-AU"/>
              </w:rPr>
              <w:t xml:space="preserve">143. </w:t>
            </w:r>
            <w:r w:rsidRPr="00E0205C">
              <w:rPr>
                <w:rFonts w:eastAsia="Times New Roman"/>
                <w:szCs w:val="17"/>
                <w:lang w:val="en-US" w:eastAsia="en-AU"/>
              </w:rPr>
              <w:tab/>
              <w:t>20 June 2019</w:t>
            </w:r>
          </w:p>
        </w:tc>
        <w:tc>
          <w:tcPr>
            <w:tcW w:w="1219" w:type="pct"/>
            <w:hideMark/>
          </w:tcPr>
          <w:p w:rsidR="00E0205C" w:rsidRPr="00E0205C" w:rsidRDefault="00E0205C" w:rsidP="00B16976">
            <w:pPr>
              <w:tabs>
                <w:tab w:val="num" w:pos="810"/>
              </w:tabs>
              <w:spacing w:after="0"/>
              <w:ind w:left="360" w:hanging="360"/>
              <w:jc w:val="left"/>
              <w:rPr>
                <w:rFonts w:eastAsia="Times New Roman"/>
                <w:szCs w:val="17"/>
                <w:lang w:val="en-US" w:eastAsia="en-AU"/>
              </w:rPr>
            </w:pPr>
            <w:r w:rsidRPr="00E0205C">
              <w:rPr>
                <w:rFonts w:eastAsia="Times New Roman"/>
                <w:szCs w:val="17"/>
                <w:lang w:val="en-US" w:eastAsia="en-AU"/>
              </w:rPr>
              <w:t xml:space="preserve">144. </w:t>
            </w:r>
            <w:r w:rsidRPr="00E0205C">
              <w:rPr>
                <w:rFonts w:eastAsia="Times New Roman"/>
                <w:szCs w:val="17"/>
                <w:lang w:val="en-US" w:eastAsia="en-AU"/>
              </w:rPr>
              <w:tab/>
              <w:t>27 June 2019</w:t>
            </w:r>
          </w:p>
        </w:tc>
      </w:tr>
      <w:tr w:rsidR="00E0205C" w:rsidRPr="00E0205C" w:rsidTr="00046B75">
        <w:trPr>
          <w:trHeight w:val="80"/>
          <w:jc w:val="center"/>
        </w:trPr>
        <w:tc>
          <w:tcPr>
            <w:tcW w:w="1287" w:type="pct"/>
            <w:hideMark/>
          </w:tcPr>
          <w:p w:rsidR="00E0205C" w:rsidRPr="00E0205C" w:rsidRDefault="00E0205C" w:rsidP="00B16976">
            <w:pPr>
              <w:tabs>
                <w:tab w:val="num" w:pos="810"/>
              </w:tabs>
              <w:spacing w:after="0"/>
              <w:ind w:left="360" w:hanging="360"/>
              <w:jc w:val="left"/>
              <w:rPr>
                <w:rFonts w:eastAsia="Times New Roman"/>
                <w:szCs w:val="17"/>
                <w:lang w:val="en-US" w:eastAsia="en-AU"/>
              </w:rPr>
            </w:pPr>
            <w:r w:rsidRPr="00E0205C">
              <w:rPr>
                <w:rFonts w:eastAsia="Times New Roman"/>
                <w:szCs w:val="17"/>
                <w:lang w:val="en-US" w:eastAsia="en-AU"/>
              </w:rPr>
              <w:t>145.</w:t>
            </w:r>
            <w:r w:rsidRPr="00E0205C">
              <w:rPr>
                <w:rFonts w:eastAsia="Times New Roman"/>
                <w:szCs w:val="17"/>
                <w:lang w:val="en-US" w:eastAsia="en-AU"/>
              </w:rPr>
              <w:tab/>
              <w:t>11 July 2019</w:t>
            </w:r>
          </w:p>
        </w:tc>
        <w:tc>
          <w:tcPr>
            <w:tcW w:w="1214" w:type="pct"/>
            <w:hideMark/>
          </w:tcPr>
          <w:p w:rsidR="00E0205C" w:rsidRPr="00E0205C" w:rsidRDefault="00E0205C" w:rsidP="00B16976">
            <w:pPr>
              <w:tabs>
                <w:tab w:val="num" w:pos="810"/>
              </w:tabs>
              <w:spacing w:after="0"/>
              <w:ind w:left="371" w:hanging="371"/>
              <w:jc w:val="left"/>
              <w:rPr>
                <w:rFonts w:eastAsia="Times New Roman"/>
                <w:szCs w:val="17"/>
                <w:lang w:val="en-US" w:eastAsia="en-AU"/>
              </w:rPr>
            </w:pPr>
            <w:r w:rsidRPr="00E0205C">
              <w:rPr>
                <w:rFonts w:eastAsia="Times New Roman"/>
                <w:szCs w:val="17"/>
                <w:lang w:val="en-US" w:eastAsia="en-AU"/>
              </w:rPr>
              <w:t>146.</w:t>
            </w:r>
            <w:r w:rsidRPr="00E0205C">
              <w:rPr>
                <w:rFonts w:eastAsia="Times New Roman"/>
                <w:szCs w:val="17"/>
                <w:lang w:val="en-US" w:eastAsia="en-AU"/>
              </w:rPr>
              <w:tab/>
              <w:t>8 August 2019</w:t>
            </w:r>
          </w:p>
        </w:tc>
        <w:tc>
          <w:tcPr>
            <w:tcW w:w="1280" w:type="pct"/>
            <w:hideMark/>
          </w:tcPr>
          <w:p w:rsidR="00E0205C" w:rsidRPr="00E0205C" w:rsidRDefault="00E0205C" w:rsidP="00B16976">
            <w:pPr>
              <w:tabs>
                <w:tab w:val="num" w:pos="810"/>
              </w:tabs>
              <w:spacing w:after="0"/>
              <w:ind w:left="425" w:hanging="425"/>
              <w:jc w:val="left"/>
              <w:rPr>
                <w:rFonts w:eastAsia="Times New Roman"/>
                <w:szCs w:val="17"/>
                <w:lang w:val="en-US" w:eastAsia="en-AU"/>
              </w:rPr>
            </w:pPr>
            <w:r w:rsidRPr="00E0205C">
              <w:rPr>
                <w:rFonts w:eastAsia="Times New Roman"/>
                <w:szCs w:val="17"/>
                <w:lang w:val="en-US" w:eastAsia="en-AU"/>
              </w:rPr>
              <w:t xml:space="preserve">147. </w:t>
            </w:r>
            <w:r w:rsidRPr="00E0205C">
              <w:rPr>
                <w:rFonts w:eastAsia="Times New Roman"/>
                <w:szCs w:val="17"/>
                <w:lang w:val="en-US" w:eastAsia="en-AU"/>
              </w:rPr>
              <w:tab/>
              <w:t>22 August 2019</w:t>
            </w:r>
          </w:p>
        </w:tc>
        <w:tc>
          <w:tcPr>
            <w:tcW w:w="1219" w:type="pct"/>
            <w:hideMark/>
          </w:tcPr>
          <w:p w:rsidR="00E0205C" w:rsidRPr="00E0205C" w:rsidRDefault="00E0205C" w:rsidP="00B16976">
            <w:pPr>
              <w:tabs>
                <w:tab w:val="num" w:pos="810"/>
              </w:tabs>
              <w:spacing w:after="0"/>
              <w:ind w:left="360" w:hanging="360"/>
              <w:jc w:val="left"/>
              <w:rPr>
                <w:rFonts w:eastAsia="Times New Roman"/>
                <w:szCs w:val="17"/>
                <w:lang w:val="en-US" w:eastAsia="en-AU"/>
              </w:rPr>
            </w:pPr>
            <w:r w:rsidRPr="00E0205C">
              <w:rPr>
                <w:rFonts w:eastAsia="Times New Roman"/>
                <w:szCs w:val="17"/>
                <w:lang w:val="en-US" w:eastAsia="en-AU"/>
              </w:rPr>
              <w:t xml:space="preserve">148. </w:t>
            </w:r>
            <w:r w:rsidRPr="00E0205C">
              <w:rPr>
                <w:rFonts w:eastAsia="Times New Roman"/>
                <w:szCs w:val="17"/>
                <w:lang w:val="en-US" w:eastAsia="en-AU"/>
              </w:rPr>
              <w:tab/>
              <w:t>12 September 2019</w:t>
            </w:r>
          </w:p>
        </w:tc>
      </w:tr>
      <w:tr w:rsidR="00E0205C" w:rsidRPr="00E0205C" w:rsidTr="00046B75">
        <w:trPr>
          <w:trHeight w:val="80"/>
          <w:jc w:val="center"/>
        </w:trPr>
        <w:tc>
          <w:tcPr>
            <w:tcW w:w="1287" w:type="pct"/>
            <w:hideMark/>
          </w:tcPr>
          <w:p w:rsidR="00E0205C" w:rsidRPr="00E0205C" w:rsidRDefault="00E0205C" w:rsidP="00B16976">
            <w:pPr>
              <w:tabs>
                <w:tab w:val="num" w:pos="810"/>
              </w:tabs>
              <w:spacing w:after="0"/>
              <w:ind w:left="360" w:hanging="360"/>
              <w:jc w:val="left"/>
              <w:rPr>
                <w:rFonts w:eastAsia="Times New Roman"/>
                <w:szCs w:val="17"/>
                <w:lang w:val="en-US" w:eastAsia="en-AU"/>
              </w:rPr>
            </w:pPr>
            <w:r w:rsidRPr="00E0205C">
              <w:rPr>
                <w:rFonts w:eastAsia="Times New Roman"/>
                <w:szCs w:val="17"/>
                <w:lang w:val="en-US" w:eastAsia="en-AU"/>
              </w:rPr>
              <w:t>149.</w:t>
            </w:r>
            <w:r w:rsidRPr="00E0205C">
              <w:rPr>
                <w:rFonts w:eastAsia="Times New Roman"/>
                <w:szCs w:val="17"/>
                <w:lang w:val="en-US" w:eastAsia="en-AU"/>
              </w:rPr>
              <w:tab/>
              <w:t>19 September 2019</w:t>
            </w:r>
          </w:p>
        </w:tc>
        <w:tc>
          <w:tcPr>
            <w:tcW w:w="1214" w:type="pct"/>
            <w:hideMark/>
          </w:tcPr>
          <w:p w:rsidR="00E0205C" w:rsidRPr="00E0205C" w:rsidRDefault="00E0205C" w:rsidP="00B16976">
            <w:pPr>
              <w:tabs>
                <w:tab w:val="num" w:pos="810"/>
              </w:tabs>
              <w:spacing w:after="0"/>
              <w:ind w:left="371" w:hanging="371"/>
              <w:jc w:val="left"/>
              <w:rPr>
                <w:rFonts w:eastAsia="Times New Roman"/>
                <w:szCs w:val="17"/>
                <w:lang w:val="en-US" w:eastAsia="en-AU"/>
              </w:rPr>
            </w:pPr>
            <w:r w:rsidRPr="00E0205C">
              <w:rPr>
                <w:rFonts w:eastAsia="Times New Roman"/>
                <w:szCs w:val="17"/>
                <w:lang w:val="en-US" w:eastAsia="en-AU"/>
              </w:rPr>
              <w:t>150.</w:t>
            </w:r>
            <w:r w:rsidRPr="00E0205C">
              <w:rPr>
                <w:rFonts w:eastAsia="Times New Roman"/>
                <w:szCs w:val="17"/>
                <w:lang w:val="en-US" w:eastAsia="en-AU"/>
              </w:rPr>
              <w:tab/>
              <w:t>14 November 2019</w:t>
            </w:r>
          </w:p>
        </w:tc>
        <w:tc>
          <w:tcPr>
            <w:tcW w:w="1280" w:type="pct"/>
            <w:hideMark/>
          </w:tcPr>
          <w:p w:rsidR="00E0205C" w:rsidRPr="00E0205C" w:rsidRDefault="00E0205C" w:rsidP="00B16976">
            <w:pPr>
              <w:tabs>
                <w:tab w:val="num" w:pos="810"/>
              </w:tabs>
              <w:spacing w:after="0"/>
              <w:ind w:left="425" w:hanging="425"/>
              <w:jc w:val="left"/>
              <w:rPr>
                <w:rFonts w:eastAsia="Times New Roman"/>
                <w:szCs w:val="17"/>
                <w:lang w:val="en-US" w:eastAsia="en-AU"/>
              </w:rPr>
            </w:pPr>
            <w:r w:rsidRPr="00E0205C">
              <w:rPr>
                <w:rFonts w:eastAsia="Times New Roman"/>
                <w:szCs w:val="17"/>
                <w:lang w:val="en-US" w:eastAsia="en-AU"/>
              </w:rPr>
              <w:t xml:space="preserve">151. </w:t>
            </w:r>
            <w:r w:rsidRPr="00E0205C">
              <w:rPr>
                <w:rFonts w:eastAsia="Times New Roman"/>
                <w:szCs w:val="17"/>
                <w:lang w:val="en-US" w:eastAsia="en-AU"/>
              </w:rPr>
              <w:tab/>
              <w:t>28 November 2019</w:t>
            </w:r>
          </w:p>
        </w:tc>
        <w:tc>
          <w:tcPr>
            <w:tcW w:w="1219" w:type="pct"/>
            <w:hideMark/>
          </w:tcPr>
          <w:p w:rsidR="00E0205C" w:rsidRPr="00E0205C" w:rsidRDefault="00E0205C" w:rsidP="00B16976">
            <w:pPr>
              <w:tabs>
                <w:tab w:val="num" w:pos="810"/>
              </w:tabs>
              <w:spacing w:after="0"/>
              <w:ind w:left="360" w:hanging="360"/>
              <w:jc w:val="left"/>
              <w:rPr>
                <w:rFonts w:eastAsia="Times New Roman"/>
                <w:szCs w:val="17"/>
                <w:lang w:val="en-US" w:eastAsia="en-AU"/>
              </w:rPr>
            </w:pPr>
            <w:r w:rsidRPr="00E0205C">
              <w:rPr>
                <w:rFonts w:eastAsia="Times New Roman"/>
                <w:szCs w:val="17"/>
                <w:lang w:val="en-US" w:eastAsia="en-AU"/>
              </w:rPr>
              <w:t xml:space="preserve">152. </w:t>
            </w:r>
            <w:r w:rsidRPr="00E0205C">
              <w:rPr>
                <w:rFonts w:eastAsia="Times New Roman"/>
                <w:szCs w:val="17"/>
                <w:lang w:val="en-US" w:eastAsia="en-AU"/>
              </w:rPr>
              <w:tab/>
              <w:t>12 December 2019</w:t>
            </w:r>
          </w:p>
        </w:tc>
      </w:tr>
      <w:tr w:rsidR="00E0205C" w:rsidRPr="00E0205C" w:rsidTr="00046B75">
        <w:trPr>
          <w:trHeight w:val="80"/>
          <w:jc w:val="center"/>
        </w:trPr>
        <w:tc>
          <w:tcPr>
            <w:tcW w:w="1287" w:type="pct"/>
            <w:hideMark/>
          </w:tcPr>
          <w:p w:rsidR="00E0205C" w:rsidRPr="00E0205C" w:rsidRDefault="00E0205C" w:rsidP="00B16976">
            <w:pPr>
              <w:tabs>
                <w:tab w:val="num" w:pos="810"/>
              </w:tabs>
              <w:spacing w:after="0"/>
              <w:ind w:left="360" w:hanging="360"/>
              <w:jc w:val="left"/>
              <w:rPr>
                <w:rFonts w:eastAsia="Times New Roman"/>
                <w:szCs w:val="17"/>
                <w:lang w:val="en-US" w:eastAsia="en-AU"/>
              </w:rPr>
            </w:pPr>
            <w:r w:rsidRPr="00E0205C">
              <w:rPr>
                <w:rFonts w:eastAsia="Times New Roman"/>
                <w:szCs w:val="17"/>
                <w:lang w:val="en-US" w:eastAsia="en-AU"/>
              </w:rPr>
              <w:t>153.</w:t>
            </w:r>
            <w:r w:rsidRPr="00E0205C">
              <w:rPr>
                <w:rFonts w:eastAsia="Times New Roman"/>
                <w:szCs w:val="17"/>
                <w:lang w:val="en-US" w:eastAsia="en-AU"/>
              </w:rPr>
              <w:tab/>
              <w:t>19 December 2019</w:t>
            </w:r>
          </w:p>
        </w:tc>
        <w:tc>
          <w:tcPr>
            <w:tcW w:w="1214" w:type="pct"/>
            <w:hideMark/>
          </w:tcPr>
          <w:p w:rsidR="00E0205C" w:rsidRPr="00E0205C" w:rsidRDefault="00E0205C" w:rsidP="00B16976">
            <w:pPr>
              <w:tabs>
                <w:tab w:val="num" w:pos="810"/>
              </w:tabs>
              <w:spacing w:after="0"/>
              <w:ind w:left="371" w:hanging="371"/>
              <w:jc w:val="left"/>
              <w:rPr>
                <w:rFonts w:eastAsia="Times New Roman"/>
                <w:szCs w:val="17"/>
                <w:lang w:val="en-US" w:eastAsia="en-AU"/>
              </w:rPr>
            </w:pPr>
            <w:r w:rsidRPr="00E0205C">
              <w:rPr>
                <w:rFonts w:eastAsia="Times New Roman"/>
                <w:szCs w:val="17"/>
                <w:lang w:val="en-US" w:eastAsia="en-AU"/>
              </w:rPr>
              <w:t>154.</w:t>
            </w:r>
            <w:r w:rsidRPr="00E0205C">
              <w:rPr>
                <w:rFonts w:eastAsia="Times New Roman"/>
                <w:szCs w:val="17"/>
                <w:lang w:val="en-US" w:eastAsia="en-AU"/>
              </w:rPr>
              <w:tab/>
              <w:t>23 January 2020</w:t>
            </w:r>
          </w:p>
        </w:tc>
        <w:tc>
          <w:tcPr>
            <w:tcW w:w="1280" w:type="pct"/>
          </w:tcPr>
          <w:p w:rsidR="00E0205C" w:rsidRPr="00E0205C" w:rsidRDefault="00E0205C" w:rsidP="00B16976">
            <w:pPr>
              <w:tabs>
                <w:tab w:val="num" w:pos="810"/>
              </w:tabs>
              <w:spacing w:after="0"/>
              <w:ind w:left="425" w:hanging="425"/>
              <w:jc w:val="left"/>
              <w:rPr>
                <w:rFonts w:eastAsia="Times New Roman"/>
                <w:szCs w:val="17"/>
                <w:lang w:val="en-US" w:eastAsia="en-AU"/>
              </w:rPr>
            </w:pPr>
            <w:r w:rsidRPr="00E0205C">
              <w:rPr>
                <w:rFonts w:eastAsia="Times New Roman"/>
                <w:szCs w:val="17"/>
                <w:lang w:val="en-US" w:eastAsia="en-AU"/>
              </w:rPr>
              <w:t xml:space="preserve">155. </w:t>
            </w:r>
            <w:r w:rsidRPr="00E0205C">
              <w:rPr>
                <w:rFonts w:eastAsia="Times New Roman"/>
                <w:szCs w:val="17"/>
                <w:lang w:val="en-US" w:eastAsia="en-AU"/>
              </w:rPr>
              <w:tab/>
              <w:t>27 February 2020</w:t>
            </w:r>
          </w:p>
        </w:tc>
        <w:tc>
          <w:tcPr>
            <w:tcW w:w="1219" w:type="pct"/>
          </w:tcPr>
          <w:p w:rsidR="00E0205C" w:rsidRPr="00E0205C" w:rsidRDefault="00E0205C" w:rsidP="00B16976">
            <w:pPr>
              <w:tabs>
                <w:tab w:val="num" w:pos="810"/>
              </w:tabs>
              <w:spacing w:after="0"/>
              <w:ind w:left="360" w:hanging="360"/>
              <w:jc w:val="left"/>
              <w:rPr>
                <w:rFonts w:eastAsia="Times New Roman"/>
                <w:szCs w:val="17"/>
                <w:lang w:val="en-US" w:eastAsia="en-AU"/>
              </w:rPr>
            </w:pPr>
            <w:r w:rsidRPr="00E0205C">
              <w:rPr>
                <w:rFonts w:eastAsia="Times New Roman"/>
                <w:szCs w:val="17"/>
                <w:lang w:val="en-US" w:eastAsia="en-AU"/>
              </w:rPr>
              <w:t xml:space="preserve">156. </w:t>
            </w:r>
            <w:r w:rsidRPr="00E0205C">
              <w:rPr>
                <w:rFonts w:eastAsia="Times New Roman"/>
                <w:szCs w:val="17"/>
                <w:lang w:val="en-US" w:eastAsia="en-AU"/>
              </w:rPr>
              <w:tab/>
              <w:t>21 April 2020</w:t>
            </w:r>
          </w:p>
        </w:tc>
      </w:tr>
      <w:tr w:rsidR="00E0205C" w:rsidRPr="00E0205C" w:rsidTr="00046B75">
        <w:trPr>
          <w:trHeight w:val="80"/>
          <w:jc w:val="center"/>
        </w:trPr>
        <w:tc>
          <w:tcPr>
            <w:tcW w:w="1287" w:type="pct"/>
          </w:tcPr>
          <w:p w:rsidR="00E0205C" w:rsidRPr="00E0205C" w:rsidRDefault="00E0205C" w:rsidP="00B16976">
            <w:pPr>
              <w:tabs>
                <w:tab w:val="num" w:pos="810"/>
              </w:tabs>
              <w:spacing w:after="0"/>
              <w:ind w:left="360" w:hanging="360"/>
              <w:jc w:val="left"/>
              <w:rPr>
                <w:rFonts w:eastAsia="Times New Roman"/>
                <w:szCs w:val="17"/>
                <w:lang w:val="en-US" w:eastAsia="en-AU"/>
              </w:rPr>
            </w:pPr>
            <w:r w:rsidRPr="00E0205C">
              <w:rPr>
                <w:rFonts w:eastAsia="Times New Roman"/>
                <w:szCs w:val="17"/>
                <w:lang w:val="en-US" w:eastAsia="en-AU"/>
              </w:rPr>
              <w:t>157.</w:t>
            </w:r>
            <w:r w:rsidRPr="00E0205C">
              <w:rPr>
                <w:rFonts w:eastAsia="Times New Roman"/>
                <w:szCs w:val="17"/>
                <w:lang w:val="en-US" w:eastAsia="en-AU"/>
              </w:rPr>
              <w:tab/>
              <w:t>25 June 2020</w:t>
            </w:r>
          </w:p>
        </w:tc>
        <w:tc>
          <w:tcPr>
            <w:tcW w:w="1214" w:type="pct"/>
          </w:tcPr>
          <w:p w:rsidR="00E0205C" w:rsidRPr="00E0205C" w:rsidRDefault="00E0205C" w:rsidP="00B16976">
            <w:pPr>
              <w:tabs>
                <w:tab w:val="num" w:pos="810"/>
              </w:tabs>
              <w:spacing w:after="0"/>
              <w:ind w:left="371" w:hanging="371"/>
              <w:jc w:val="left"/>
              <w:rPr>
                <w:rFonts w:eastAsia="Times New Roman"/>
                <w:szCs w:val="17"/>
                <w:lang w:val="en-US" w:eastAsia="en-AU"/>
              </w:rPr>
            </w:pPr>
            <w:r w:rsidRPr="00E0205C">
              <w:rPr>
                <w:rFonts w:eastAsia="Times New Roman"/>
                <w:szCs w:val="17"/>
                <w:lang w:val="en-US" w:eastAsia="en-AU"/>
              </w:rPr>
              <w:t>158.</w:t>
            </w:r>
            <w:r w:rsidRPr="00E0205C">
              <w:rPr>
                <w:rFonts w:eastAsia="Times New Roman"/>
                <w:szCs w:val="17"/>
                <w:lang w:val="en-US" w:eastAsia="en-AU"/>
              </w:rPr>
              <w:tab/>
              <w:t>10 September 2020</w:t>
            </w:r>
          </w:p>
        </w:tc>
        <w:tc>
          <w:tcPr>
            <w:tcW w:w="1280" w:type="pct"/>
          </w:tcPr>
          <w:p w:rsidR="00E0205C" w:rsidRPr="00E0205C" w:rsidRDefault="00E0205C" w:rsidP="00B16976">
            <w:pPr>
              <w:tabs>
                <w:tab w:val="num" w:pos="810"/>
              </w:tabs>
              <w:spacing w:after="0"/>
              <w:ind w:left="425" w:hanging="425"/>
              <w:jc w:val="left"/>
              <w:rPr>
                <w:rFonts w:eastAsia="Times New Roman"/>
                <w:szCs w:val="17"/>
                <w:lang w:val="en-US" w:eastAsia="en-AU"/>
              </w:rPr>
            </w:pPr>
            <w:r w:rsidRPr="00E0205C">
              <w:rPr>
                <w:rFonts w:eastAsia="Times New Roman"/>
                <w:szCs w:val="17"/>
                <w:lang w:val="en-US" w:eastAsia="en-AU"/>
              </w:rPr>
              <w:t xml:space="preserve">159. </w:t>
            </w:r>
            <w:r w:rsidRPr="00E0205C">
              <w:rPr>
                <w:rFonts w:eastAsia="Times New Roman"/>
                <w:szCs w:val="17"/>
                <w:lang w:val="en-US" w:eastAsia="en-AU"/>
              </w:rPr>
              <w:tab/>
              <w:t>17 September 2020</w:t>
            </w:r>
          </w:p>
        </w:tc>
        <w:tc>
          <w:tcPr>
            <w:tcW w:w="1219" w:type="pct"/>
          </w:tcPr>
          <w:p w:rsidR="00E0205C" w:rsidRPr="00E0205C" w:rsidRDefault="00E0205C" w:rsidP="00B16976">
            <w:pPr>
              <w:tabs>
                <w:tab w:val="num" w:pos="810"/>
              </w:tabs>
              <w:spacing w:after="0"/>
              <w:ind w:left="360" w:hanging="360"/>
              <w:jc w:val="left"/>
              <w:rPr>
                <w:rFonts w:eastAsia="Times New Roman"/>
                <w:szCs w:val="17"/>
                <w:lang w:val="en-US" w:eastAsia="en-AU"/>
              </w:rPr>
            </w:pPr>
            <w:r w:rsidRPr="00E0205C">
              <w:rPr>
                <w:rFonts w:eastAsia="Times New Roman"/>
                <w:szCs w:val="17"/>
                <w:lang w:val="en-US" w:eastAsia="en-AU"/>
              </w:rPr>
              <w:t xml:space="preserve">160. </w:t>
            </w:r>
            <w:r w:rsidRPr="00E0205C">
              <w:rPr>
                <w:rFonts w:eastAsia="Times New Roman"/>
                <w:szCs w:val="17"/>
                <w:lang w:val="en-US" w:eastAsia="en-AU"/>
              </w:rPr>
              <w:tab/>
              <w:t>8 October 2020</w:t>
            </w:r>
          </w:p>
        </w:tc>
      </w:tr>
      <w:tr w:rsidR="00E0205C" w:rsidRPr="00E0205C" w:rsidTr="00046B75">
        <w:trPr>
          <w:trHeight w:val="80"/>
          <w:jc w:val="center"/>
        </w:trPr>
        <w:tc>
          <w:tcPr>
            <w:tcW w:w="1287" w:type="pct"/>
          </w:tcPr>
          <w:p w:rsidR="00E0205C" w:rsidRPr="00E0205C" w:rsidRDefault="00E0205C" w:rsidP="00B16976">
            <w:pPr>
              <w:tabs>
                <w:tab w:val="num" w:pos="810"/>
              </w:tabs>
              <w:spacing w:after="0"/>
              <w:ind w:left="360" w:hanging="360"/>
              <w:jc w:val="left"/>
              <w:rPr>
                <w:rFonts w:eastAsia="Times New Roman"/>
                <w:szCs w:val="17"/>
                <w:lang w:val="en-US" w:eastAsia="en-AU"/>
              </w:rPr>
            </w:pPr>
            <w:r w:rsidRPr="00E0205C">
              <w:rPr>
                <w:rFonts w:eastAsia="Times New Roman"/>
                <w:szCs w:val="17"/>
                <w:lang w:val="en-US" w:eastAsia="en-AU"/>
              </w:rPr>
              <w:t>161. 29 October 2020</w:t>
            </w:r>
          </w:p>
        </w:tc>
        <w:tc>
          <w:tcPr>
            <w:tcW w:w="1214" w:type="pct"/>
          </w:tcPr>
          <w:p w:rsidR="00E0205C" w:rsidRPr="00E0205C" w:rsidRDefault="00E0205C" w:rsidP="00B16976">
            <w:pPr>
              <w:tabs>
                <w:tab w:val="num" w:pos="810"/>
              </w:tabs>
              <w:spacing w:after="0"/>
              <w:ind w:left="371" w:hanging="371"/>
              <w:jc w:val="left"/>
              <w:rPr>
                <w:rFonts w:eastAsia="Times New Roman"/>
                <w:szCs w:val="17"/>
                <w:lang w:val="en-US" w:eastAsia="en-AU"/>
              </w:rPr>
            </w:pPr>
            <w:r w:rsidRPr="00E0205C">
              <w:rPr>
                <w:rFonts w:eastAsia="Times New Roman"/>
                <w:szCs w:val="17"/>
                <w:lang w:val="en-US" w:eastAsia="en-AU"/>
              </w:rPr>
              <w:t>162. 12 November 2020</w:t>
            </w:r>
          </w:p>
        </w:tc>
        <w:tc>
          <w:tcPr>
            <w:tcW w:w="1280" w:type="pct"/>
          </w:tcPr>
          <w:p w:rsidR="00E0205C" w:rsidRPr="00E0205C" w:rsidRDefault="00E0205C" w:rsidP="00B16976">
            <w:pPr>
              <w:tabs>
                <w:tab w:val="num" w:pos="810"/>
              </w:tabs>
              <w:spacing w:after="0"/>
              <w:ind w:left="425" w:hanging="425"/>
              <w:jc w:val="left"/>
              <w:rPr>
                <w:rFonts w:eastAsia="Times New Roman"/>
                <w:szCs w:val="17"/>
                <w:lang w:val="en-US" w:eastAsia="en-AU"/>
              </w:rPr>
            </w:pPr>
            <w:r w:rsidRPr="00E0205C">
              <w:rPr>
                <w:rFonts w:eastAsia="Times New Roman"/>
                <w:szCs w:val="17"/>
                <w:lang w:val="en-US" w:eastAsia="en-AU"/>
              </w:rPr>
              <w:t>163.</w:t>
            </w:r>
            <w:r w:rsidRPr="00E0205C">
              <w:rPr>
                <w:rFonts w:eastAsia="Times New Roman"/>
                <w:szCs w:val="17"/>
                <w:lang w:val="en-US" w:eastAsia="en-AU"/>
              </w:rPr>
              <w:tab/>
              <w:t>10 December 2020</w:t>
            </w:r>
          </w:p>
        </w:tc>
        <w:tc>
          <w:tcPr>
            <w:tcW w:w="1219" w:type="pct"/>
          </w:tcPr>
          <w:p w:rsidR="00E0205C" w:rsidRPr="00E0205C" w:rsidRDefault="00E0205C" w:rsidP="00B16976">
            <w:pPr>
              <w:tabs>
                <w:tab w:val="num" w:pos="810"/>
              </w:tabs>
              <w:spacing w:after="0"/>
              <w:ind w:left="360" w:hanging="360"/>
              <w:jc w:val="left"/>
              <w:rPr>
                <w:rFonts w:eastAsia="Times New Roman"/>
                <w:szCs w:val="17"/>
                <w:lang w:val="en-US" w:eastAsia="en-AU"/>
              </w:rPr>
            </w:pPr>
            <w:r w:rsidRPr="00E0205C">
              <w:rPr>
                <w:rFonts w:eastAsia="Times New Roman"/>
                <w:szCs w:val="17"/>
                <w:lang w:val="en-US" w:eastAsia="en-AU"/>
              </w:rPr>
              <w:t>164.</w:t>
            </w:r>
            <w:r w:rsidRPr="00E0205C">
              <w:rPr>
                <w:rFonts w:eastAsia="Times New Roman"/>
                <w:szCs w:val="17"/>
                <w:lang w:val="en-US" w:eastAsia="en-AU"/>
              </w:rPr>
              <w:tab/>
              <w:t>17 December 2020</w:t>
            </w:r>
          </w:p>
        </w:tc>
      </w:tr>
    </w:tbl>
    <w:p w:rsidR="00E0205C" w:rsidRPr="00E0205C" w:rsidRDefault="00E0205C" w:rsidP="00E0205C">
      <w:pPr>
        <w:spacing w:before="80" w:after="0"/>
        <w:jc w:val="center"/>
        <w:rPr>
          <w:rFonts w:eastAsia="Times New Roman"/>
          <w:smallCaps/>
          <w:szCs w:val="17"/>
          <w:lang w:eastAsia="en-AU"/>
        </w:rPr>
      </w:pPr>
      <w:r w:rsidRPr="00E0205C">
        <w:rPr>
          <w:rFonts w:eastAsia="Times New Roman"/>
          <w:smallCaps/>
          <w:szCs w:val="17"/>
          <w:lang w:eastAsia="en-AU"/>
        </w:rPr>
        <w:t xml:space="preserve">Trades or Declared Vocations and Required Qualifications and Training Contract Conditions for </w:t>
      </w:r>
    </w:p>
    <w:p w:rsidR="00E0205C" w:rsidRPr="00E0205C" w:rsidRDefault="00E0205C" w:rsidP="00E0205C">
      <w:pPr>
        <w:spacing w:after="120"/>
        <w:jc w:val="center"/>
        <w:rPr>
          <w:rFonts w:eastAsia="Times New Roman"/>
          <w:smallCaps/>
          <w:szCs w:val="17"/>
          <w:lang w:eastAsia="en-AU"/>
        </w:rPr>
      </w:pPr>
      <w:r w:rsidRPr="00E0205C">
        <w:rPr>
          <w:rFonts w:eastAsia="Times New Roman"/>
          <w:smallCaps/>
          <w:szCs w:val="17"/>
          <w:lang w:eastAsia="en-AU"/>
        </w:rPr>
        <w:t>the Food, Beverage and Pharmaceutical (FBP), Printing and Graphic Arts (ICP), Aeroskills (MEA) and Manufacturing and Engineering (MEM) training packages</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20" w:firstRow="1" w:lastRow="0" w:firstColumn="0" w:lastColumn="0" w:noHBand="0" w:noVBand="0"/>
      </w:tblPr>
      <w:tblGrid>
        <w:gridCol w:w="2405"/>
        <w:gridCol w:w="1275"/>
        <w:gridCol w:w="2904"/>
        <w:gridCol w:w="1482"/>
        <w:gridCol w:w="1278"/>
      </w:tblGrid>
      <w:tr w:rsidR="00E0205C" w:rsidRPr="00E0205C" w:rsidTr="00046B75">
        <w:trPr>
          <w:cantSplit/>
          <w:trHeight w:val="227"/>
          <w:tblHeader/>
          <w:jc w:val="center"/>
        </w:trPr>
        <w:tc>
          <w:tcPr>
            <w:tcW w:w="1287" w:type="pct"/>
            <w:vAlign w:val="center"/>
          </w:tcPr>
          <w:p w:rsidR="00E0205C" w:rsidRPr="00E0205C" w:rsidRDefault="00E0205C" w:rsidP="00E0205C">
            <w:pPr>
              <w:spacing w:before="20" w:after="20" w:line="240" w:lineRule="auto"/>
              <w:jc w:val="center"/>
              <w:rPr>
                <w:rFonts w:eastAsia="Times New Roman"/>
                <w:b/>
                <w:szCs w:val="17"/>
                <w:lang w:val="en-US"/>
              </w:rPr>
            </w:pPr>
            <w:r w:rsidRPr="00E0205C">
              <w:rPr>
                <w:rFonts w:eastAsia="Times New Roman"/>
                <w:b/>
                <w:szCs w:val="17"/>
                <w:lang w:val="en-US"/>
              </w:rPr>
              <w:t>*Trade/ #Declared Vocation/ Other Occupation</w:t>
            </w:r>
          </w:p>
        </w:tc>
        <w:tc>
          <w:tcPr>
            <w:tcW w:w="682" w:type="pct"/>
            <w:vAlign w:val="center"/>
          </w:tcPr>
          <w:p w:rsidR="00E0205C" w:rsidRPr="00E0205C" w:rsidRDefault="00E0205C" w:rsidP="00E0205C">
            <w:pPr>
              <w:spacing w:before="20" w:after="20" w:line="240" w:lineRule="auto"/>
              <w:jc w:val="center"/>
              <w:rPr>
                <w:rFonts w:eastAsia="Times New Roman"/>
                <w:b/>
                <w:szCs w:val="17"/>
                <w:lang w:val="en-US"/>
              </w:rPr>
            </w:pPr>
            <w:r w:rsidRPr="00E0205C">
              <w:rPr>
                <w:rFonts w:eastAsia="Times New Roman"/>
                <w:b/>
                <w:szCs w:val="17"/>
                <w:lang w:val="en-US"/>
              </w:rPr>
              <w:t>Qualification Code</w:t>
            </w:r>
          </w:p>
        </w:tc>
        <w:tc>
          <w:tcPr>
            <w:tcW w:w="1554" w:type="pct"/>
            <w:vAlign w:val="center"/>
          </w:tcPr>
          <w:p w:rsidR="00E0205C" w:rsidRPr="00E0205C" w:rsidRDefault="00E0205C" w:rsidP="00E0205C">
            <w:pPr>
              <w:spacing w:before="20" w:after="20" w:line="240" w:lineRule="auto"/>
              <w:jc w:val="center"/>
              <w:rPr>
                <w:rFonts w:eastAsia="Times New Roman"/>
                <w:b/>
                <w:szCs w:val="17"/>
                <w:lang w:val="en-US"/>
              </w:rPr>
            </w:pPr>
            <w:r w:rsidRPr="00E0205C">
              <w:rPr>
                <w:rFonts w:eastAsia="Times New Roman"/>
                <w:b/>
                <w:szCs w:val="17"/>
                <w:lang w:val="en-US"/>
              </w:rPr>
              <w:t>Qualification Title</w:t>
            </w:r>
          </w:p>
        </w:tc>
        <w:tc>
          <w:tcPr>
            <w:tcW w:w="793" w:type="pct"/>
            <w:vAlign w:val="center"/>
          </w:tcPr>
          <w:p w:rsidR="00E0205C" w:rsidRPr="00E0205C" w:rsidRDefault="00E0205C" w:rsidP="00E0205C">
            <w:pPr>
              <w:spacing w:before="20" w:after="20" w:line="240" w:lineRule="auto"/>
              <w:jc w:val="center"/>
              <w:rPr>
                <w:rFonts w:eastAsia="Times New Roman"/>
                <w:b/>
                <w:szCs w:val="17"/>
                <w:lang w:val="en-US"/>
              </w:rPr>
            </w:pPr>
            <w:r w:rsidRPr="00E0205C">
              <w:rPr>
                <w:rFonts w:eastAsia="Times New Roman"/>
                <w:b/>
                <w:szCs w:val="17"/>
                <w:lang w:val="en-US"/>
              </w:rPr>
              <w:t>Nominal Term of Training Contract</w:t>
            </w:r>
          </w:p>
        </w:tc>
        <w:tc>
          <w:tcPr>
            <w:tcW w:w="684" w:type="pct"/>
            <w:vAlign w:val="center"/>
          </w:tcPr>
          <w:p w:rsidR="00E0205C" w:rsidRPr="00E0205C" w:rsidRDefault="00E0205C" w:rsidP="00E0205C">
            <w:pPr>
              <w:spacing w:before="20" w:after="20" w:line="240" w:lineRule="auto"/>
              <w:jc w:val="center"/>
              <w:rPr>
                <w:rFonts w:eastAsia="Times New Roman"/>
                <w:b/>
                <w:szCs w:val="17"/>
                <w:lang w:val="en-US"/>
              </w:rPr>
            </w:pPr>
            <w:r w:rsidRPr="00E0205C">
              <w:rPr>
                <w:rFonts w:eastAsia="Times New Roman"/>
                <w:b/>
                <w:szCs w:val="17"/>
                <w:lang w:val="en-US"/>
              </w:rPr>
              <w:t>Probationary Period</w:t>
            </w:r>
          </w:p>
        </w:tc>
      </w:tr>
      <w:tr w:rsidR="00E0205C" w:rsidRPr="00E0205C" w:rsidTr="00046B75">
        <w:trPr>
          <w:cantSplit/>
          <w:trHeight w:val="227"/>
          <w:jc w:val="center"/>
        </w:trPr>
        <w:tc>
          <w:tcPr>
            <w:tcW w:w="1287" w:type="pct"/>
          </w:tcPr>
          <w:p w:rsidR="00E0205C" w:rsidRPr="00E0205C" w:rsidRDefault="00E0205C" w:rsidP="00E0205C">
            <w:pPr>
              <w:spacing w:before="60" w:after="0" w:line="240" w:lineRule="auto"/>
              <w:jc w:val="left"/>
              <w:rPr>
                <w:rFonts w:eastAsia="Times New Roman"/>
                <w:spacing w:val="-2"/>
                <w:szCs w:val="17"/>
              </w:rPr>
            </w:pPr>
            <w:r w:rsidRPr="00E0205C">
              <w:rPr>
                <w:rFonts w:eastAsia="Times New Roman"/>
                <w:spacing w:val="-2"/>
                <w:szCs w:val="17"/>
              </w:rPr>
              <w:t>Pharmaceutical Manufacturing #</w:t>
            </w:r>
          </w:p>
        </w:tc>
        <w:tc>
          <w:tcPr>
            <w:tcW w:w="682" w:type="pct"/>
            <w:shd w:val="clear" w:color="auto" w:fill="auto"/>
          </w:tcPr>
          <w:p w:rsidR="00E0205C" w:rsidRPr="00E0205C" w:rsidRDefault="00E0205C" w:rsidP="00E0205C">
            <w:pPr>
              <w:spacing w:before="60" w:after="0" w:line="240" w:lineRule="auto"/>
              <w:jc w:val="center"/>
              <w:rPr>
                <w:rFonts w:eastAsia="Times New Roman"/>
                <w:szCs w:val="17"/>
              </w:rPr>
            </w:pPr>
            <w:r w:rsidRPr="00E0205C">
              <w:rPr>
                <w:rFonts w:eastAsia="Times New Roman"/>
                <w:szCs w:val="17"/>
              </w:rPr>
              <w:t>FBP20418</w:t>
            </w:r>
          </w:p>
        </w:tc>
        <w:tc>
          <w:tcPr>
            <w:tcW w:w="1554" w:type="pct"/>
            <w:shd w:val="clear" w:color="auto" w:fill="auto"/>
          </w:tcPr>
          <w:p w:rsidR="00E0205C" w:rsidRPr="00E0205C" w:rsidRDefault="00E0205C" w:rsidP="00E0205C">
            <w:pPr>
              <w:spacing w:before="60" w:after="0" w:line="240" w:lineRule="auto"/>
              <w:jc w:val="left"/>
              <w:rPr>
                <w:rFonts w:eastAsia="Times New Roman"/>
                <w:szCs w:val="17"/>
              </w:rPr>
            </w:pPr>
            <w:r w:rsidRPr="00E0205C">
              <w:rPr>
                <w:rFonts w:eastAsia="Times New Roman"/>
                <w:szCs w:val="17"/>
              </w:rPr>
              <w:t>Certificate II in Pharmaceutical Manufacturing</w:t>
            </w:r>
          </w:p>
        </w:tc>
        <w:tc>
          <w:tcPr>
            <w:tcW w:w="793" w:type="pct"/>
            <w:shd w:val="clear" w:color="auto" w:fill="auto"/>
          </w:tcPr>
          <w:p w:rsidR="00E0205C" w:rsidRPr="00E0205C" w:rsidRDefault="00E0205C" w:rsidP="00E0205C">
            <w:pPr>
              <w:spacing w:before="60" w:after="0" w:line="240" w:lineRule="auto"/>
              <w:jc w:val="center"/>
              <w:rPr>
                <w:rFonts w:eastAsia="Times New Roman"/>
                <w:szCs w:val="17"/>
              </w:rPr>
            </w:pPr>
            <w:r w:rsidRPr="00E0205C">
              <w:rPr>
                <w:rFonts w:eastAsia="Times New Roman"/>
                <w:szCs w:val="17"/>
              </w:rPr>
              <w:t>18</w:t>
            </w:r>
          </w:p>
        </w:tc>
        <w:tc>
          <w:tcPr>
            <w:tcW w:w="684" w:type="pct"/>
            <w:shd w:val="clear" w:color="auto" w:fill="auto"/>
          </w:tcPr>
          <w:p w:rsidR="00E0205C" w:rsidRPr="00E0205C" w:rsidRDefault="00E0205C" w:rsidP="00E0205C">
            <w:pPr>
              <w:spacing w:before="60" w:after="0" w:line="240" w:lineRule="auto"/>
              <w:jc w:val="center"/>
              <w:rPr>
                <w:rFonts w:eastAsia="Times New Roman"/>
                <w:szCs w:val="17"/>
              </w:rPr>
            </w:pPr>
            <w:r w:rsidRPr="00E0205C">
              <w:rPr>
                <w:rFonts w:eastAsia="Times New Roman"/>
                <w:szCs w:val="17"/>
              </w:rPr>
              <w:t>60</w:t>
            </w:r>
          </w:p>
        </w:tc>
      </w:tr>
      <w:tr w:rsidR="00E0205C" w:rsidRPr="00E0205C" w:rsidTr="00046B75">
        <w:trPr>
          <w:cantSplit/>
          <w:trHeight w:val="227"/>
          <w:jc w:val="center"/>
        </w:trPr>
        <w:tc>
          <w:tcPr>
            <w:tcW w:w="1287" w:type="pct"/>
          </w:tcPr>
          <w:p w:rsidR="00E0205C" w:rsidRPr="00E0205C" w:rsidRDefault="00E0205C" w:rsidP="00E0205C">
            <w:pPr>
              <w:spacing w:before="60" w:after="20" w:line="240" w:lineRule="auto"/>
              <w:jc w:val="left"/>
              <w:rPr>
                <w:rFonts w:eastAsia="Times New Roman"/>
                <w:spacing w:val="-2"/>
                <w:szCs w:val="17"/>
              </w:rPr>
            </w:pPr>
            <w:r w:rsidRPr="00E0205C">
              <w:rPr>
                <w:rFonts w:eastAsia="Times New Roman"/>
                <w:spacing w:val="-2"/>
                <w:szCs w:val="17"/>
              </w:rPr>
              <w:t>Pharmaceutical Manufacturing #</w:t>
            </w:r>
          </w:p>
        </w:tc>
        <w:tc>
          <w:tcPr>
            <w:tcW w:w="682" w:type="pct"/>
            <w:shd w:val="clear" w:color="auto" w:fill="auto"/>
          </w:tcPr>
          <w:p w:rsidR="00E0205C" w:rsidRPr="00E0205C" w:rsidRDefault="00E0205C" w:rsidP="00E0205C">
            <w:pPr>
              <w:spacing w:before="60" w:after="20" w:line="240" w:lineRule="auto"/>
              <w:jc w:val="center"/>
              <w:rPr>
                <w:rFonts w:eastAsia="Times New Roman"/>
                <w:szCs w:val="17"/>
              </w:rPr>
            </w:pPr>
            <w:r w:rsidRPr="00E0205C">
              <w:rPr>
                <w:rFonts w:eastAsia="Times New Roman"/>
                <w:szCs w:val="17"/>
              </w:rPr>
              <w:t>FBP30818</w:t>
            </w:r>
          </w:p>
        </w:tc>
        <w:tc>
          <w:tcPr>
            <w:tcW w:w="1554" w:type="pct"/>
            <w:shd w:val="clear" w:color="auto" w:fill="auto"/>
          </w:tcPr>
          <w:p w:rsidR="00E0205C" w:rsidRPr="00E0205C" w:rsidRDefault="00E0205C" w:rsidP="00E0205C">
            <w:pPr>
              <w:spacing w:before="60" w:after="20" w:line="240" w:lineRule="auto"/>
              <w:jc w:val="left"/>
              <w:rPr>
                <w:rFonts w:eastAsia="Times New Roman"/>
                <w:szCs w:val="17"/>
              </w:rPr>
            </w:pPr>
            <w:r w:rsidRPr="00E0205C">
              <w:rPr>
                <w:rFonts w:eastAsia="Times New Roman"/>
                <w:szCs w:val="17"/>
              </w:rPr>
              <w:t>Certificate III in Pharmaceutical Manufacturing</w:t>
            </w:r>
          </w:p>
        </w:tc>
        <w:tc>
          <w:tcPr>
            <w:tcW w:w="793" w:type="pct"/>
            <w:shd w:val="clear" w:color="auto" w:fill="auto"/>
          </w:tcPr>
          <w:p w:rsidR="00E0205C" w:rsidRPr="00E0205C" w:rsidRDefault="00E0205C" w:rsidP="00E0205C">
            <w:pPr>
              <w:spacing w:before="60" w:after="20" w:line="240" w:lineRule="auto"/>
              <w:jc w:val="center"/>
              <w:rPr>
                <w:rFonts w:eastAsia="Times New Roman"/>
                <w:szCs w:val="17"/>
              </w:rPr>
            </w:pPr>
            <w:r w:rsidRPr="00E0205C">
              <w:rPr>
                <w:rFonts w:eastAsia="Times New Roman"/>
                <w:szCs w:val="17"/>
              </w:rPr>
              <w:t>24</w:t>
            </w:r>
          </w:p>
        </w:tc>
        <w:tc>
          <w:tcPr>
            <w:tcW w:w="684" w:type="pct"/>
            <w:shd w:val="clear" w:color="auto" w:fill="auto"/>
          </w:tcPr>
          <w:p w:rsidR="00E0205C" w:rsidRPr="00E0205C" w:rsidRDefault="00E0205C" w:rsidP="00E0205C">
            <w:pPr>
              <w:spacing w:before="60" w:after="20" w:line="240" w:lineRule="auto"/>
              <w:jc w:val="center"/>
              <w:rPr>
                <w:rFonts w:eastAsia="Times New Roman"/>
                <w:szCs w:val="17"/>
              </w:rPr>
            </w:pPr>
            <w:r w:rsidRPr="00E0205C">
              <w:rPr>
                <w:rFonts w:eastAsia="Times New Roman"/>
                <w:szCs w:val="17"/>
              </w:rPr>
              <w:t>60</w:t>
            </w:r>
          </w:p>
        </w:tc>
      </w:tr>
      <w:tr w:rsidR="00E0205C" w:rsidRPr="00E0205C" w:rsidTr="00046B75">
        <w:trPr>
          <w:cantSplit/>
          <w:trHeight w:val="227"/>
          <w:jc w:val="center"/>
        </w:trPr>
        <w:tc>
          <w:tcPr>
            <w:tcW w:w="1287" w:type="pct"/>
          </w:tcPr>
          <w:p w:rsidR="00E0205C" w:rsidRPr="00E0205C" w:rsidRDefault="00E0205C" w:rsidP="00E0205C">
            <w:pPr>
              <w:spacing w:before="60" w:after="20" w:line="240" w:lineRule="auto"/>
              <w:jc w:val="left"/>
              <w:rPr>
                <w:rFonts w:eastAsia="Times New Roman"/>
                <w:color w:val="000000" w:themeColor="text1"/>
                <w:szCs w:val="17"/>
              </w:rPr>
            </w:pPr>
            <w:r w:rsidRPr="00E0205C">
              <w:rPr>
                <w:rFonts w:eastAsia="Times New Roman"/>
                <w:color w:val="000000" w:themeColor="text1"/>
                <w:szCs w:val="17"/>
              </w:rPr>
              <w:t>Converting, Binding and Finishing #</w:t>
            </w:r>
          </w:p>
        </w:tc>
        <w:tc>
          <w:tcPr>
            <w:tcW w:w="682" w:type="pct"/>
          </w:tcPr>
          <w:p w:rsidR="00E0205C" w:rsidRPr="00E0205C" w:rsidRDefault="00E0205C" w:rsidP="00E0205C">
            <w:pPr>
              <w:spacing w:before="60" w:after="20" w:line="240" w:lineRule="auto"/>
              <w:jc w:val="center"/>
              <w:rPr>
                <w:rFonts w:eastAsia="Times New Roman"/>
                <w:color w:val="000000" w:themeColor="text1"/>
                <w:szCs w:val="17"/>
              </w:rPr>
            </w:pPr>
            <w:r w:rsidRPr="00E0205C">
              <w:rPr>
                <w:rFonts w:eastAsia="Times New Roman"/>
                <w:color w:val="000000" w:themeColor="text1"/>
                <w:szCs w:val="17"/>
              </w:rPr>
              <w:t>ICP20120</w:t>
            </w:r>
          </w:p>
        </w:tc>
        <w:tc>
          <w:tcPr>
            <w:tcW w:w="1554" w:type="pct"/>
          </w:tcPr>
          <w:p w:rsidR="00E0205C" w:rsidRPr="00E0205C" w:rsidRDefault="00E0205C" w:rsidP="00E0205C">
            <w:pPr>
              <w:spacing w:before="60" w:after="20" w:line="240" w:lineRule="auto"/>
              <w:jc w:val="left"/>
              <w:rPr>
                <w:rFonts w:eastAsia="Times New Roman"/>
                <w:color w:val="000000" w:themeColor="text1"/>
                <w:spacing w:val="-4"/>
                <w:szCs w:val="17"/>
              </w:rPr>
            </w:pPr>
            <w:r w:rsidRPr="00E0205C">
              <w:rPr>
                <w:rFonts w:eastAsia="Times New Roman"/>
                <w:color w:val="000000" w:themeColor="text1"/>
                <w:spacing w:val="-4"/>
                <w:szCs w:val="17"/>
              </w:rPr>
              <w:t>Certificate II in Printing and Graphic Arts</w:t>
            </w:r>
          </w:p>
        </w:tc>
        <w:tc>
          <w:tcPr>
            <w:tcW w:w="793" w:type="pct"/>
          </w:tcPr>
          <w:p w:rsidR="00E0205C" w:rsidRPr="00E0205C" w:rsidRDefault="00E0205C" w:rsidP="00E0205C">
            <w:pPr>
              <w:spacing w:before="60" w:after="20" w:line="240" w:lineRule="auto"/>
              <w:jc w:val="center"/>
              <w:rPr>
                <w:rFonts w:eastAsia="Times New Roman"/>
                <w:color w:val="000000" w:themeColor="text1"/>
                <w:szCs w:val="17"/>
              </w:rPr>
            </w:pPr>
            <w:r w:rsidRPr="00E0205C">
              <w:rPr>
                <w:rFonts w:eastAsia="Times New Roman"/>
                <w:color w:val="000000" w:themeColor="text1"/>
                <w:szCs w:val="17"/>
              </w:rPr>
              <w:t>24</w:t>
            </w:r>
          </w:p>
        </w:tc>
        <w:tc>
          <w:tcPr>
            <w:tcW w:w="684" w:type="pct"/>
          </w:tcPr>
          <w:p w:rsidR="00E0205C" w:rsidRPr="00E0205C" w:rsidRDefault="00E0205C" w:rsidP="00E0205C">
            <w:pPr>
              <w:spacing w:before="60" w:after="20" w:line="240" w:lineRule="auto"/>
              <w:jc w:val="center"/>
              <w:rPr>
                <w:rFonts w:eastAsia="Times New Roman"/>
                <w:color w:val="000000" w:themeColor="text1"/>
                <w:szCs w:val="17"/>
              </w:rPr>
            </w:pPr>
            <w:r w:rsidRPr="00E0205C">
              <w:rPr>
                <w:rFonts w:eastAsia="Times New Roman"/>
                <w:color w:val="000000" w:themeColor="text1"/>
                <w:szCs w:val="17"/>
              </w:rPr>
              <w:t>60</w:t>
            </w:r>
          </w:p>
        </w:tc>
      </w:tr>
      <w:tr w:rsidR="00E0205C" w:rsidRPr="00E0205C" w:rsidTr="00046B75">
        <w:trPr>
          <w:cantSplit/>
          <w:trHeight w:val="227"/>
          <w:jc w:val="center"/>
        </w:trPr>
        <w:tc>
          <w:tcPr>
            <w:tcW w:w="1287" w:type="pct"/>
          </w:tcPr>
          <w:p w:rsidR="00E0205C" w:rsidRPr="00E0205C" w:rsidRDefault="00E0205C" w:rsidP="00E0205C">
            <w:pPr>
              <w:spacing w:before="60" w:after="20" w:line="240" w:lineRule="auto"/>
              <w:jc w:val="left"/>
              <w:rPr>
                <w:rFonts w:eastAsia="Times New Roman"/>
                <w:color w:val="000000" w:themeColor="text1"/>
                <w:szCs w:val="17"/>
              </w:rPr>
            </w:pPr>
            <w:r w:rsidRPr="00E0205C">
              <w:rPr>
                <w:rFonts w:eastAsia="Times New Roman"/>
                <w:color w:val="000000" w:themeColor="text1"/>
                <w:szCs w:val="17"/>
              </w:rPr>
              <w:t>Pre-Press Operations #</w:t>
            </w:r>
          </w:p>
        </w:tc>
        <w:tc>
          <w:tcPr>
            <w:tcW w:w="682" w:type="pct"/>
          </w:tcPr>
          <w:p w:rsidR="00E0205C" w:rsidRPr="00E0205C" w:rsidRDefault="00E0205C" w:rsidP="00E0205C">
            <w:pPr>
              <w:spacing w:before="60" w:after="20" w:line="240" w:lineRule="auto"/>
              <w:jc w:val="center"/>
              <w:rPr>
                <w:rFonts w:eastAsia="Times New Roman"/>
                <w:color w:val="000000" w:themeColor="text1"/>
                <w:szCs w:val="17"/>
              </w:rPr>
            </w:pPr>
            <w:r w:rsidRPr="00E0205C">
              <w:rPr>
                <w:rFonts w:eastAsia="Times New Roman"/>
                <w:color w:val="000000" w:themeColor="text1"/>
                <w:szCs w:val="17"/>
              </w:rPr>
              <w:t>ICP20120</w:t>
            </w:r>
          </w:p>
        </w:tc>
        <w:tc>
          <w:tcPr>
            <w:tcW w:w="1554" w:type="pct"/>
          </w:tcPr>
          <w:p w:rsidR="00E0205C" w:rsidRPr="00E0205C" w:rsidRDefault="00E0205C" w:rsidP="00E0205C">
            <w:pPr>
              <w:spacing w:before="60" w:after="20" w:line="240" w:lineRule="auto"/>
              <w:jc w:val="left"/>
              <w:rPr>
                <w:rFonts w:eastAsia="Times New Roman"/>
                <w:color w:val="000000" w:themeColor="text1"/>
                <w:spacing w:val="-4"/>
                <w:szCs w:val="17"/>
              </w:rPr>
            </w:pPr>
            <w:r w:rsidRPr="00E0205C">
              <w:rPr>
                <w:rFonts w:eastAsia="Times New Roman"/>
                <w:color w:val="000000" w:themeColor="text1"/>
                <w:spacing w:val="-4"/>
                <w:szCs w:val="17"/>
              </w:rPr>
              <w:t>Certificate II in Printing and Graphic Arts</w:t>
            </w:r>
          </w:p>
        </w:tc>
        <w:tc>
          <w:tcPr>
            <w:tcW w:w="793" w:type="pct"/>
          </w:tcPr>
          <w:p w:rsidR="00E0205C" w:rsidRPr="00E0205C" w:rsidRDefault="00E0205C" w:rsidP="00E0205C">
            <w:pPr>
              <w:spacing w:before="60" w:after="20" w:line="240" w:lineRule="auto"/>
              <w:jc w:val="center"/>
              <w:rPr>
                <w:rFonts w:eastAsia="Times New Roman"/>
                <w:color w:val="000000" w:themeColor="text1"/>
                <w:szCs w:val="17"/>
              </w:rPr>
            </w:pPr>
            <w:r w:rsidRPr="00E0205C">
              <w:rPr>
                <w:rFonts w:eastAsia="Times New Roman"/>
                <w:color w:val="000000" w:themeColor="text1"/>
                <w:szCs w:val="17"/>
              </w:rPr>
              <w:t>24</w:t>
            </w:r>
          </w:p>
        </w:tc>
        <w:tc>
          <w:tcPr>
            <w:tcW w:w="684" w:type="pct"/>
          </w:tcPr>
          <w:p w:rsidR="00E0205C" w:rsidRPr="00E0205C" w:rsidRDefault="00E0205C" w:rsidP="00E0205C">
            <w:pPr>
              <w:spacing w:before="60" w:after="20" w:line="240" w:lineRule="auto"/>
              <w:jc w:val="center"/>
              <w:rPr>
                <w:rFonts w:eastAsia="Times New Roman"/>
                <w:color w:val="000000" w:themeColor="text1"/>
                <w:szCs w:val="17"/>
              </w:rPr>
            </w:pPr>
            <w:r w:rsidRPr="00E0205C">
              <w:rPr>
                <w:rFonts w:eastAsia="Times New Roman"/>
                <w:color w:val="000000" w:themeColor="text1"/>
                <w:szCs w:val="17"/>
              </w:rPr>
              <w:t>60</w:t>
            </w:r>
          </w:p>
        </w:tc>
      </w:tr>
      <w:tr w:rsidR="00E0205C" w:rsidRPr="00E0205C" w:rsidTr="00046B75">
        <w:trPr>
          <w:cantSplit/>
          <w:trHeight w:val="227"/>
          <w:jc w:val="center"/>
        </w:trPr>
        <w:tc>
          <w:tcPr>
            <w:tcW w:w="1287" w:type="pct"/>
          </w:tcPr>
          <w:p w:rsidR="00E0205C" w:rsidRPr="00E0205C" w:rsidRDefault="00E0205C" w:rsidP="00E0205C">
            <w:pPr>
              <w:spacing w:before="60" w:after="20" w:line="240" w:lineRule="auto"/>
              <w:jc w:val="left"/>
              <w:rPr>
                <w:rFonts w:eastAsia="Times New Roman"/>
                <w:color w:val="000000" w:themeColor="text1"/>
                <w:szCs w:val="17"/>
              </w:rPr>
            </w:pPr>
            <w:r w:rsidRPr="00E0205C">
              <w:rPr>
                <w:rFonts w:eastAsia="Times New Roman"/>
                <w:color w:val="000000" w:themeColor="text1"/>
                <w:szCs w:val="17"/>
              </w:rPr>
              <w:t>Printing #</w:t>
            </w:r>
          </w:p>
        </w:tc>
        <w:tc>
          <w:tcPr>
            <w:tcW w:w="682" w:type="pct"/>
          </w:tcPr>
          <w:p w:rsidR="00E0205C" w:rsidRPr="00E0205C" w:rsidRDefault="00E0205C" w:rsidP="00E0205C">
            <w:pPr>
              <w:spacing w:before="60" w:after="20" w:line="240" w:lineRule="auto"/>
              <w:jc w:val="center"/>
              <w:rPr>
                <w:rFonts w:eastAsia="Times New Roman"/>
                <w:color w:val="000000" w:themeColor="text1"/>
                <w:szCs w:val="17"/>
              </w:rPr>
            </w:pPr>
            <w:r w:rsidRPr="00E0205C">
              <w:rPr>
                <w:rFonts w:eastAsia="Times New Roman"/>
                <w:color w:val="000000" w:themeColor="text1"/>
                <w:szCs w:val="17"/>
              </w:rPr>
              <w:t>ICP20120</w:t>
            </w:r>
          </w:p>
        </w:tc>
        <w:tc>
          <w:tcPr>
            <w:tcW w:w="1554" w:type="pct"/>
          </w:tcPr>
          <w:p w:rsidR="00E0205C" w:rsidRPr="00E0205C" w:rsidRDefault="00E0205C" w:rsidP="00E0205C">
            <w:pPr>
              <w:spacing w:before="60" w:after="20" w:line="240" w:lineRule="auto"/>
              <w:jc w:val="left"/>
              <w:rPr>
                <w:rFonts w:eastAsia="Times New Roman"/>
                <w:color w:val="000000" w:themeColor="text1"/>
                <w:spacing w:val="-4"/>
                <w:szCs w:val="17"/>
              </w:rPr>
            </w:pPr>
            <w:r w:rsidRPr="00E0205C">
              <w:rPr>
                <w:rFonts w:eastAsia="Times New Roman"/>
                <w:color w:val="000000" w:themeColor="text1"/>
                <w:spacing w:val="-4"/>
                <w:szCs w:val="17"/>
              </w:rPr>
              <w:t>Certificate II in Printing and Graphic Arts</w:t>
            </w:r>
          </w:p>
        </w:tc>
        <w:tc>
          <w:tcPr>
            <w:tcW w:w="793" w:type="pct"/>
          </w:tcPr>
          <w:p w:rsidR="00E0205C" w:rsidRPr="00E0205C" w:rsidRDefault="00E0205C" w:rsidP="00E0205C">
            <w:pPr>
              <w:spacing w:before="60" w:after="20" w:line="240" w:lineRule="auto"/>
              <w:jc w:val="center"/>
              <w:rPr>
                <w:rFonts w:eastAsia="Times New Roman"/>
                <w:color w:val="000000" w:themeColor="text1"/>
                <w:szCs w:val="17"/>
              </w:rPr>
            </w:pPr>
            <w:r w:rsidRPr="00E0205C">
              <w:rPr>
                <w:rFonts w:eastAsia="Times New Roman"/>
                <w:color w:val="000000" w:themeColor="text1"/>
                <w:szCs w:val="17"/>
              </w:rPr>
              <w:t>24</w:t>
            </w:r>
          </w:p>
        </w:tc>
        <w:tc>
          <w:tcPr>
            <w:tcW w:w="684" w:type="pct"/>
          </w:tcPr>
          <w:p w:rsidR="00E0205C" w:rsidRPr="00E0205C" w:rsidRDefault="00E0205C" w:rsidP="00E0205C">
            <w:pPr>
              <w:spacing w:before="60" w:after="20" w:line="240" w:lineRule="auto"/>
              <w:jc w:val="center"/>
              <w:rPr>
                <w:rFonts w:eastAsia="Times New Roman"/>
                <w:color w:val="000000" w:themeColor="text1"/>
                <w:szCs w:val="17"/>
              </w:rPr>
            </w:pPr>
            <w:r w:rsidRPr="00E0205C">
              <w:rPr>
                <w:rFonts w:eastAsia="Times New Roman"/>
                <w:color w:val="000000" w:themeColor="text1"/>
                <w:szCs w:val="17"/>
              </w:rPr>
              <w:t>60</w:t>
            </w:r>
          </w:p>
        </w:tc>
      </w:tr>
      <w:tr w:rsidR="00E0205C" w:rsidRPr="00E0205C" w:rsidTr="00046B75">
        <w:trPr>
          <w:cantSplit/>
          <w:trHeight w:val="227"/>
          <w:jc w:val="center"/>
        </w:trPr>
        <w:tc>
          <w:tcPr>
            <w:tcW w:w="1287" w:type="pct"/>
          </w:tcPr>
          <w:p w:rsidR="00E0205C" w:rsidRPr="00E0205C" w:rsidRDefault="00E0205C" w:rsidP="00E0205C">
            <w:pPr>
              <w:spacing w:before="60" w:after="20" w:line="240" w:lineRule="auto"/>
              <w:jc w:val="left"/>
              <w:rPr>
                <w:rFonts w:eastAsia="Times New Roman"/>
                <w:color w:val="000000" w:themeColor="text1"/>
                <w:szCs w:val="17"/>
              </w:rPr>
            </w:pPr>
            <w:r w:rsidRPr="00E0205C">
              <w:rPr>
                <w:rFonts w:eastAsia="Times New Roman"/>
                <w:color w:val="000000" w:themeColor="text1"/>
                <w:szCs w:val="17"/>
              </w:rPr>
              <w:t>Sack and Bag Manufacture #</w:t>
            </w:r>
          </w:p>
        </w:tc>
        <w:tc>
          <w:tcPr>
            <w:tcW w:w="682" w:type="pct"/>
          </w:tcPr>
          <w:p w:rsidR="00E0205C" w:rsidRPr="00E0205C" w:rsidRDefault="00E0205C" w:rsidP="00E0205C">
            <w:pPr>
              <w:spacing w:before="60" w:after="20" w:line="240" w:lineRule="auto"/>
              <w:jc w:val="center"/>
              <w:rPr>
                <w:rFonts w:eastAsia="Times New Roman"/>
                <w:color w:val="000000" w:themeColor="text1"/>
                <w:szCs w:val="17"/>
              </w:rPr>
            </w:pPr>
            <w:r w:rsidRPr="00E0205C">
              <w:rPr>
                <w:rFonts w:eastAsia="Times New Roman"/>
                <w:color w:val="000000" w:themeColor="text1"/>
                <w:szCs w:val="17"/>
              </w:rPr>
              <w:t>ICP20120</w:t>
            </w:r>
          </w:p>
        </w:tc>
        <w:tc>
          <w:tcPr>
            <w:tcW w:w="1554" w:type="pct"/>
          </w:tcPr>
          <w:p w:rsidR="00E0205C" w:rsidRPr="00E0205C" w:rsidRDefault="00E0205C" w:rsidP="00E0205C">
            <w:pPr>
              <w:spacing w:before="60" w:after="20" w:line="240" w:lineRule="auto"/>
              <w:jc w:val="left"/>
              <w:rPr>
                <w:rFonts w:eastAsia="Times New Roman"/>
                <w:color w:val="000000" w:themeColor="text1"/>
                <w:spacing w:val="-4"/>
                <w:szCs w:val="17"/>
              </w:rPr>
            </w:pPr>
            <w:r w:rsidRPr="00E0205C">
              <w:rPr>
                <w:rFonts w:eastAsia="Times New Roman"/>
                <w:color w:val="000000" w:themeColor="text1"/>
                <w:spacing w:val="-4"/>
                <w:szCs w:val="17"/>
              </w:rPr>
              <w:t>Certificate II in Printing and Graphic Arts</w:t>
            </w:r>
          </w:p>
        </w:tc>
        <w:tc>
          <w:tcPr>
            <w:tcW w:w="793" w:type="pct"/>
          </w:tcPr>
          <w:p w:rsidR="00E0205C" w:rsidRPr="00E0205C" w:rsidRDefault="00E0205C" w:rsidP="00E0205C">
            <w:pPr>
              <w:spacing w:before="60" w:after="20" w:line="240" w:lineRule="auto"/>
              <w:jc w:val="center"/>
              <w:rPr>
                <w:rFonts w:eastAsia="Times New Roman"/>
                <w:color w:val="000000" w:themeColor="text1"/>
                <w:szCs w:val="17"/>
              </w:rPr>
            </w:pPr>
            <w:r w:rsidRPr="00E0205C">
              <w:rPr>
                <w:rFonts w:eastAsia="Times New Roman"/>
                <w:color w:val="000000" w:themeColor="text1"/>
                <w:szCs w:val="17"/>
              </w:rPr>
              <w:t>24</w:t>
            </w:r>
          </w:p>
        </w:tc>
        <w:tc>
          <w:tcPr>
            <w:tcW w:w="684" w:type="pct"/>
          </w:tcPr>
          <w:p w:rsidR="00E0205C" w:rsidRPr="00E0205C" w:rsidRDefault="00E0205C" w:rsidP="00E0205C">
            <w:pPr>
              <w:spacing w:before="60" w:after="20" w:line="240" w:lineRule="auto"/>
              <w:jc w:val="center"/>
              <w:rPr>
                <w:rFonts w:eastAsia="Times New Roman"/>
                <w:color w:val="000000" w:themeColor="text1"/>
                <w:szCs w:val="17"/>
              </w:rPr>
            </w:pPr>
            <w:r w:rsidRPr="00E0205C">
              <w:rPr>
                <w:rFonts w:eastAsia="Times New Roman"/>
                <w:color w:val="000000" w:themeColor="text1"/>
                <w:szCs w:val="17"/>
              </w:rPr>
              <w:t>60</w:t>
            </w:r>
          </w:p>
        </w:tc>
      </w:tr>
      <w:tr w:rsidR="00E0205C" w:rsidRPr="00E0205C" w:rsidTr="00046B75">
        <w:trPr>
          <w:cantSplit/>
          <w:trHeight w:val="227"/>
          <w:jc w:val="center"/>
        </w:trPr>
        <w:tc>
          <w:tcPr>
            <w:tcW w:w="1287" w:type="pct"/>
          </w:tcPr>
          <w:p w:rsidR="00E0205C" w:rsidRPr="00E0205C" w:rsidRDefault="00E0205C" w:rsidP="00E0205C">
            <w:pPr>
              <w:spacing w:before="60" w:after="20" w:line="240" w:lineRule="auto"/>
              <w:jc w:val="left"/>
              <w:rPr>
                <w:rFonts w:eastAsia="Times New Roman"/>
                <w:color w:val="000000" w:themeColor="text1"/>
                <w:szCs w:val="17"/>
              </w:rPr>
            </w:pPr>
            <w:r w:rsidRPr="00E0205C">
              <w:rPr>
                <w:rFonts w:eastAsia="Times New Roman"/>
                <w:color w:val="000000" w:themeColor="text1"/>
                <w:szCs w:val="17"/>
              </w:rPr>
              <w:t>Printing #</w:t>
            </w:r>
          </w:p>
        </w:tc>
        <w:tc>
          <w:tcPr>
            <w:tcW w:w="682" w:type="pct"/>
          </w:tcPr>
          <w:p w:rsidR="00E0205C" w:rsidRPr="00E0205C" w:rsidRDefault="00E0205C" w:rsidP="00E0205C">
            <w:pPr>
              <w:spacing w:before="60" w:after="20" w:line="240" w:lineRule="auto"/>
              <w:jc w:val="center"/>
              <w:rPr>
                <w:rFonts w:eastAsia="Times New Roman"/>
                <w:color w:val="000000" w:themeColor="text1"/>
                <w:szCs w:val="17"/>
              </w:rPr>
            </w:pPr>
            <w:r w:rsidRPr="00E0205C">
              <w:rPr>
                <w:rFonts w:eastAsia="Times New Roman"/>
                <w:color w:val="000000" w:themeColor="text1"/>
                <w:szCs w:val="17"/>
              </w:rPr>
              <w:t>ICP31220</w:t>
            </w:r>
          </w:p>
        </w:tc>
        <w:tc>
          <w:tcPr>
            <w:tcW w:w="1554" w:type="pct"/>
          </w:tcPr>
          <w:p w:rsidR="00E0205C" w:rsidRPr="00E0205C" w:rsidRDefault="00E0205C" w:rsidP="00E0205C">
            <w:pPr>
              <w:spacing w:before="60" w:after="20" w:line="240" w:lineRule="auto"/>
              <w:jc w:val="left"/>
              <w:rPr>
                <w:rFonts w:eastAsia="Times New Roman"/>
                <w:color w:val="000000" w:themeColor="text1"/>
                <w:szCs w:val="17"/>
              </w:rPr>
            </w:pPr>
            <w:r w:rsidRPr="00E0205C">
              <w:rPr>
                <w:rFonts w:eastAsia="Times New Roman"/>
                <w:color w:val="000000" w:themeColor="text1"/>
                <w:szCs w:val="17"/>
              </w:rPr>
              <w:t>Certificate III in Printing</w:t>
            </w:r>
          </w:p>
        </w:tc>
        <w:tc>
          <w:tcPr>
            <w:tcW w:w="793" w:type="pct"/>
          </w:tcPr>
          <w:p w:rsidR="00E0205C" w:rsidRPr="00E0205C" w:rsidRDefault="00E0205C" w:rsidP="00E0205C">
            <w:pPr>
              <w:spacing w:before="60" w:after="20" w:line="240" w:lineRule="auto"/>
              <w:jc w:val="center"/>
              <w:rPr>
                <w:rFonts w:eastAsia="Times New Roman"/>
                <w:color w:val="000000" w:themeColor="text1"/>
                <w:szCs w:val="17"/>
              </w:rPr>
            </w:pPr>
            <w:r w:rsidRPr="00E0205C">
              <w:rPr>
                <w:rFonts w:eastAsia="Times New Roman"/>
                <w:color w:val="000000" w:themeColor="text1"/>
                <w:szCs w:val="17"/>
              </w:rPr>
              <w:t>36</w:t>
            </w:r>
          </w:p>
        </w:tc>
        <w:tc>
          <w:tcPr>
            <w:tcW w:w="684" w:type="pct"/>
          </w:tcPr>
          <w:p w:rsidR="00E0205C" w:rsidRPr="00E0205C" w:rsidRDefault="00E0205C" w:rsidP="00E0205C">
            <w:pPr>
              <w:spacing w:before="60" w:after="20" w:line="240" w:lineRule="auto"/>
              <w:jc w:val="center"/>
              <w:rPr>
                <w:rFonts w:eastAsia="Times New Roman"/>
                <w:color w:val="000000" w:themeColor="text1"/>
                <w:szCs w:val="17"/>
              </w:rPr>
            </w:pPr>
            <w:r w:rsidRPr="00E0205C">
              <w:rPr>
                <w:rFonts w:eastAsia="Times New Roman"/>
                <w:color w:val="000000" w:themeColor="text1"/>
                <w:szCs w:val="17"/>
              </w:rPr>
              <w:t>90</w:t>
            </w:r>
          </w:p>
        </w:tc>
      </w:tr>
      <w:tr w:rsidR="00E0205C" w:rsidRPr="00E0205C" w:rsidTr="00046B75">
        <w:trPr>
          <w:cantSplit/>
          <w:trHeight w:val="227"/>
          <w:jc w:val="center"/>
        </w:trPr>
        <w:tc>
          <w:tcPr>
            <w:tcW w:w="1287" w:type="pct"/>
          </w:tcPr>
          <w:p w:rsidR="00E0205C" w:rsidRPr="00E0205C" w:rsidRDefault="00E0205C" w:rsidP="00E0205C">
            <w:pPr>
              <w:spacing w:before="60" w:after="20" w:line="240" w:lineRule="auto"/>
              <w:jc w:val="left"/>
              <w:rPr>
                <w:rFonts w:eastAsia="Times New Roman"/>
                <w:color w:val="000000" w:themeColor="text1"/>
                <w:szCs w:val="17"/>
              </w:rPr>
            </w:pPr>
            <w:r w:rsidRPr="00E0205C">
              <w:rPr>
                <w:rFonts w:eastAsia="Times New Roman"/>
                <w:color w:val="000000" w:themeColor="text1"/>
                <w:szCs w:val="17"/>
              </w:rPr>
              <w:t>Printing Machining *</w:t>
            </w:r>
          </w:p>
        </w:tc>
        <w:tc>
          <w:tcPr>
            <w:tcW w:w="682" w:type="pct"/>
          </w:tcPr>
          <w:p w:rsidR="00E0205C" w:rsidRPr="00E0205C" w:rsidRDefault="00E0205C" w:rsidP="00E0205C">
            <w:pPr>
              <w:spacing w:before="60" w:after="20" w:line="240" w:lineRule="auto"/>
              <w:jc w:val="center"/>
              <w:rPr>
                <w:rFonts w:eastAsia="Times New Roman"/>
                <w:color w:val="000000" w:themeColor="text1"/>
                <w:szCs w:val="17"/>
              </w:rPr>
            </w:pPr>
            <w:r w:rsidRPr="00E0205C">
              <w:rPr>
                <w:rFonts w:eastAsia="Times New Roman"/>
                <w:color w:val="000000" w:themeColor="text1"/>
                <w:szCs w:val="17"/>
              </w:rPr>
              <w:t>ICP31220</w:t>
            </w:r>
          </w:p>
        </w:tc>
        <w:tc>
          <w:tcPr>
            <w:tcW w:w="1554" w:type="pct"/>
          </w:tcPr>
          <w:p w:rsidR="00E0205C" w:rsidRPr="00E0205C" w:rsidRDefault="00E0205C" w:rsidP="00E0205C">
            <w:pPr>
              <w:spacing w:before="60" w:after="20" w:line="240" w:lineRule="auto"/>
              <w:jc w:val="left"/>
              <w:rPr>
                <w:rFonts w:eastAsia="Times New Roman"/>
                <w:color w:val="000000" w:themeColor="text1"/>
                <w:szCs w:val="17"/>
              </w:rPr>
            </w:pPr>
            <w:r w:rsidRPr="00E0205C">
              <w:rPr>
                <w:rFonts w:eastAsia="Times New Roman"/>
                <w:color w:val="000000" w:themeColor="text1"/>
                <w:szCs w:val="17"/>
              </w:rPr>
              <w:t>Certificate III in Printing</w:t>
            </w:r>
          </w:p>
        </w:tc>
        <w:tc>
          <w:tcPr>
            <w:tcW w:w="793" w:type="pct"/>
          </w:tcPr>
          <w:p w:rsidR="00E0205C" w:rsidRPr="00E0205C" w:rsidRDefault="00E0205C" w:rsidP="00E0205C">
            <w:pPr>
              <w:spacing w:before="60" w:after="20" w:line="240" w:lineRule="auto"/>
              <w:jc w:val="center"/>
              <w:rPr>
                <w:rFonts w:eastAsia="Times New Roman"/>
                <w:color w:val="000000" w:themeColor="text1"/>
                <w:szCs w:val="17"/>
              </w:rPr>
            </w:pPr>
            <w:r w:rsidRPr="00E0205C">
              <w:rPr>
                <w:rFonts w:eastAsia="Times New Roman"/>
                <w:color w:val="000000" w:themeColor="text1"/>
                <w:szCs w:val="17"/>
              </w:rPr>
              <w:t>48</w:t>
            </w:r>
          </w:p>
        </w:tc>
        <w:tc>
          <w:tcPr>
            <w:tcW w:w="684" w:type="pct"/>
          </w:tcPr>
          <w:p w:rsidR="00E0205C" w:rsidRPr="00E0205C" w:rsidRDefault="00E0205C" w:rsidP="00E0205C">
            <w:pPr>
              <w:spacing w:before="60" w:after="20" w:line="240" w:lineRule="auto"/>
              <w:jc w:val="center"/>
              <w:rPr>
                <w:rFonts w:eastAsia="Times New Roman"/>
                <w:color w:val="000000" w:themeColor="text1"/>
                <w:szCs w:val="17"/>
              </w:rPr>
            </w:pPr>
            <w:r w:rsidRPr="00E0205C">
              <w:rPr>
                <w:rFonts w:eastAsia="Times New Roman"/>
                <w:color w:val="000000" w:themeColor="text1"/>
                <w:szCs w:val="17"/>
              </w:rPr>
              <w:t>90</w:t>
            </w:r>
          </w:p>
        </w:tc>
      </w:tr>
      <w:tr w:rsidR="00E0205C" w:rsidRPr="00E0205C" w:rsidTr="00046B75">
        <w:trPr>
          <w:cantSplit/>
          <w:trHeight w:val="227"/>
          <w:jc w:val="center"/>
        </w:trPr>
        <w:tc>
          <w:tcPr>
            <w:tcW w:w="1287" w:type="pct"/>
          </w:tcPr>
          <w:p w:rsidR="00E0205C" w:rsidRPr="00E0205C" w:rsidRDefault="00E0205C" w:rsidP="00E0205C">
            <w:pPr>
              <w:spacing w:before="60" w:after="20" w:line="240" w:lineRule="auto"/>
              <w:jc w:val="left"/>
              <w:rPr>
                <w:rFonts w:eastAsia="Times New Roman"/>
                <w:color w:val="000000" w:themeColor="text1"/>
                <w:szCs w:val="17"/>
              </w:rPr>
            </w:pPr>
            <w:r w:rsidRPr="00E0205C">
              <w:rPr>
                <w:rFonts w:eastAsia="Times New Roman"/>
                <w:color w:val="000000" w:themeColor="text1"/>
                <w:szCs w:val="17"/>
              </w:rPr>
              <w:t>Screen Printing Stencil Preparation #</w:t>
            </w:r>
          </w:p>
        </w:tc>
        <w:tc>
          <w:tcPr>
            <w:tcW w:w="682" w:type="pct"/>
          </w:tcPr>
          <w:p w:rsidR="00E0205C" w:rsidRPr="00E0205C" w:rsidRDefault="00E0205C" w:rsidP="00E0205C">
            <w:pPr>
              <w:spacing w:before="60" w:after="20" w:line="240" w:lineRule="auto"/>
              <w:jc w:val="center"/>
              <w:rPr>
                <w:rFonts w:eastAsia="Times New Roman"/>
                <w:color w:val="000000" w:themeColor="text1"/>
                <w:szCs w:val="17"/>
              </w:rPr>
            </w:pPr>
            <w:r w:rsidRPr="00E0205C">
              <w:rPr>
                <w:rFonts w:eastAsia="Times New Roman"/>
                <w:color w:val="000000" w:themeColor="text1"/>
                <w:szCs w:val="17"/>
              </w:rPr>
              <w:t>ICP31220</w:t>
            </w:r>
          </w:p>
        </w:tc>
        <w:tc>
          <w:tcPr>
            <w:tcW w:w="1554" w:type="pct"/>
          </w:tcPr>
          <w:p w:rsidR="00E0205C" w:rsidRPr="00E0205C" w:rsidRDefault="00E0205C" w:rsidP="00E0205C">
            <w:pPr>
              <w:spacing w:before="60" w:after="20" w:line="240" w:lineRule="auto"/>
              <w:jc w:val="left"/>
              <w:rPr>
                <w:rFonts w:eastAsia="Times New Roman"/>
                <w:color w:val="000000" w:themeColor="text1"/>
                <w:szCs w:val="17"/>
              </w:rPr>
            </w:pPr>
            <w:r w:rsidRPr="00E0205C">
              <w:rPr>
                <w:rFonts w:eastAsia="Times New Roman"/>
                <w:color w:val="000000" w:themeColor="text1"/>
                <w:szCs w:val="17"/>
              </w:rPr>
              <w:t>Certificate III in Printing</w:t>
            </w:r>
          </w:p>
        </w:tc>
        <w:tc>
          <w:tcPr>
            <w:tcW w:w="793" w:type="pct"/>
          </w:tcPr>
          <w:p w:rsidR="00E0205C" w:rsidRPr="00E0205C" w:rsidRDefault="00E0205C" w:rsidP="00E0205C">
            <w:pPr>
              <w:spacing w:before="60" w:after="20" w:line="240" w:lineRule="auto"/>
              <w:jc w:val="center"/>
              <w:rPr>
                <w:rFonts w:eastAsia="Times New Roman"/>
                <w:color w:val="000000" w:themeColor="text1"/>
                <w:szCs w:val="17"/>
              </w:rPr>
            </w:pPr>
            <w:r w:rsidRPr="00E0205C">
              <w:rPr>
                <w:rFonts w:eastAsia="Times New Roman"/>
                <w:color w:val="000000" w:themeColor="text1"/>
                <w:szCs w:val="17"/>
              </w:rPr>
              <w:t>48</w:t>
            </w:r>
          </w:p>
        </w:tc>
        <w:tc>
          <w:tcPr>
            <w:tcW w:w="684" w:type="pct"/>
          </w:tcPr>
          <w:p w:rsidR="00E0205C" w:rsidRPr="00E0205C" w:rsidRDefault="00E0205C" w:rsidP="00E0205C">
            <w:pPr>
              <w:spacing w:before="60" w:after="20" w:line="240" w:lineRule="auto"/>
              <w:jc w:val="center"/>
              <w:rPr>
                <w:rFonts w:eastAsia="Times New Roman"/>
                <w:color w:val="000000" w:themeColor="text1"/>
                <w:szCs w:val="17"/>
              </w:rPr>
            </w:pPr>
            <w:r w:rsidRPr="00E0205C">
              <w:rPr>
                <w:rFonts w:eastAsia="Times New Roman"/>
                <w:color w:val="000000" w:themeColor="text1"/>
                <w:szCs w:val="17"/>
              </w:rPr>
              <w:t>90</w:t>
            </w:r>
          </w:p>
        </w:tc>
      </w:tr>
      <w:tr w:rsidR="00E0205C" w:rsidRPr="00E0205C" w:rsidTr="00046B75">
        <w:trPr>
          <w:cantSplit/>
          <w:trHeight w:val="227"/>
          <w:jc w:val="center"/>
        </w:trPr>
        <w:tc>
          <w:tcPr>
            <w:tcW w:w="1287" w:type="pct"/>
          </w:tcPr>
          <w:p w:rsidR="00E0205C" w:rsidRPr="00E0205C" w:rsidRDefault="00E0205C" w:rsidP="00E0205C">
            <w:pPr>
              <w:spacing w:before="60" w:after="20" w:line="240" w:lineRule="auto"/>
              <w:jc w:val="left"/>
              <w:rPr>
                <w:rFonts w:eastAsia="Times New Roman"/>
                <w:color w:val="000000" w:themeColor="text1"/>
                <w:szCs w:val="17"/>
              </w:rPr>
            </w:pPr>
            <w:r w:rsidRPr="00E0205C">
              <w:rPr>
                <w:rFonts w:eastAsia="Times New Roman"/>
                <w:color w:val="000000" w:themeColor="text1"/>
                <w:szCs w:val="17"/>
              </w:rPr>
              <w:t>Binding and Finishing *</w:t>
            </w:r>
          </w:p>
        </w:tc>
        <w:tc>
          <w:tcPr>
            <w:tcW w:w="682" w:type="pct"/>
          </w:tcPr>
          <w:p w:rsidR="00E0205C" w:rsidRPr="00E0205C" w:rsidRDefault="00E0205C" w:rsidP="00E0205C">
            <w:pPr>
              <w:spacing w:before="60" w:after="20" w:line="240" w:lineRule="auto"/>
              <w:jc w:val="center"/>
              <w:rPr>
                <w:rFonts w:eastAsia="Times New Roman"/>
                <w:color w:val="000000" w:themeColor="text1"/>
                <w:szCs w:val="17"/>
              </w:rPr>
            </w:pPr>
            <w:r w:rsidRPr="00E0205C">
              <w:rPr>
                <w:rFonts w:eastAsia="Times New Roman"/>
                <w:color w:val="000000" w:themeColor="text1"/>
                <w:szCs w:val="17"/>
              </w:rPr>
              <w:t>ICP31320</w:t>
            </w:r>
          </w:p>
        </w:tc>
        <w:tc>
          <w:tcPr>
            <w:tcW w:w="1554" w:type="pct"/>
          </w:tcPr>
          <w:p w:rsidR="00E0205C" w:rsidRPr="00E0205C" w:rsidRDefault="00E0205C" w:rsidP="00E0205C">
            <w:pPr>
              <w:spacing w:before="60" w:after="20" w:line="240" w:lineRule="auto"/>
              <w:jc w:val="left"/>
              <w:rPr>
                <w:rFonts w:eastAsia="Times New Roman"/>
                <w:color w:val="000000" w:themeColor="text1"/>
                <w:szCs w:val="17"/>
              </w:rPr>
            </w:pPr>
            <w:r w:rsidRPr="00E0205C">
              <w:rPr>
                <w:rFonts w:eastAsia="Times New Roman"/>
                <w:color w:val="000000" w:themeColor="text1"/>
                <w:szCs w:val="17"/>
              </w:rPr>
              <w:t>Certificate III in Print Binding, Finishing and Packaging</w:t>
            </w:r>
          </w:p>
        </w:tc>
        <w:tc>
          <w:tcPr>
            <w:tcW w:w="793" w:type="pct"/>
          </w:tcPr>
          <w:p w:rsidR="00E0205C" w:rsidRPr="00E0205C" w:rsidRDefault="00E0205C" w:rsidP="00E0205C">
            <w:pPr>
              <w:spacing w:before="60" w:after="20" w:line="240" w:lineRule="auto"/>
              <w:jc w:val="center"/>
              <w:rPr>
                <w:rFonts w:eastAsia="Times New Roman"/>
                <w:color w:val="000000" w:themeColor="text1"/>
                <w:szCs w:val="17"/>
              </w:rPr>
            </w:pPr>
            <w:r w:rsidRPr="00E0205C">
              <w:rPr>
                <w:rFonts w:eastAsia="Times New Roman"/>
                <w:color w:val="000000" w:themeColor="text1"/>
                <w:szCs w:val="17"/>
              </w:rPr>
              <w:t>48</w:t>
            </w:r>
          </w:p>
        </w:tc>
        <w:tc>
          <w:tcPr>
            <w:tcW w:w="684" w:type="pct"/>
          </w:tcPr>
          <w:p w:rsidR="00E0205C" w:rsidRPr="00E0205C" w:rsidRDefault="00E0205C" w:rsidP="00E0205C">
            <w:pPr>
              <w:spacing w:before="60" w:after="20" w:line="240" w:lineRule="auto"/>
              <w:jc w:val="center"/>
              <w:rPr>
                <w:rFonts w:eastAsia="Times New Roman"/>
                <w:color w:val="000000" w:themeColor="text1"/>
                <w:szCs w:val="17"/>
              </w:rPr>
            </w:pPr>
            <w:r w:rsidRPr="00E0205C">
              <w:rPr>
                <w:rFonts w:eastAsia="Times New Roman"/>
                <w:color w:val="000000" w:themeColor="text1"/>
                <w:szCs w:val="17"/>
              </w:rPr>
              <w:t>90</w:t>
            </w:r>
          </w:p>
        </w:tc>
      </w:tr>
      <w:tr w:rsidR="00E0205C" w:rsidRPr="00E0205C" w:rsidTr="00046B75">
        <w:trPr>
          <w:cantSplit/>
          <w:trHeight w:val="227"/>
          <w:jc w:val="center"/>
        </w:trPr>
        <w:tc>
          <w:tcPr>
            <w:tcW w:w="1287" w:type="pct"/>
          </w:tcPr>
          <w:p w:rsidR="00E0205C" w:rsidRPr="00E0205C" w:rsidRDefault="00E0205C" w:rsidP="00E0205C">
            <w:pPr>
              <w:spacing w:before="60" w:after="20" w:line="240" w:lineRule="auto"/>
              <w:jc w:val="left"/>
              <w:rPr>
                <w:rFonts w:eastAsia="Times New Roman"/>
                <w:color w:val="000000" w:themeColor="text1"/>
                <w:szCs w:val="17"/>
              </w:rPr>
            </w:pPr>
            <w:r w:rsidRPr="00E0205C">
              <w:rPr>
                <w:rFonts w:eastAsia="Times New Roman"/>
                <w:color w:val="000000" w:themeColor="text1"/>
                <w:szCs w:val="17"/>
              </w:rPr>
              <w:t>Carton Manufacture and Corrugating Operations #</w:t>
            </w:r>
          </w:p>
        </w:tc>
        <w:tc>
          <w:tcPr>
            <w:tcW w:w="682" w:type="pct"/>
          </w:tcPr>
          <w:p w:rsidR="00E0205C" w:rsidRPr="00E0205C" w:rsidRDefault="00E0205C" w:rsidP="00E0205C">
            <w:pPr>
              <w:spacing w:before="60" w:after="20" w:line="240" w:lineRule="auto"/>
              <w:jc w:val="center"/>
              <w:rPr>
                <w:rFonts w:eastAsia="Times New Roman"/>
                <w:color w:val="000000" w:themeColor="text1"/>
                <w:szCs w:val="17"/>
              </w:rPr>
            </w:pPr>
            <w:r w:rsidRPr="00E0205C">
              <w:rPr>
                <w:rFonts w:eastAsia="Times New Roman"/>
                <w:color w:val="000000" w:themeColor="text1"/>
                <w:szCs w:val="17"/>
              </w:rPr>
              <w:t>ICP31320</w:t>
            </w:r>
          </w:p>
        </w:tc>
        <w:tc>
          <w:tcPr>
            <w:tcW w:w="1554" w:type="pct"/>
          </w:tcPr>
          <w:p w:rsidR="00E0205C" w:rsidRPr="00E0205C" w:rsidRDefault="00E0205C" w:rsidP="00E0205C">
            <w:pPr>
              <w:spacing w:before="60" w:after="20" w:line="240" w:lineRule="auto"/>
              <w:jc w:val="left"/>
              <w:rPr>
                <w:rFonts w:eastAsia="Times New Roman"/>
                <w:color w:val="000000" w:themeColor="text1"/>
                <w:szCs w:val="17"/>
              </w:rPr>
            </w:pPr>
            <w:r w:rsidRPr="00E0205C">
              <w:rPr>
                <w:rFonts w:eastAsia="Times New Roman"/>
                <w:color w:val="000000" w:themeColor="text1"/>
                <w:szCs w:val="17"/>
              </w:rPr>
              <w:t>Certificate III in Print Binding, Finishing and Packaging</w:t>
            </w:r>
          </w:p>
        </w:tc>
        <w:tc>
          <w:tcPr>
            <w:tcW w:w="793" w:type="pct"/>
          </w:tcPr>
          <w:p w:rsidR="00E0205C" w:rsidRPr="00E0205C" w:rsidRDefault="00E0205C" w:rsidP="00E0205C">
            <w:pPr>
              <w:spacing w:before="60" w:after="20" w:line="240" w:lineRule="auto"/>
              <w:jc w:val="center"/>
              <w:rPr>
                <w:rFonts w:eastAsia="Times New Roman"/>
                <w:color w:val="000000" w:themeColor="text1"/>
                <w:szCs w:val="17"/>
              </w:rPr>
            </w:pPr>
            <w:r w:rsidRPr="00E0205C">
              <w:rPr>
                <w:rFonts w:eastAsia="Times New Roman"/>
                <w:color w:val="000000" w:themeColor="text1"/>
                <w:szCs w:val="17"/>
              </w:rPr>
              <w:t>48</w:t>
            </w:r>
          </w:p>
        </w:tc>
        <w:tc>
          <w:tcPr>
            <w:tcW w:w="684" w:type="pct"/>
          </w:tcPr>
          <w:p w:rsidR="00E0205C" w:rsidRPr="00E0205C" w:rsidRDefault="00E0205C" w:rsidP="00E0205C">
            <w:pPr>
              <w:spacing w:before="60" w:after="20" w:line="240" w:lineRule="auto"/>
              <w:jc w:val="center"/>
              <w:rPr>
                <w:rFonts w:eastAsia="Times New Roman"/>
                <w:color w:val="000000" w:themeColor="text1"/>
                <w:szCs w:val="17"/>
              </w:rPr>
            </w:pPr>
            <w:r w:rsidRPr="00E0205C">
              <w:rPr>
                <w:rFonts w:eastAsia="Times New Roman"/>
                <w:color w:val="000000" w:themeColor="text1"/>
                <w:szCs w:val="17"/>
              </w:rPr>
              <w:t>90</w:t>
            </w:r>
          </w:p>
        </w:tc>
      </w:tr>
      <w:tr w:rsidR="00E0205C" w:rsidRPr="00E0205C" w:rsidTr="00046B75">
        <w:trPr>
          <w:cantSplit/>
          <w:trHeight w:val="227"/>
          <w:jc w:val="center"/>
        </w:trPr>
        <w:tc>
          <w:tcPr>
            <w:tcW w:w="1287" w:type="pct"/>
          </w:tcPr>
          <w:p w:rsidR="00E0205C" w:rsidRPr="00E0205C" w:rsidRDefault="00E0205C" w:rsidP="00E0205C">
            <w:pPr>
              <w:spacing w:before="60" w:after="20" w:line="240" w:lineRule="auto"/>
              <w:jc w:val="left"/>
              <w:rPr>
                <w:rFonts w:eastAsia="Times New Roman"/>
                <w:color w:val="000000" w:themeColor="text1"/>
                <w:szCs w:val="17"/>
              </w:rPr>
            </w:pPr>
            <w:r w:rsidRPr="00E0205C">
              <w:rPr>
                <w:rFonts w:eastAsia="Times New Roman"/>
                <w:color w:val="000000" w:themeColor="text1"/>
                <w:szCs w:val="17"/>
              </w:rPr>
              <w:t>Mail House Operations #</w:t>
            </w:r>
          </w:p>
        </w:tc>
        <w:tc>
          <w:tcPr>
            <w:tcW w:w="682" w:type="pct"/>
          </w:tcPr>
          <w:p w:rsidR="00E0205C" w:rsidRPr="00E0205C" w:rsidRDefault="00E0205C" w:rsidP="00E0205C">
            <w:pPr>
              <w:spacing w:before="60" w:after="20" w:line="240" w:lineRule="auto"/>
              <w:jc w:val="center"/>
              <w:rPr>
                <w:rFonts w:eastAsia="Times New Roman"/>
                <w:color w:val="000000" w:themeColor="text1"/>
                <w:szCs w:val="17"/>
              </w:rPr>
            </w:pPr>
            <w:r w:rsidRPr="00E0205C">
              <w:rPr>
                <w:rFonts w:eastAsia="Times New Roman"/>
                <w:color w:val="000000" w:themeColor="text1"/>
                <w:szCs w:val="17"/>
              </w:rPr>
              <w:t>ICP31320</w:t>
            </w:r>
          </w:p>
        </w:tc>
        <w:tc>
          <w:tcPr>
            <w:tcW w:w="1554" w:type="pct"/>
          </w:tcPr>
          <w:p w:rsidR="00E0205C" w:rsidRPr="00E0205C" w:rsidRDefault="00E0205C" w:rsidP="00E0205C">
            <w:pPr>
              <w:spacing w:before="60" w:after="20" w:line="240" w:lineRule="auto"/>
              <w:jc w:val="left"/>
              <w:rPr>
                <w:rFonts w:eastAsia="Times New Roman"/>
                <w:color w:val="000000" w:themeColor="text1"/>
                <w:szCs w:val="17"/>
              </w:rPr>
            </w:pPr>
            <w:r w:rsidRPr="00E0205C">
              <w:rPr>
                <w:rFonts w:eastAsia="Times New Roman"/>
                <w:color w:val="000000" w:themeColor="text1"/>
                <w:szCs w:val="17"/>
              </w:rPr>
              <w:t>Certificate III in Print Binding, Finishing and Packaging</w:t>
            </w:r>
          </w:p>
        </w:tc>
        <w:tc>
          <w:tcPr>
            <w:tcW w:w="793" w:type="pct"/>
          </w:tcPr>
          <w:p w:rsidR="00E0205C" w:rsidRPr="00E0205C" w:rsidRDefault="00E0205C" w:rsidP="00E0205C">
            <w:pPr>
              <w:spacing w:before="60" w:after="20" w:line="240" w:lineRule="auto"/>
              <w:jc w:val="center"/>
              <w:rPr>
                <w:rFonts w:eastAsia="Times New Roman"/>
                <w:color w:val="000000" w:themeColor="text1"/>
                <w:szCs w:val="17"/>
              </w:rPr>
            </w:pPr>
            <w:r w:rsidRPr="00E0205C">
              <w:rPr>
                <w:rFonts w:eastAsia="Times New Roman"/>
                <w:color w:val="000000" w:themeColor="text1"/>
                <w:szCs w:val="17"/>
              </w:rPr>
              <w:t>36</w:t>
            </w:r>
          </w:p>
        </w:tc>
        <w:tc>
          <w:tcPr>
            <w:tcW w:w="684" w:type="pct"/>
          </w:tcPr>
          <w:p w:rsidR="00E0205C" w:rsidRPr="00E0205C" w:rsidRDefault="00E0205C" w:rsidP="00E0205C">
            <w:pPr>
              <w:spacing w:before="60" w:after="20" w:line="240" w:lineRule="auto"/>
              <w:jc w:val="center"/>
              <w:rPr>
                <w:rFonts w:eastAsia="Times New Roman"/>
                <w:color w:val="000000" w:themeColor="text1"/>
                <w:szCs w:val="17"/>
              </w:rPr>
            </w:pPr>
            <w:r w:rsidRPr="00E0205C">
              <w:rPr>
                <w:rFonts w:eastAsia="Times New Roman"/>
                <w:color w:val="000000" w:themeColor="text1"/>
                <w:szCs w:val="17"/>
              </w:rPr>
              <w:t>90</w:t>
            </w:r>
          </w:p>
        </w:tc>
      </w:tr>
      <w:tr w:rsidR="00E0205C" w:rsidRPr="00E0205C" w:rsidTr="00046B75">
        <w:trPr>
          <w:cantSplit/>
          <w:trHeight w:val="227"/>
          <w:jc w:val="center"/>
        </w:trPr>
        <w:tc>
          <w:tcPr>
            <w:tcW w:w="1287" w:type="pct"/>
          </w:tcPr>
          <w:p w:rsidR="00E0205C" w:rsidRPr="00E0205C" w:rsidRDefault="00E0205C" w:rsidP="00E0205C">
            <w:pPr>
              <w:spacing w:before="60" w:after="20" w:line="240" w:lineRule="auto"/>
              <w:jc w:val="left"/>
              <w:rPr>
                <w:rFonts w:eastAsia="Times New Roman"/>
                <w:color w:val="000000" w:themeColor="text1"/>
                <w:szCs w:val="17"/>
              </w:rPr>
            </w:pPr>
            <w:r w:rsidRPr="00E0205C">
              <w:rPr>
                <w:rFonts w:eastAsia="Times New Roman"/>
                <w:color w:val="000000" w:themeColor="text1"/>
                <w:szCs w:val="17"/>
              </w:rPr>
              <w:t>Sack and Bag Manufacture #</w:t>
            </w:r>
          </w:p>
        </w:tc>
        <w:tc>
          <w:tcPr>
            <w:tcW w:w="682" w:type="pct"/>
          </w:tcPr>
          <w:p w:rsidR="00E0205C" w:rsidRPr="00E0205C" w:rsidRDefault="00E0205C" w:rsidP="00E0205C">
            <w:pPr>
              <w:spacing w:before="60" w:after="20" w:line="240" w:lineRule="auto"/>
              <w:jc w:val="center"/>
              <w:rPr>
                <w:rFonts w:eastAsia="Times New Roman"/>
                <w:color w:val="000000" w:themeColor="text1"/>
                <w:szCs w:val="17"/>
              </w:rPr>
            </w:pPr>
            <w:r w:rsidRPr="00E0205C">
              <w:rPr>
                <w:rFonts w:eastAsia="Times New Roman"/>
                <w:color w:val="000000" w:themeColor="text1"/>
                <w:szCs w:val="17"/>
              </w:rPr>
              <w:t>ICP31320</w:t>
            </w:r>
          </w:p>
        </w:tc>
        <w:tc>
          <w:tcPr>
            <w:tcW w:w="1554" w:type="pct"/>
          </w:tcPr>
          <w:p w:rsidR="00E0205C" w:rsidRPr="00E0205C" w:rsidRDefault="00E0205C" w:rsidP="00E0205C">
            <w:pPr>
              <w:spacing w:before="60" w:after="20" w:line="240" w:lineRule="auto"/>
              <w:jc w:val="left"/>
              <w:rPr>
                <w:rFonts w:eastAsia="Times New Roman"/>
                <w:color w:val="000000" w:themeColor="text1"/>
                <w:szCs w:val="17"/>
              </w:rPr>
            </w:pPr>
            <w:r w:rsidRPr="00E0205C">
              <w:rPr>
                <w:rFonts w:eastAsia="Times New Roman"/>
                <w:color w:val="000000" w:themeColor="text1"/>
                <w:szCs w:val="17"/>
              </w:rPr>
              <w:t>Certificate III in Print Binding, Finishing and Packaging</w:t>
            </w:r>
          </w:p>
        </w:tc>
        <w:tc>
          <w:tcPr>
            <w:tcW w:w="793" w:type="pct"/>
          </w:tcPr>
          <w:p w:rsidR="00E0205C" w:rsidRPr="00E0205C" w:rsidRDefault="00E0205C" w:rsidP="00E0205C">
            <w:pPr>
              <w:spacing w:before="60" w:after="20" w:line="240" w:lineRule="auto"/>
              <w:jc w:val="center"/>
              <w:rPr>
                <w:rFonts w:eastAsia="Times New Roman"/>
                <w:color w:val="000000" w:themeColor="text1"/>
                <w:szCs w:val="17"/>
              </w:rPr>
            </w:pPr>
            <w:r w:rsidRPr="00E0205C">
              <w:rPr>
                <w:rFonts w:eastAsia="Times New Roman"/>
                <w:color w:val="000000" w:themeColor="text1"/>
                <w:szCs w:val="17"/>
              </w:rPr>
              <w:t>48</w:t>
            </w:r>
          </w:p>
        </w:tc>
        <w:tc>
          <w:tcPr>
            <w:tcW w:w="684" w:type="pct"/>
          </w:tcPr>
          <w:p w:rsidR="00E0205C" w:rsidRPr="00E0205C" w:rsidRDefault="00E0205C" w:rsidP="00E0205C">
            <w:pPr>
              <w:spacing w:before="60" w:after="20" w:line="240" w:lineRule="auto"/>
              <w:jc w:val="center"/>
              <w:rPr>
                <w:rFonts w:eastAsia="Times New Roman"/>
                <w:color w:val="000000" w:themeColor="text1"/>
                <w:szCs w:val="17"/>
              </w:rPr>
            </w:pPr>
            <w:r w:rsidRPr="00E0205C">
              <w:rPr>
                <w:rFonts w:eastAsia="Times New Roman"/>
                <w:color w:val="000000" w:themeColor="text1"/>
                <w:szCs w:val="17"/>
              </w:rPr>
              <w:t>90</w:t>
            </w:r>
          </w:p>
        </w:tc>
      </w:tr>
      <w:tr w:rsidR="00E0205C" w:rsidRPr="00E0205C" w:rsidTr="00046B75">
        <w:trPr>
          <w:cantSplit/>
          <w:trHeight w:val="227"/>
          <w:jc w:val="center"/>
        </w:trPr>
        <w:tc>
          <w:tcPr>
            <w:tcW w:w="1287" w:type="pct"/>
          </w:tcPr>
          <w:p w:rsidR="00E0205C" w:rsidRPr="00E0205C" w:rsidRDefault="00E0205C" w:rsidP="00E0205C">
            <w:pPr>
              <w:spacing w:before="60" w:after="20" w:line="240" w:lineRule="auto"/>
              <w:jc w:val="left"/>
              <w:rPr>
                <w:rFonts w:eastAsia="Times New Roman"/>
                <w:color w:val="000000" w:themeColor="text1"/>
                <w:szCs w:val="17"/>
              </w:rPr>
            </w:pPr>
            <w:r w:rsidRPr="00E0205C">
              <w:rPr>
                <w:rFonts w:eastAsia="Times New Roman"/>
                <w:color w:val="000000" w:themeColor="text1"/>
                <w:szCs w:val="17"/>
              </w:rPr>
              <w:t>Graphic Pre-Press *</w:t>
            </w:r>
          </w:p>
        </w:tc>
        <w:tc>
          <w:tcPr>
            <w:tcW w:w="682" w:type="pct"/>
          </w:tcPr>
          <w:p w:rsidR="00E0205C" w:rsidRPr="00E0205C" w:rsidRDefault="00E0205C" w:rsidP="00E0205C">
            <w:pPr>
              <w:spacing w:before="60" w:after="20" w:line="240" w:lineRule="auto"/>
              <w:jc w:val="center"/>
              <w:rPr>
                <w:rFonts w:eastAsia="Times New Roman"/>
                <w:color w:val="000000" w:themeColor="text1"/>
                <w:szCs w:val="17"/>
              </w:rPr>
            </w:pPr>
            <w:r w:rsidRPr="00E0205C">
              <w:rPr>
                <w:rFonts w:eastAsia="Times New Roman"/>
                <w:color w:val="000000" w:themeColor="text1"/>
                <w:szCs w:val="17"/>
              </w:rPr>
              <w:t>ICP31420</w:t>
            </w:r>
          </w:p>
        </w:tc>
        <w:tc>
          <w:tcPr>
            <w:tcW w:w="1554" w:type="pct"/>
          </w:tcPr>
          <w:p w:rsidR="00E0205C" w:rsidRPr="00E0205C" w:rsidRDefault="00E0205C" w:rsidP="00E0205C">
            <w:pPr>
              <w:spacing w:before="60" w:after="20" w:line="240" w:lineRule="auto"/>
              <w:jc w:val="left"/>
              <w:rPr>
                <w:rFonts w:eastAsia="Times New Roman"/>
                <w:color w:val="000000" w:themeColor="text1"/>
                <w:szCs w:val="17"/>
              </w:rPr>
            </w:pPr>
            <w:r w:rsidRPr="00E0205C">
              <w:rPr>
                <w:rFonts w:eastAsia="Times New Roman"/>
                <w:color w:val="000000" w:themeColor="text1"/>
                <w:szCs w:val="17"/>
              </w:rPr>
              <w:t>Certificate III in Prepress Graphic Design Production</w:t>
            </w:r>
          </w:p>
        </w:tc>
        <w:tc>
          <w:tcPr>
            <w:tcW w:w="793" w:type="pct"/>
          </w:tcPr>
          <w:p w:rsidR="00E0205C" w:rsidRPr="00E0205C" w:rsidRDefault="00E0205C" w:rsidP="00E0205C">
            <w:pPr>
              <w:spacing w:before="60" w:after="20" w:line="240" w:lineRule="auto"/>
              <w:jc w:val="center"/>
              <w:rPr>
                <w:rFonts w:eastAsia="Times New Roman"/>
                <w:color w:val="000000" w:themeColor="text1"/>
                <w:szCs w:val="17"/>
              </w:rPr>
            </w:pPr>
            <w:r w:rsidRPr="00E0205C">
              <w:rPr>
                <w:rFonts w:eastAsia="Times New Roman"/>
                <w:color w:val="000000" w:themeColor="text1"/>
                <w:szCs w:val="17"/>
              </w:rPr>
              <w:t>48</w:t>
            </w:r>
          </w:p>
        </w:tc>
        <w:tc>
          <w:tcPr>
            <w:tcW w:w="684" w:type="pct"/>
          </w:tcPr>
          <w:p w:rsidR="00E0205C" w:rsidRPr="00E0205C" w:rsidRDefault="00E0205C" w:rsidP="00E0205C">
            <w:pPr>
              <w:spacing w:before="60" w:after="20" w:line="240" w:lineRule="auto"/>
              <w:jc w:val="center"/>
              <w:rPr>
                <w:rFonts w:eastAsia="Times New Roman"/>
                <w:color w:val="000000" w:themeColor="text1"/>
                <w:szCs w:val="17"/>
              </w:rPr>
            </w:pPr>
            <w:r w:rsidRPr="00E0205C">
              <w:rPr>
                <w:rFonts w:eastAsia="Times New Roman"/>
                <w:color w:val="000000" w:themeColor="text1"/>
                <w:szCs w:val="17"/>
              </w:rPr>
              <w:t>90</w:t>
            </w:r>
          </w:p>
        </w:tc>
      </w:tr>
      <w:tr w:rsidR="00E0205C" w:rsidRPr="00E0205C" w:rsidTr="00046B75">
        <w:trPr>
          <w:cantSplit/>
          <w:trHeight w:val="227"/>
          <w:jc w:val="center"/>
        </w:trPr>
        <w:tc>
          <w:tcPr>
            <w:tcW w:w="1287" w:type="pct"/>
          </w:tcPr>
          <w:p w:rsidR="00E0205C" w:rsidRPr="00E0205C" w:rsidRDefault="00E0205C" w:rsidP="00E0205C">
            <w:pPr>
              <w:spacing w:before="60" w:after="20" w:line="240" w:lineRule="auto"/>
              <w:jc w:val="left"/>
              <w:rPr>
                <w:rFonts w:eastAsia="Times New Roman"/>
                <w:color w:val="000000" w:themeColor="text1"/>
                <w:szCs w:val="17"/>
              </w:rPr>
            </w:pPr>
            <w:r w:rsidRPr="00E0205C">
              <w:rPr>
                <w:rFonts w:eastAsia="Times New Roman"/>
                <w:color w:val="000000" w:themeColor="text1"/>
                <w:szCs w:val="17"/>
              </w:rPr>
              <w:t>Multimedia Production #</w:t>
            </w:r>
          </w:p>
        </w:tc>
        <w:tc>
          <w:tcPr>
            <w:tcW w:w="682" w:type="pct"/>
          </w:tcPr>
          <w:p w:rsidR="00E0205C" w:rsidRPr="00E0205C" w:rsidRDefault="00E0205C" w:rsidP="00E0205C">
            <w:pPr>
              <w:spacing w:before="60" w:after="20" w:line="240" w:lineRule="auto"/>
              <w:jc w:val="center"/>
              <w:rPr>
                <w:rFonts w:eastAsia="Times New Roman"/>
                <w:color w:val="000000" w:themeColor="text1"/>
                <w:szCs w:val="17"/>
              </w:rPr>
            </w:pPr>
            <w:r w:rsidRPr="00E0205C">
              <w:rPr>
                <w:rFonts w:eastAsia="Times New Roman"/>
                <w:color w:val="000000" w:themeColor="text1"/>
                <w:szCs w:val="17"/>
              </w:rPr>
              <w:t>ICP31420</w:t>
            </w:r>
          </w:p>
        </w:tc>
        <w:tc>
          <w:tcPr>
            <w:tcW w:w="1554" w:type="pct"/>
          </w:tcPr>
          <w:p w:rsidR="00E0205C" w:rsidRPr="00E0205C" w:rsidRDefault="00E0205C" w:rsidP="00E0205C">
            <w:pPr>
              <w:spacing w:before="60" w:after="20" w:line="240" w:lineRule="auto"/>
              <w:jc w:val="left"/>
              <w:rPr>
                <w:rFonts w:eastAsia="Times New Roman"/>
                <w:color w:val="000000" w:themeColor="text1"/>
                <w:szCs w:val="17"/>
              </w:rPr>
            </w:pPr>
            <w:r w:rsidRPr="00E0205C">
              <w:rPr>
                <w:rFonts w:eastAsia="Times New Roman"/>
                <w:color w:val="000000" w:themeColor="text1"/>
                <w:szCs w:val="17"/>
              </w:rPr>
              <w:t>Certificate III in Prepress Graphic Design Production</w:t>
            </w:r>
          </w:p>
        </w:tc>
        <w:tc>
          <w:tcPr>
            <w:tcW w:w="793" w:type="pct"/>
          </w:tcPr>
          <w:p w:rsidR="00E0205C" w:rsidRPr="00E0205C" w:rsidRDefault="00E0205C" w:rsidP="00E0205C">
            <w:pPr>
              <w:spacing w:before="60" w:after="20" w:line="240" w:lineRule="auto"/>
              <w:jc w:val="center"/>
              <w:rPr>
                <w:rFonts w:eastAsia="Times New Roman"/>
                <w:color w:val="000000" w:themeColor="text1"/>
                <w:szCs w:val="17"/>
              </w:rPr>
            </w:pPr>
            <w:r w:rsidRPr="00E0205C">
              <w:rPr>
                <w:rFonts w:eastAsia="Times New Roman"/>
                <w:color w:val="000000" w:themeColor="text1"/>
                <w:szCs w:val="17"/>
              </w:rPr>
              <w:t>48</w:t>
            </w:r>
          </w:p>
        </w:tc>
        <w:tc>
          <w:tcPr>
            <w:tcW w:w="684" w:type="pct"/>
          </w:tcPr>
          <w:p w:rsidR="00E0205C" w:rsidRPr="00E0205C" w:rsidRDefault="00E0205C" w:rsidP="00E0205C">
            <w:pPr>
              <w:spacing w:before="60" w:after="20" w:line="240" w:lineRule="auto"/>
              <w:jc w:val="center"/>
              <w:rPr>
                <w:rFonts w:eastAsia="Times New Roman"/>
                <w:color w:val="000000" w:themeColor="text1"/>
                <w:szCs w:val="17"/>
              </w:rPr>
            </w:pPr>
            <w:r w:rsidRPr="00E0205C">
              <w:rPr>
                <w:rFonts w:eastAsia="Times New Roman"/>
                <w:color w:val="000000" w:themeColor="text1"/>
                <w:szCs w:val="17"/>
              </w:rPr>
              <w:t>90</w:t>
            </w:r>
          </w:p>
        </w:tc>
      </w:tr>
      <w:tr w:rsidR="00E0205C" w:rsidRPr="00E0205C" w:rsidTr="00046B75">
        <w:trPr>
          <w:cantSplit/>
          <w:trHeight w:val="227"/>
          <w:jc w:val="center"/>
        </w:trPr>
        <w:tc>
          <w:tcPr>
            <w:tcW w:w="1287" w:type="pct"/>
          </w:tcPr>
          <w:p w:rsidR="00E0205C" w:rsidRPr="00E0205C" w:rsidRDefault="00E0205C" w:rsidP="00E0205C">
            <w:pPr>
              <w:spacing w:before="60" w:after="20" w:line="240" w:lineRule="auto"/>
              <w:jc w:val="left"/>
              <w:rPr>
                <w:rFonts w:eastAsia="Times New Roman"/>
                <w:color w:val="000000" w:themeColor="text1"/>
                <w:szCs w:val="17"/>
              </w:rPr>
            </w:pPr>
            <w:r w:rsidRPr="00E0205C">
              <w:rPr>
                <w:rFonts w:eastAsia="Times New Roman"/>
                <w:color w:val="000000" w:themeColor="text1"/>
                <w:szCs w:val="17"/>
              </w:rPr>
              <w:t>Pre-Press Operations #</w:t>
            </w:r>
          </w:p>
        </w:tc>
        <w:tc>
          <w:tcPr>
            <w:tcW w:w="682" w:type="pct"/>
          </w:tcPr>
          <w:p w:rsidR="00E0205C" w:rsidRPr="00E0205C" w:rsidRDefault="00E0205C" w:rsidP="00E0205C">
            <w:pPr>
              <w:spacing w:before="60" w:after="20" w:line="240" w:lineRule="auto"/>
              <w:jc w:val="center"/>
              <w:rPr>
                <w:rFonts w:eastAsia="Times New Roman"/>
                <w:color w:val="000000" w:themeColor="text1"/>
                <w:szCs w:val="17"/>
              </w:rPr>
            </w:pPr>
            <w:r w:rsidRPr="00E0205C">
              <w:rPr>
                <w:rFonts w:eastAsia="Times New Roman"/>
                <w:color w:val="000000" w:themeColor="text1"/>
                <w:szCs w:val="17"/>
              </w:rPr>
              <w:t>ICP31420</w:t>
            </w:r>
          </w:p>
        </w:tc>
        <w:tc>
          <w:tcPr>
            <w:tcW w:w="1554" w:type="pct"/>
          </w:tcPr>
          <w:p w:rsidR="00E0205C" w:rsidRPr="00E0205C" w:rsidRDefault="00E0205C" w:rsidP="00E0205C">
            <w:pPr>
              <w:spacing w:before="60" w:after="20" w:line="240" w:lineRule="auto"/>
              <w:jc w:val="left"/>
              <w:rPr>
                <w:rFonts w:eastAsia="Times New Roman"/>
                <w:color w:val="000000" w:themeColor="text1"/>
                <w:szCs w:val="17"/>
              </w:rPr>
            </w:pPr>
            <w:r w:rsidRPr="00E0205C">
              <w:rPr>
                <w:rFonts w:eastAsia="Times New Roman"/>
                <w:color w:val="000000" w:themeColor="text1"/>
                <w:szCs w:val="17"/>
              </w:rPr>
              <w:t>Certificate III in Prepress Graphic Design Production</w:t>
            </w:r>
          </w:p>
        </w:tc>
        <w:tc>
          <w:tcPr>
            <w:tcW w:w="793" w:type="pct"/>
          </w:tcPr>
          <w:p w:rsidR="00E0205C" w:rsidRPr="00E0205C" w:rsidRDefault="00E0205C" w:rsidP="00E0205C">
            <w:pPr>
              <w:spacing w:before="60" w:after="20" w:line="240" w:lineRule="auto"/>
              <w:jc w:val="center"/>
              <w:rPr>
                <w:rFonts w:eastAsia="Times New Roman"/>
                <w:color w:val="000000" w:themeColor="text1"/>
                <w:szCs w:val="17"/>
              </w:rPr>
            </w:pPr>
            <w:r w:rsidRPr="00E0205C">
              <w:rPr>
                <w:rFonts w:eastAsia="Times New Roman"/>
                <w:color w:val="000000" w:themeColor="text1"/>
                <w:szCs w:val="17"/>
              </w:rPr>
              <w:t>48</w:t>
            </w:r>
          </w:p>
        </w:tc>
        <w:tc>
          <w:tcPr>
            <w:tcW w:w="684" w:type="pct"/>
          </w:tcPr>
          <w:p w:rsidR="00E0205C" w:rsidRPr="00E0205C" w:rsidRDefault="00E0205C" w:rsidP="00E0205C">
            <w:pPr>
              <w:spacing w:before="60" w:after="20" w:line="240" w:lineRule="auto"/>
              <w:jc w:val="center"/>
              <w:rPr>
                <w:rFonts w:eastAsia="Times New Roman"/>
                <w:color w:val="000000" w:themeColor="text1"/>
                <w:szCs w:val="17"/>
              </w:rPr>
            </w:pPr>
            <w:r w:rsidRPr="00E0205C">
              <w:rPr>
                <w:rFonts w:eastAsia="Times New Roman"/>
                <w:color w:val="000000" w:themeColor="text1"/>
                <w:szCs w:val="17"/>
              </w:rPr>
              <w:t>90</w:t>
            </w:r>
          </w:p>
        </w:tc>
      </w:tr>
      <w:tr w:rsidR="00E0205C" w:rsidRPr="00E0205C" w:rsidTr="00046B75">
        <w:trPr>
          <w:cantSplit/>
          <w:trHeight w:val="227"/>
          <w:jc w:val="center"/>
        </w:trPr>
        <w:tc>
          <w:tcPr>
            <w:tcW w:w="1287" w:type="pct"/>
          </w:tcPr>
          <w:p w:rsidR="00E0205C" w:rsidRPr="00E0205C" w:rsidRDefault="00E0205C" w:rsidP="00E0205C">
            <w:pPr>
              <w:spacing w:before="60" w:after="20" w:line="240" w:lineRule="auto"/>
              <w:jc w:val="left"/>
              <w:rPr>
                <w:rFonts w:eastAsia="Times New Roman"/>
                <w:szCs w:val="17"/>
              </w:rPr>
            </w:pPr>
            <w:r w:rsidRPr="00E0205C">
              <w:rPr>
                <w:rFonts w:eastAsia="Times New Roman"/>
                <w:szCs w:val="17"/>
              </w:rPr>
              <w:t>Licensed Aircraft Maintenance Engineer (Mechanical) *</w:t>
            </w:r>
          </w:p>
        </w:tc>
        <w:tc>
          <w:tcPr>
            <w:tcW w:w="682" w:type="pct"/>
          </w:tcPr>
          <w:p w:rsidR="00E0205C" w:rsidRPr="00E0205C" w:rsidRDefault="00E0205C" w:rsidP="00E0205C">
            <w:pPr>
              <w:spacing w:before="60" w:after="20" w:line="240" w:lineRule="auto"/>
              <w:jc w:val="center"/>
              <w:rPr>
                <w:rFonts w:eastAsia="Times New Roman"/>
                <w:szCs w:val="17"/>
              </w:rPr>
            </w:pPr>
            <w:r w:rsidRPr="00E0205C">
              <w:rPr>
                <w:rFonts w:eastAsia="Times New Roman"/>
                <w:szCs w:val="17"/>
              </w:rPr>
              <w:t>MEA50219</w:t>
            </w:r>
          </w:p>
        </w:tc>
        <w:tc>
          <w:tcPr>
            <w:tcW w:w="1554" w:type="pct"/>
          </w:tcPr>
          <w:p w:rsidR="00E0205C" w:rsidRPr="00E0205C" w:rsidRDefault="00E0205C" w:rsidP="00E0205C">
            <w:pPr>
              <w:spacing w:before="60" w:after="20" w:line="240" w:lineRule="auto"/>
              <w:jc w:val="left"/>
              <w:rPr>
                <w:rFonts w:eastAsia="Times New Roman"/>
                <w:szCs w:val="17"/>
              </w:rPr>
            </w:pPr>
            <w:r w:rsidRPr="00E0205C">
              <w:rPr>
                <w:rFonts w:eastAsia="Times New Roman"/>
                <w:szCs w:val="17"/>
              </w:rPr>
              <w:t>Diploma of Aeroskills (Mechanical)</w:t>
            </w:r>
          </w:p>
        </w:tc>
        <w:tc>
          <w:tcPr>
            <w:tcW w:w="793" w:type="pct"/>
          </w:tcPr>
          <w:p w:rsidR="00E0205C" w:rsidRPr="00E0205C" w:rsidRDefault="00E0205C" w:rsidP="00E0205C">
            <w:pPr>
              <w:spacing w:before="60" w:after="20" w:line="240" w:lineRule="auto"/>
              <w:jc w:val="center"/>
              <w:rPr>
                <w:rFonts w:eastAsia="Times New Roman"/>
                <w:szCs w:val="17"/>
              </w:rPr>
            </w:pPr>
            <w:r w:rsidRPr="00E0205C">
              <w:rPr>
                <w:rFonts w:eastAsia="Times New Roman"/>
                <w:szCs w:val="17"/>
              </w:rPr>
              <w:t>48</w:t>
            </w:r>
          </w:p>
        </w:tc>
        <w:tc>
          <w:tcPr>
            <w:tcW w:w="684" w:type="pct"/>
          </w:tcPr>
          <w:p w:rsidR="00E0205C" w:rsidRPr="00E0205C" w:rsidRDefault="00E0205C" w:rsidP="00E0205C">
            <w:pPr>
              <w:spacing w:before="60" w:after="20" w:line="240" w:lineRule="auto"/>
              <w:jc w:val="center"/>
              <w:rPr>
                <w:rFonts w:eastAsia="Times New Roman"/>
                <w:szCs w:val="17"/>
              </w:rPr>
            </w:pPr>
            <w:r w:rsidRPr="00E0205C">
              <w:rPr>
                <w:rFonts w:eastAsia="Times New Roman"/>
                <w:szCs w:val="17"/>
              </w:rPr>
              <w:t>90</w:t>
            </w:r>
          </w:p>
        </w:tc>
      </w:tr>
      <w:tr w:rsidR="00E0205C" w:rsidRPr="00E0205C" w:rsidTr="00046B75">
        <w:trPr>
          <w:cantSplit/>
          <w:trHeight w:val="227"/>
          <w:jc w:val="center"/>
        </w:trPr>
        <w:tc>
          <w:tcPr>
            <w:tcW w:w="1287" w:type="pct"/>
          </w:tcPr>
          <w:p w:rsidR="00E0205C" w:rsidRPr="00E0205C" w:rsidRDefault="00E0205C" w:rsidP="00E0205C">
            <w:pPr>
              <w:spacing w:before="60" w:after="20" w:line="240" w:lineRule="auto"/>
              <w:jc w:val="left"/>
              <w:rPr>
                <w:rFonts w:eastAsia="Times New Roman"/>
                <w:szCs w:val="17"/>
              </w:rPr>
            </w:pPr>
            <w:r w:rsidRPr="00E0205C">
              <w:rPr>
                <w:rFonts w:eastAsia="Times New Roman"/>
                <w:szCs w:val="17"/>
              </w:rPr>
              <w:t>Engineering Tradesperson (Mechanical) *</w:t>
            </w:r>
          </w:p>
        </w:tc>
        <w:tc>
          <w:tcPr>
            <w:tcW w:w="682" w:type="pct"/>
          </w:tcPr>
          <w:p w:rsidR="00E0205C" w:rsidRPr="00E0205C" w:rsidRDefault="00E0205C" w:rsidP="00E0205C">
            <w:pPr>
              <w:spacing w:before="60" w:after="20" w:line="240" w:lineRule="auto"/>
              <w:jc w:val="center"/>
              <w:rPr>
                <w:rFonts w:eastAsia="Times New Roman"/>
                <w:szCs w:val="17"/>
              </w:rPr>
            </w:pPr>
            <w:r w:rsidRPr="00E0205C">
              <w:rPr>
                <w:rFonts w:eastAsia="Times New Roman"/>
                <w:szCs w:val="17"/>
              </w:rPr>
              <w:t>MEM31319</w:t>
            </w:r>
          </w:p>
        </w:tc>
        <w:tc>
          <w:tcPr>
            <w:tcW w:w="1554" w:type="pct"/>
          </w:tcPr>
          <w:p w:rsidR="00E0205C" w:rsidRPr="00E0205C" w:rsidRDefault="00E0205C" w:rsidP="00E0205C">
            <w:pPr>
              <w:spacing w:before="60" w:after="20" w:line="240" w:lineRule="auto"/>
              <w:jc w:val="left"/>
              <w:rPr>
                <w:rFonts w:eastAsia="Times New Roman"/>
                <w:szCs w:val="17"/>
              </w:rPr>
            </w:pPr>
            <w:r w:rsidRPr="00E0205C">
              <w:rPr>
                <w:rFonts w:eastAsia="Times New Roman"/>
                <w:szCs w:val="17"/>
              </w:rPr>
              <w:t>Certificate III in Engineering—Mechanical Trade</w:t>
            </w:r>
          </w:p>
        </w:tc>
        <w:tc>
          <w:tcPr>
            <w:tcW w:w="793" w:type="pct"/>
          </w:tcPr>
          <w:p w:rsidR="00E0205C" w:rsidRPr="00E0205C" w:rsidRDefault="00E0205C" w:rsidP="00E0205C">
            <w:pPr>
              <w:spacing w:before="60" w:after="20" w:line="240" w:lineRule="auto"/>
              <w:jc w:val="center"/>
              <w:rPr>
                <w:rFonts w:eastAsia="Times New Roman"/>
                <w:szCs w:val="17"/>
              </w:rPr>
            </w:pPr>
            <w:r w:rsidRPr="00E0205C">
              <w:rPr>
                <w:rFonts w:eastAsia="Times New Roman"/>
                <w:szCs w:val="17"/>
              </w:rPr>
              <w:t>48</w:t>
            </w:r>
          </w:p>
        </w:tc>
        <w:tc>
          <w:tcPr>
            <w:tcW w:w="684" w:type="pct"/>
          </w:tcPr>
          <w:p w:rsidR="00E0205C" w:rsidRPr="00E0205C" w:rsidRDefault="00E0205C" w:rsidP="00E0205C">
            <w:pPr>
              <w:spacing w:before="60" w:after="20" w:line="240" w:lineRule="auto"/>
              <w:jc w:val="center"/>
              <w:rPr>
                <w:rFonts w:eastAsia="Times New Roman"/>
                <w:szCs w:val="17"/>
              </w:rPr>
            </w:pPr>
            <w:r w:rsidRPr="00E0205C">
              <w:rPr>
                <w:rFonts w:eastAsia="Times New Roman"/>
                <w:szCs w:val="17"/>
              </w:rPr>
              <w:t>90</w:t>
            </w:r>
          </w:p>
        </w:tc>
      </w:tr>
      <w:tr w:rsidR="00E0205C" w:rsidRPr="00E0205C" w:rsidTr="00046B75">
        <w:trPr>
          <w:cantSplit/>
          <w:trHeight w:val="227"/>
          <w:jc w:val="center"/>
        </w:trPr>
        <w:tc>
          <w:tcPr>
            <w:tcW w:w="1287" w:type="pct"/>
          </w:tcPr>
          <w:p w:rsidR="00E0205C" w:rsidRPr="00E0205C" w:rsidRDefault="00E0205C" w:rsidP="00E0205C">
            <w:pPr>
              <w:spacing w:before="60" w:after="20" w:line="240" w:lineRule="auto"/>
              <w:jc w:val="left"/>
              <w:rPr>
                <w:rFonts w:eastAsia="Times New Roman"/>
                <w:szCs w:val="17"/>
              </w:rPr>
            </w:pPr>
            <w:r w:rsidRPr="00E0205C">
              <w:rPr>
                <w:rFonts w:eastAsia="Times New Roman"/>
                <w:szCs w:val="17"/>
              </w:rPr>
              <w:t>Engineering Tradesperson (Mechanical) *</w:t>
            </w:r>
          </w:p>
        </w:tc>
        <w:tc>
          <w:tcPr>
            <w:tcW w:w="682" w:type="pct"/>
          </w:tcPr>
          <w:p w:rsidR="00E0205C" w:rsidRPr="00E0205C" w:rsidRDefault="00E0205C" w:rsidP="00E0205C">
            <w:pPr>
              <w:spacing w:before="60" w:after="20" w:line="240" w:lineRule="auto"/>
              <w:jc w:val="center"/>
              <w:rPr>
                <w:rFonts w:eastAsia="Times New Roman"/>
                <w:szCs w:val="17"/>
              </w:rPr>
            </w:pPr>
            <w:r w:rsidRPr="00E0205C">
              <w:rPr>
                <w:rFonts w:eastAsia="Times New Roman"/>
                <w:szCs w:val="17"/>
              </w:rPr>
              <w:t>MEM31419</w:t>
            </w:r>
          </w:p>
        </w:tc>
        <w:tc>
          <w:tcPr>
            <w:tcW w:w="1554" w:type="pct"/>
          </w:tcPr>
          <w:p w:rsidR="00E0205C" w:rsidRPr="00E0205C" w:rsidRDefault="00E0205C" w:rsidP="00E0205C">
            <w:pPr>
              <w:spacing w:before="60" w:after="20" w:line="240" w:lineRule="auto"/>
              <w:jc w:val="left"/>
              <w:rPr>
                <w:rFonts w:eastAsia="Times New Roman"/>
                <w:szCs w:val="17"/>
              </w:rPr>
            </w:pPr>
            <w:r w:rsidRPr="00E0205C">
              <w:rPr>
                <w:rFonts w:eastAsia="Times New Roman"/>
                <w:szCs w:val="17"/>
              </w:rPr>
              <w:t>Certificate III in Engineering—</w:t>
            </w:r>
            <w:r w:rsidRPr="00E0205C">
              <w:rPr>
                <w:rFonts w:eastAsia="Times New Roman"/>
                <w:szCs w:val="17"/>
              </w:rPr>
              <w:br/>
              <w:t>Fixed and Mobile Plant Mechanic</w:t>
            </w:r>
          </w:p>
        </w:tc>
        <w:tc>
          <w:tcPr>
            <w:tcW w:w="793" w:type="pct"/>
          </w:tcPr>
          <w:p w:rsidR="00E0205C" w:rsidRPr="00E0205C" w:rsidRDefault="00E0205C" w:rsidP="00E0205C">
            <w:pPr>
              <w:spacing w:before="60" w:after="20" w:line="240" w:lineRule="auto"/>
              <w:jc w:val="center"/>
              <w:rPr>
                <w:rFonts w:eastAsia="Times New Roman"/>
                <w:szCs w:val="17"/>
              </w:rPr>
            </w:pPr>
            <w:r w:rsidRPr="00E0205C">
              <w:rPr>
                <w:rFonts w:eastAsia="Times New Roman"/>
                <w:szCs w:val="17"/>
              </w:rPr>
              <w:t>48</w:t>
            </w:r>
          </w:p>
        </w:tc>
        <w:tc>
          <w:tcPr>
            <w:tcW w:w="684" w:type="pct"/>
          </w:tcPr>
          <w:p w:rsidR="00E0205C" w:rsidRPr="00E0205C" w:rsidRDefault="00E0205C" w:rsidP="00E0205C">
            <w:pPr>
              <w:spacing w:before="60" w:after="20" w:line="240" w:lineRule="auto"/>
              <w:jc w:val="center"/>
              <w:rPr>
                <w:rFonts w:eastAsia="Times New Roman"/>
                <w:szCs w:val="17"/>
              </w:rPr>
            </w:pPr>
            <w:r w:rsidRPr="00E0205C">
              <w:rPr>
                <w:rFonts w:eastAsia="Times New Roman"/>
                <w:szCs w:val="17"/>
              </w:rPr>
              <w:t>90</w:t>
            </w:r>
          </w:p>
        </w:tc>
      </w:tr>
      <w:tr w:rsidR="00E0205C" w:rsidRPr="00E0205C" w:rsidTr="00046B75">
        <w:trPr>
          <w:cantSplit/>
          <w:trHeight w:val="227"/>
          <w:jc w:val="center"/>
        </w:trPr>
        <w:tc>
          <w:tcPr>
            <w:tcW w:w="1287" w:type="pct"/>
          </w:tcPr>
          <w:p w:rsidR="00E0205C" w:rsidRPr="00E0205C" w:rsidRDefault="00E0205C" w:rsidP="00E0205C">
            <w:pPr>
              <w:spacing w:before="60" w:after="20" w:line="240" w:lineRule="auto"/>
              <w:jc w:val="left"/>
              <w:rPr>
                <w:rFonts w:eastAsia="Times New Roman"/>
                <w:szCs w:val="17"/>
              </w:rPr>
            </w:pPr>
            <w:r w:rsidRPr="00E0205C">
              <w:rPr>
                <w:rFonts w:eastAsia="Times New Roman"/>
                <w:szCs w:val="17"/>
              </w:rPr>
              <w:t>Engineering Tradesperson (Mechanical) *</w:t>
            </w:r>
          </w:p>
        </w:tc>
        <w:tc>
          <w:tcPr>
            <w:tcW w:w="682" w:type="pct"/>
          </w:tcPr>
          <w:p w:rsidR="00E0205C" w:rsidRPr="00E0205C" w:rsidRDefault="00E0205C" w:rsidP="00E0205C">
            <w:pPr>
              <w:spacing w:before="60" w:after="20" w:line="240" w:lineRule="auto"/>
              <w:jc w:val="center"/>
              <w:rPr>
                <w:rFonts w:eastAsia="Times New Roman"/>
                <w:szCs w:val="17"/>
              </w:rPr>
            </w:pPr>
            <w:r w:rsidRPr="00E0205C">
              <w:rPr>
                <w:rFonts w:eastAsia="Times New Roman"/>
                <w:szCs w:val="17"/>
              </w:rPr>
              <w:t>MEM31519</w:t>
            </w:r>
          </w:p>
        </w:tc>
        <w:tc>
          <w:tcPr>
            <w:tcW w:w="1554" w:type="pct"/>
          </w:tcPr>
          <w:p w:rsidR="00E0205C" w:rsidRPr="00E0205C" w:rsidRDefault="00E0205C" w:rsidP="00E0205C">
            <w:pPr>
              <w:spacing w:before="60" w:after="20" w:line="240" w:lineRule="auto"/>
              <w:jc w:val="left"/>
              <w:rPr>
                <w:rFonts w:eastAsia="Times New Roman"/>
                <w:szCs w:val="17"/>
              </w:rPr>
            </w:pPr>
            <w:r w:rsidRPr="00E0205C">
              <w:rPr>
                <w:rFonts w:eastAsia="Times New Roman"/>
                <w:szCs w:val="17"/>
              </w:rPr>
              <w:t>Certificate III in Engineering—</w:t>
            </w:r>
            <w:r w:rsidRPr="00E0205C">
              <w:rPr>
                <w:rFonts w:eastAsia="Times New Roman"/>
                <w:szCs w:val="17"/>
              </w:rPr>
              <w:br/>
              <w:t>Fixed and Mobile Plant Mechanic</w:t>
            </w:r>
          </w:p>
        </w:tc>
        <w:tc>
          <w:tcPr>
            <w:tcW w:w="793" w:type="pct"/>
          </w:tcPr>
          <w:p w:rsidR="00E0205C" w:rsidRPr="00E0205C" w:rsidRDefault="00E0205C" w:rsidP="00E0205C">
            <w:pPr>
              <w:spacing w:before="60" w:after="20" w:line="240" w:lineRule="auto"/>
              <w:jc w:val="center"/>
              <w:rPr>
                <w:rFonts w:eastAsia="Times New Roman"/>
                <w:szCs w:val="17"/>
              </w:rPr>
            </w:pPr>
            <w:r w:rsidRPr="00E0205C">
              <w:rPr>
                <w:rFonts w:eastAsia="Times New Roman"/>
                <w:szCs w:val="17"/>
              </w:rPr>
              <w:t>48</w:t>
            </w:r>
          </w:p>
        </w:tc>
        <w:tc>
          <w:tcPr>
            <w:tcW w:w="684" w:type="pct"/>
          </w:tcPr>
          <w:p w:rsidR="00E0205C" w:rsidRPr="00E0205C" w:rsidRDefault="00E0205C" w:rsidP="00E0205C">
            <w:pPr>
              <w:spacing w:before="60" w:after="20" w:line="240" w:lineRule="auto"/>
              <w:jc w:val="center"/>
              <w:rPr>
                <w:rFonts w:eastAsia="Times New Roman"/>
                <w:szCs w:val="17"/>
              </w:rPr>
            </w:pPr>
            <w:r w:rsidRPr="00E0205C">
              <w:rPr>
                <w:rFonts w:eastAsia="Times New Roman"/>
                <w:szCs w:val="17"/>
              </w:rPr>
              <w:t>90</w:t>
            </w:r>
          </w:p>
        </w:tc>
      </w:tr>
      <w:tr w:rsidR="00E0205C" w:rsidRPr="00E0205C" w:rsidTr="00046B75">
        <w:trPr>
          <w:cantSplit/>
          <w:trHeight w:val="227"/>
          <w:jc w:val="center"/>
        </w:trPr>
        <w:tc>
          <w:tcPr>
            <w:tcW w:w="1287" w:type="pct"/>
          </w:tcPr>
          <w:p w:rsidR="00E0205C" w:rsidRPr="00E0205C" w:rsidRDefault="00E0205C" w:rsidP="00E0205C">
            <w:pPr>
              <w:spacing w:before="60" w:after="20" w:line="240" w:lineRule="auto"/>
              <w:jc w:val="left"/>
              <w:rPr>
                <w:rFonts w:eastAsia="Times New Roman"/>
                <w:szCs w:val="17"/>
              </w:rPr>
            </w:pPr>
            <w:r w:rsidRPr="00E0205C">
              <w:rPr>
                <w:rFonts w:eastAsia="Times New Roman"/>
                <w:szCs w:val="17"/>
              </w:rPr>
              <w:t>Engineering Tradesperson (Fabrication) *</w:t>
            </w:r>
          </w:p>
        </w:tc>
        <w:tc>
          <w:tcPr>
            <w:tcW w:w="682" w:type="pct"/>
          </w:tcPr>
          <w:p w:rsidR="00E0205C" w:rsidRPr="00E0205C" w:rsidRDefault="00E0205C" w:rsidP="00E0205C">
            <w:pPr>
              <w:spacing w:before="60" w:after="20" w:line="240" w:lineRule="auto"/>
              <w:jc w:val="center"/>
              <w:rPr>
                <w:rFonts w:eastAsia="Times New Roman"/>
                <w:szCs w:val="17"/>
              </w:rPr>
            </w:pPr>
            <w:r w:rsidRPr="00E0205C">
              <w:rPr>
                <w:rFonts w:eastAsia="Times New Roman"/>
                <w:szCs w:val="17"/>
              </w:rPr>
              <w:t>MEM31719</w:t>
            </w:r>
          </w:p>
        </w:tc>
        <w:tc>
          <w:tcPr>
            <w:tcW w:w="1554" w:type="pct"/>
          </w:tcPr>
          <w:p w:rsidR="00E0205C" w:rsidRPr="00E0205C" w:rsidRDefault="00E0205C" w:rsidP="00E0205C">
            <w:pPr>
              <w:spacing w:before="60" w:after="20" w:line="240" w:lineRule="auto"/>
              <w:jc w:val="left"/>
              <w:rPr>
                <w:rFonts w:eastAsia="Times New Roman"/>
                <w:szCs w:val="17"/>
              </w:rPr>
            </w:pPr>
            <w:r w:rsidRPr="00E0205C">
              <w:rPr>
                <w:rFonts w:eastAsia="Times New Roman"/>
                <w:szCs w:val="17"/>
              </w:rPr>
              <w:t>Certificate III in Engineering—Fabrication Trade</w:t>
            </w:r>
          </w:p>
        </w:tc>
        <w:tc>
          <w:tcPr>
            <w:tcW w:w="793" w:type="pct"/>
          </w:tcPr>
          <w:p w:rsidR="00E0205C" w:rsidRPr="00E0205C" w:rsidRDefault="00E0205C" w:rsidP="00E0205C">
            <w:pPr>
              <w:spacing w:before="60" w:after="20" w:line="240" w:lineRule="auto"/>
              <w:jc w:val="center"/>
              <w:rPr>
                <w:rFonts w:eastAsia="Times New Roman"/>
                <w:szCs w:val="17"/>
              </w:rPr>
            </w:pPr>
            <w:r w:rsidRPr="00E0205C">
              <w:rPr>
                <w:rFonts w:eastAsia="Times New Roman"/>
                <w:szCs w:val="17"/>
              </w:rPr>
              <w:t>48</w:t>
            </w:r>
          </w:p>
        </w:tc>
        <w:tc>
          <w:tcPr>
            <w:tcW w:w="684" w:type="pct"/>
          </w:tcPr>
          <w:p w:rsidR="00E0205C" w:rsidRPr="00E0205C" w:rsidRDefault="00E0205C" w:rsidP="00E0205C">
            <w:pPr>
              <w:spacing w:before="60" w:after="20" w:line="240" w:lineRule="auto"/>
              <w:jc w:val="center"/>
              <w:rPr>
                <w:rFonts w:eastAsia="Times New Roman"/>
                <w:szCs w:val="17"/>
              </w:rPr>
            </w:pPr>
            <w:r w:rsidRPr="00E0205C">
              <w:rPr>
                <w:rFonts w:eastAsia="Times New Roman"/>
                <w:szCs w:val="17"/>
              </w:rPr>
              <w:t>90</w:t>
            </w:r>
          </w:p>
        </w:tc>
      </w:tr>
      <w:tr w:rsidR="00E0205C" w:rsidRPr="00E0205C" w:rsidTr="00046B75">
        <w:trPr>
          <w:cantSplit/>
          <w:trHeight w:val="227"/>
          <w:jc w:val="center"/>
        </w:trPr>
        <w:tc>
          <w:tcPr>
            <w:tcW w:w="1287" w:type="pct"/>
          </w:tcPr>
          <w:p w:rsidR="00E0205C" w:rsidRPr="00E0205C" w:rsidRDefault="00E0205C" w:rsidP="00E0205C">
            <w:pPr>
              <w:spacing w:before="60" w:line="240" w:lineRule="auto"/>
              <w:jc w:val="left"/>
              <w:rPr>
                <w:rFonts w:eastAsia="Times New Roman"/>
                <w:szCs w:val="17"/>
              </w:rPr>
            </w:pPr>
            <w:r w:rsidRPr="00E0205C">
              <w:rPr>
                <w:rFonts w:eastAsia="Times New Roman"/>
                <w:szCs w:val="17"/>
              </w:rPr>
              <w:t>Silversmith *</w:t>
            </w:r>
          </w:p>
        </w:tc>
        <w:tc>
          <w:tcPr>
            <w:tcW w:w="682" w:type="pct"/>
          </w:tcPr>
          <w:p w:rsidR="00E0205C" w:rsidRPr="00E0205C" w:rsidRDefault="00E0205C" w:rsidP="00E0205C">
            <w:pPr>
              <w:spacing w:before="60" w:line="240" w:lineRule="auto"/>
              <w:jc w:val="center"/>
              <w:rPr>
                <w:rFonts w:eastAsia="Times New Roman"/>
                <w:szCs w:val="17"/>
              </w:rPr>
            </w:pPr>
            <w:r w:rsidRPr="00E0205C">
              <w:rPr>
                <w:rFonts w:eastAsia="Times New Roman"/>
                <w:szCs w:val="17"/>
              </w:rPr>
              <w:t>MEM31719</w:t>
            </w:r>
          </w:p>
        </w:tc>
        <w:tc>
          <w:tcPr>
            <w:tcW w:w="1554" w:type="pct"/>
          </w:tcPr>
          <w:p w:rsidR="00E0205C" w:rsidRPr="00E0205C" w:rsidRDefault="00E0205C" w:rsidP="00E0205C">
            <w:pPr>
              <w:spacing w:before="60" w:line="240" w:lineRule="auto"/>
              <w:jc w:val="left"/>
              <w:rPr>
                <w:rFonts w:eastAsia="Times New Roman"/>
                <w:szCs w:val="17"/>
              </w:rPr>
            </w:pPr>
            <w:r w:rsidRPr="00E0205C">
              <w:rPr>
                <w:rFonts w:eastAsia="Times New Roman"/>
                <w:szCs w:val="17"/>
              </w:rPr>
              <w:t>Certificate III in Engineering—Fabrication Trade</w:t>
            </w:r>
          </w:p>
        </w:tc>
        <w:tc>
          <w:tcPr>
            <w:tcW w:w="793" w:type="pct"/>
          </w:tcPr>
          <w:p w:rsidR="00E0205C" w:rsidRPr="00E0205C" w:rsidRDefault="00E0205C" w:rsidP="00E0205C">
            <w:pPr>
              <w:spacing w:before="60" w:line="240" w:lineRule="auto"/>
              <w:jc w:val="center"/>
              <w:rPr>
                <w:rFonts w:eastAsia="Times New Roman"/>
                <w:szCs w:val="17"/>
              </w:rPr>
            </w:pPr>
            <w:r w:rsidRPr="00E0205C">
              <w:rPr>
                <w:rFonts w:eastAsia="Times New Roman"/>
                <w:szCs w:val="17"/>
              </w:rPr>
              <w:t>48</w:t>
            </w:r>
          </w:p>
        </w:tc>
        <w:tc>
          <w:tcPr>
            <w:tcW w:w="684" w:type="pct"/>
          </w:tcPr>
          <w:p w:rsidR="00E0205C" w:rsidRPr="00E0205C" w:rsidRDefault="00E0205C" w:rsidP="00E0205C">
            <w:pPr>
              <w:spacing w:before="60" w:line="240" w:lineRule="auto"/>
              <w:jc w:val="center"/>
              <w:rPr>
                <w:rFonts w:eastAsia="Times New Roman"/>
                <w:szCs w:val="17"/>
              </w:rPr>
            </w:pPr>
            <w:r w:rsidRPr="00E0205C">
              <w:rPr>
                <w:rFonts w:eastAsia="Times New Roman"/>
                <w:szCs w:val="17"/>
              </w:rPr>
              <w:t>90</w:t>
            </w:r>
          </w:p>
        </w:tc>
      </w:tr>
      <w:bookmarkEnd w:id="145"/>
    </w:tbl>
    <w:p w:rsidR="00E0205C" w:rsidRPr="00E0205C" w:rsidRDefault="00E0205C" w:rsidP="00E0205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0"/>
        <w:rPr>
          <w:rFonts w:eastAsia="Times New Roman"/>
          <w:szCs w:val="17"/>
        </w:rPr>
      </w:pPr>
    </w:p>
    <w:p w:rsidR="00E0205C" w:rsidRPr="00E0205C" w:rsidRDefault="00E0205C" w:rsidP="00E0205C">
      <w:pPr>
        <w:pBdr>
          <w:bottom w:val="single" w:sz="4" w:space="1" w:color="auto"/>
        </w:pBdr>
        <w:spacing w:after="0" w:line="52" w:lineRule="exact"/>
        <w:jc w:val="center"/>
        <w:rPr>
          <w:rFonts w:eastAsia="Times New Roman"/>
          <w:szCs w:val="17"/>
        </w:rPr>
      </w:pPr>
    </w:p>
    <w:bookmarkEnd w:id="146"/>
    <w:p w:rsidR="00E0205C" w:rsidRPr="00E0205C" w:rsidRDefault="00E0205C" w:rsidP="00E0205C">
      <w:pPr>
        <w:pBdr>
          <w:top w:val="single" w:sz="4" w:space="1" w:color="auto"/>
        </w:pBdr>
        <w:spacing w:before="34" w:after="0" w:line="14" w:lineRule="exact"/>
        <w:jc w:val="center"/>
        <w:rPr>
          <w:rFonts w:eastAsia="Times New Roman"/>
          <w:szCs w:val="17"/>
        </w:rPr>
      </w:pPr>
    </w:p>
    <w:bookmarkEnd w:id="147"/>
    <w:p w:rsidR="00E0205C" w:rsidRPr="00E0205C" w:rsidRDefault="00E0205C" w:rsidP="00E0205C">
      <w:pPr>
        <w:rPr>
          <w:rFonts w:eastAsia="Times New Roman"/>
          <w:szCs w:val="17"/>
        </w:rPr>
      </w:pPr>
    </w:p>
    <w:p w:rsidR="009D1E2E" w:rsidRPr="009D1E2E" w:rsidRDefault="009D1E2E" w:rsidP="00EF7F2D">
      <w:pPr>
        <w:pStyle w:val="Heading1"/>
      </w:pPr>
      <w:r>
        <w:rPr>
          <w:lang w:val="en-US"/>
        </w:rPr>
        <w:br w:type="page"/>
      </w:r>
      <w:bookmarkStart w:id="151" w:name="_Toc33707983"/>
      <w:bookmarkStart w:id="152" w:name="_Toc33708154"/>
      <w:bookmarkStart w:id="153" w:name="_Toc59098964"/>
      <w:r>
        <w:t>Local</w:t>
      </w:r>
      <w:r w:rsidRPr="009D1E2E">
        <w:t xml:space="preserve"> Government Instruments</w:t>
      </w:r>
      <w:bookmarkEnd w:id="151"/>
      <w:bookmarkEnd w:id="152"/>
      <w:bookmarkEnd w:id="153"/>
    </w:p>
    <w:p w:rsidR="00DD483A" w:rsidRPr="00DD483A" w:rsidRDefault="00DD483A" w:rsidP="007F1F15">
      <w:pPr>
        <w:pStyle w:val="Heading2"/>
      </w:pPr>
      <w:bookmarkStart w:id="154" w:name="_Toc59098965"/>
      <w:r w:rsidRPr="00DD483A">
        <w:t>City of Holdfast Bay</w:t>
      </w:r>
      <w:bookmarkEnd w:id="154"/>
    </w:p>
    <w:p w:rsidR="00DD483A" w:rsidRPr="00DD483A" w:rsidRDefault="00DD483A" w:rsidP="00DD483A">
      <w:pPr>
        <w:spacing w:before="240" w:after="120" w:line="240" w:lineRule="auto"/>
        <w:jc w:val="left"/>
        <w:rPr>
          <w:rFonts w:eastAsia="Times New Roman"/>
          <w:sz w:val="24"/>
          <w:szCs w:val="17"/>
        </w:rPr>
      </w:pPr>
      <w:r w:rsidRPr="00DD483A">
        <w:rPr>
          <w:rFonts w:eastAsia="Times New Roman"/>
          <w:sz w:val="24"/>
          <w:szCs w:val="17"/>
        </w:rPr>
        <w:t>South Australia</w:t>
      </w:r>
    </w:p>
    <w:p w:rsidR="00DD483A" w:rsidRPr="00DD483A" w:rsidRDefault="00DD483A" w:rsidP="00DD483A">
      <w:pPr>
        <w:spacing w:after="120" w:line="240" w:lineRule="auto"/>
        <w:jc w:val="left"/>
        <w:rPr>
          <w:rFonts w:eastAsia="Times New Roman"/>
          <w:b/>
          <w:sz w:val="36"/>
          <w:szCs w:val="17"/>
        </w:rPr>
      </w:pPr>
      <w:r w:rsidRPr="00DD483A">
        <w:rPr>
          <w:rFonts w:eastAsia="Times New Roman"/>
          <w:b/>
          <w:sz w:val="36"/>
          <w:szCs w:val="17"/>
        </w:rPr>
        <w:t>Liquor Licensing (Dry Areas) Notice 2020</w:t>
      </w:r>
    </w:p>
    <w:p w:rsidR="00DD483A" w:rsidRPr="00DD483A" w:rsidRDefault="00DD483A" w:rsidP="00DD483A">
      <w:pPr>
        <w:spacing w:after="120" w:line="240" w:lineRule="auto"/>
        <w:jc w:val="left"/>
        <w:rPr>
          <w:rFonts w:eastAsia="Times New Roman"/>
          <w:i/>
          <w:sz w:val="22"/>
          <w:szCs w:val="17"/>
        </w:rPr>
      </w:pPr>
      <w:r w:rsidRPr="00DD483A">
        <w:rPr>
          <w:rFonts w:eastAsia="Times New Roman"/>
          <w:i/>
          <w:sz w:val="22"/>
          <w:szCs w:val="17"/>
        </w:rPr>
        <w:t>under section 131 of the Liquor Licensing Act 1997</w:t>
      </w:r>
    </w:p>
    <w:p w:rsidR="00DD483A" w:rsidRPr="00DD483A" w:rsidRDefault="00DD483A" w:rsidP="00DD483A">
      <w:pPr>
        <w:spacing w:before="120" w:after="120" w:line="240" w:lineRule="auto"/>
        <w:jc w:val="left"/>
        <w:rPr>
          <w:rFonts w:eastAsia="Times New Roman"/>
          <w:b/>
          <w:sz w:val="24"/>
          <w:szCs w:val="17"/>
        </w:rPr>
      </w:pPr>
      <w:r w:rsidRPr="00DD483A">
        <w:rPr>
          <w:rFonts w:eastAsia="Times New Roman"/>
          <w:b/>
          <w:sz w:val="24"/>
          <w:szCs w:val="17"/>
        </w:rPr>
        <w:t>1—Short title</w:t>
      </w:r>
    </w:p>
    <w:p w:rsidR="00DD483A" w:rsidRPr="00DD483A" w:rsidRDefault="00DD483A" w:rsidP="00DD483A">
      <w:pPr>
        <w:spacing w:after="120" w:line="240" w:lineRule="auto"/>
        <w:ind w:left="709"/>
        <w:jc w:val="left"/>
        <w:rPr>
          <w:rFonts w:eastAsia="Times New Roman"/>
          <w:sz w:val="22"/>
          <w:szCs w:val="17"/>
        </w:rPr>
      </w:pPr>
      <w:r w:rsidRPr="00DD483A">
        <w:rPr>
          <w:rFonts w:eastAsia="Times New Roman"/>
          <w:sz w:val="22"/>
          <w:szCs w:val="17"/>
        </w:rPr>
        <w:t>This notice may be cited as the Liquor Licensing (Dry Areas) Notice 2020</w:t>
      </w:r>
    </w:p>
    <w:p w:rsidR="00DD483A" w:rsidRPr="00DD483A" w:rsidRDefault="00DD483A" w:rsidP="00DD483A">
      <w:pPr>
        <w:spacing w:before="120" w:after="120" w:line="240" w:lineRule="auto"/>
        <w:jc w:val="left"/>
        <w:rPr>
          <w:rFonts w:eastAsia="Times New Roman"/>
          <w:b/>
          <w:sz w:val="24"/>
          <w:szCs w:val="17"/>
        </w:rPr>
      </w:pPr>
      <w:r w:rsidRPr="00DD483A">
        <w:rPr>
          <w:rFonts w:eastAsia="Times New Roman"/>
          <w:b/>
          <w:sz w:val="24"/>
          <w:szCs w:val="17"/>
        </w:rPr>
        <w:t>2—Commencement</w:t>
      </w:r>
    </w:p>
    <w:p w:rsidR="00DD483A" w:rsidRPr="00DD483A" w:rsidRDefault="00DD483A" w:rsidP="00DD483A">
      <w:pPr>
        <w:spacing w:after="120" w:line="240" w:lineRule="auto"/>
        <w:ind w:left="709"/>
        <w:jc w:val="left"/>
        <w:rPr>
          <w:rFonts w:eastAsia="Times New Roman"/>
          <w:sz w:val="22"/>
          <w:szCs w:val="17"/>
        </w:rPr>
      </w:pPr>
      <w:r w:rsidRPr="00DD483A">
        <w:rPr>
          <w:rFonts w:eastAsia="Times New Roman"/>
          <w:sz w:val="22"/>
          <w:szCs w:val="17"/>
        </w:rPr>
        <w:t>This notice comes into operation on 31 December 2020.</w:t>
      </w:r>
    </w:p>
    <w:p w:rsidR="00DD483A" w:rsidRPr="00DD483A" w:rsidRDefault="00DD483A" w:rsidP="00DD483A">
      <w:pPr>
        <w:spacing w:before="120" w:after="120" w:line="240" w:lineRule="auto"/>
        <w:jc w:val="left"/>
        <w:rPr>
          <w:rFonts w:eastAsia="Times New Roman"/>
          <w:b/>
          <w:sz w:val="24"/>
          <w:szCs w:val="17"/>
        </w:rPr>
      </w:pPr>
      <w:r w:rsidRPr="00DD483A">
        <w:rPr>
          <w:rFonts w:eastAsia="Times New Roman"/>
          <w:b/>
          <w:sz w:val="24"/>
          <w:szCs w:val="17"/>
        </w:rPr>
        <w:t>3—Interpretation</w:t>
      </w:r>
    </w:p>
    <w:p w:rsidR="00DD483A" w:rsidRPr="00DD483A" w:rsidRDefault="00DD483A" w:rsidP="00DD483A">
      <w:pPr>
        <w:spacing w:after="120" w:line="240" w:lineRule="auto"/>
        <w:ind w:left="709" w:hanging="567"/>
        <w:jc w:val="left"/>
        <w:rPr>
          <w:rFonts w:eastAsia="Times New Roman"/>
          <w:sz w:val="22"/>
          <w:szCs w:val="17"/>
        </w:rPr>
      </w:pPr>
      <w:r w:rsidRPr="00DD483A">
        <w:rPr>
          <w:rFonts w:eastAsia="Times New Roman"/>
          <w:sz w:val="22"/>
          <w:szCs w:val="17"/>
        </w:rPr>
        <w:t>(1)</w:t>
      </w:r>
      <w:r w:rsidRPr="00DD483A">
        <w:rPr>
          <w:rFonts w:eastAsia="Times New Roman"/>
          <w:sz w:val="22"/>
          <w:szCs w:val="17"/>
        </w:rPr>
        <w:tab/>
        <w:t>In this notice—</w:t>
      </w:r>
    </w:p>
    <w:p w:rsidR="00DD483A" w:rsidRPr="00DD483A" w:rsidRDefault="00DD483A" w:rsidP="00DD483A">
      <w:pPr>
        <w:spacing w:after="120" w:line="240" w:lineRule="auto"/>
        <w:ind w:left="709"/>
        <w:jc w:val="left"/>
        <w:rPr>
          <w:rFonts w:eastAsia="Times New Roman"/>
          <w:sz w:val="22"/>
          <w:szCs w:val="17"/>
        </w:rPr>
      </w:pPr>
      <w:r w:rsidRPr="00DD483A">
        <w:rPr>
          <w:rFonts w:eastAsia="Times New Roman"/>
          <w:b/>
          <w:i/>
          <w:sz w:val="22"/>
          <w:szCs w:val="17"/>
        </w:rPr>
        <w:t>principal notice</w:t>
      </w:r>
      <w:r w:rsidRPr="00DD483A">
        <w:rPr>
          <w:rFonts w:eastAsia="Times New Roman"/>
          <w:sz w:val="22"/>
          <w:szCs w:val="17"/>
        </w:rPr>
        <w:t xml:space="preserve"> means the Liquor Licensing (Dry Areas) Notice 2020 published in the Gazette on 17.12.2020, as in force from time to time.</w:t>
      </w:r>
    </w:p>
    <w:p w:rsidR="00DD483A" w:rsidRPr="00DD483A" w:rsidRDefault="00DD483A" w:rsidP="00DD483A">
      <w:pPr>
        <w:spacing w:after="120" w:line="240" w:lineRule="auto"/>
        <w:ind w:left="709" w:hanging="567"/>
        <w:jc w:val="left"/>
        <w:rPr>
          <w:rFonts w:eastAsia="Times New Roman"/>
          <w:sz w:val="22"/>
          <w:szCs w:val="17"/>
        </w:rPr>
      </w:pPr>
      <w:r w:rsidRPr="00DD483A">
        <w:rPr>
          <w:rFonts w:eastAsia="Times New Roman"/>
          <w:sz w:val="22"/>
          <w:szCs w:val="17"/>
        </w:rPr>
        <w:t>(2)</w:t>
      </w:r>
      <w:r w:rsidRPr="00DD483A">
        <w:rPr>
          <w:rFonts w:eastAsia="Times New Roman"/>
          <w:sz w:val="22"/>
          <w:szCs w:val="17"/>
        </w:rPr>
        <w:tab/>
        <w:t>Clause 3 of the principal notice applies to this notice as if it were the principal notice.</w:t>
      </w:r>
    </w:p>
    <w:p w:rsidR="00DD483A" w:rsidRPr="00DD483A" w:rsidRDefault="00DD483A" w:rsidP="00DD483A">
      <w:pPr>
        <w:spacing w:before="120" w:after="120" w:line="240" w:lineRule="auto"/>
        <w:jc w:val="left"/>
        <w:rPr>
          <w:rFonts w:eastAsia="Times New Roman"/>
          <w:b/>
          <w:sz w:val="24"/>
          <w:szCs w:val="17"/>
        </w:rPr>
      </w:pPr>
      <w:r w:rsidRPr="00DD483A">
        <w:rPr>
          <w:rFonts w:eastAsia="Times New Roman"/>
          <w:b/>
          <w:sz w:val="24"/>
          <w:szCs w:val="17"/>
        </w:rPr>
        <w:t>4—Consumption etc of liquor prohibited in dry areas</w:t>
      </w:r>
    </w:p>
    <w:p w:rsidR="00DD483A" w:rsidRPr="00DD483A" w:rsidRDefault="00DD483A" w:rsidP="00DD483A">
      <w:pPr>
        <w:spacing w:after="120" w:line="240" w:lineRule="auto"/>
        <w:ind w:left="709" w:hanging="567"/>
        <w:jc w:val="left"/>
        <w:rPr>
          <w:rFonts w:eastAsia="Times New Roman"/>
          <w:sz w:val="22"/>
          <w:szCs w:val="17"/>
        </w:rPr>
      </w:pPr>
      <w:r w:rsidRPr="00DD483A">
        <w:rPr>
          <w:rFonts w:eastAsia="Times New Roman"/>
          <w:sz w:val="22"/>
          <w:szCs w:val="17"/>
        </w:rPr>
        <w:t>(1)</w:t>
      </w:r>
      <w:r w:rsidRPr="00DD483A">
        <w:rPr>
          <w:rFonts w:eastAsia="Times New Roman"/>
          <w:sz w:val="22"/>
          <w:szCs w:val="17"/>
        </w:rPr>
        <w:tab/>
        <w:t>Pursuant to section 131 of the Act, the consumption and possession of liquor in the area described in the Schedule is prohibited in accordance with the provisions of the Schedule.</w:t>
      </w:r>
    </w:p>
    <w:p w:rsidR="00DD483A" w:rsidRPr="00DD483A" w:rsidRDefault="00DD483A" w:rsidP="00DD483A">
      <w:pPr>
        <w:spacing w:after="120" w:line="240" w:lineRule="auto"/>
        <w:ind w:left="709" w:hanging="567"/>
        <w:jc w:val="left"/>
        <w:rPr>
          <w:rFonts w:eastAsia="Times New Roman"/>
          <w:sz w:val="22"/>
          <w:szCs w:val="17"/>
        </w:rPr>
      </w:pPr>
      <w:r w:rsidRPr="00DD483A">
        <w:rPr>
          <w:rFonts w:eastAsia="Times New Roman"/>
          <w:sz w:val="22"/>
          <w:szCs w:val="17"/>
        </w:rPr>
        <w:t>(2)</w:t>
      </w:r>
      <w:r w:rsidRPr="00DD483A">
        <w:rPr>
          <w:rFonts w:eastAsia="Times New Roman"/>
          <w:sz w:val="22"/>
          <w:szCs w:val="17"/>
        </w:rPr>
        <w:tab/>
        <w:t>The prohibition has effect during the periods specified in the Schedule.</w:t>
      </w:r>
    </w:p>
    <w:p w:rsidR="00DD483A" w:rsidRPr="00DD483A" w:rsidRDefault="00DD483A" w:rsidP="00DD483A">
      <w:pPr>
        <w:spacing w:after="120" w:line="240" w:lineRule="auto"/>
        <w:ind w:left="709" w:hanging="567"/>
        <w:jc w:val="left"/>
        <w:rPr>
          <w:rFonts w:eastAsia="Times New Roman"/>
          <w:sz w:val="22"/>
          <w:szCs w:val="17"/>
        </w:rPr>
      </w:pPr>
      <w:r w:rsidRPr="00DD483A">
        <w:rPr>
          <w:rFonts w:eastAsia="Times New Roman"/>
          <w:sz w:val="22"/>
          <w:szCs w:val="17"/>
        </w:rPr>
        <w:t>(3)</w:t>
      </w:r>
      <w:r w:rsidRPr="00DD483A">
        <w:rPr>
          <w:rFonts w:eastAsia="Times New Roman"/>
          <w:sz w:val="22"/>
          <w:szCs w:val="17"/>
        </w:rPr>
        <w:tab/>
        <w:t xml:space="preserve">The prohibition does not extend to private land in the area described in the Schedule. </w:t>
      </w:r>
    </w:p>
    <w:p w:rsidR="00DD483A" w:rsidRPr="00DD483A" w:rsidRDefault="00DD483A" w:rsidP="00DD483A">
      <w:pPr>
        <w:spacing w:after="120" w:line="240" w:lineRule="auto"/>
        <w:ind w:left="709" w:hanging="567"/>
        <w:jc w:val="left"/>
        <w:rPr>
          <w:rFonts w:eastAsia="Times New Roman"/>
          <w:sz w:val="22"/>
          <w:szCs w:val="17"/>
        </w:rPr>
      </w:pPr>
      <w:r w:rsidRPr="00DD483A">
        <w:rPr>
          <w:rFonts w:eastAsia="Times New Roman"/>
          <w:sz w:val="22"/>
          <w:szCs w:val="17"/>
        </w:rPr>
        <w:t>(4)</w:t>
      </w:r>
      <w:r w:rsidRPr="00DD483A">
        <w:rPr>
          <w:rFonts w:eastAsia="Times New Roman"/>
          <w:sz w:val="22"/>
          <w:szCs w:val="17"/>
        </w:rPr>
        <w:tab/>
        <w:t>Unless the contrary intention appears, the prohibition of the possession of liquor in the area does not extend to—</w:t>
      </w:r>
    </w:p>
    <w:p w:rsidR="00DD483A" w:rsidRPr="00DD483A" w:rsidRDefault="00DD483A" w:rsidP="00DD483A">
      <w:pPr>
        <w:spacing w:after="120" w:line="240" w:lineRule="auto"/>
        <w:ind w:left="1134" w:hanging="425"/>
        <w:jc w:val="left"/>
        <w:rPr>
          <w:rFonts w:eastAsia="Times New Roman"/>
          <w:sz w:val="22"/>
          <w:szCs w:val="17"/>
        </w:rPr>
      </w:pPr>
      <w:r w:rsidRPr="00DD483A">
        <w:rPr>
          <w:rFonts w:eastAsia="Times New Roman"/>
          <w:sz w:val="22"/>
          <w:szCs w:val="17"/>
        </w:rPr>
        <w:t>(a)</w:t>
      </w:r>
      <w:r w:rsidRPr="00DD483A">
        <w:rPr>
          <w:rFonts w:eastAsia="Times New Roman"/>
          <w:sz w:val="22"/>
          <w:szCs w:val="17"/>
        </w:rPr>
        <w:tab/>
        <w:t>a person who is genuinely passing through the area if—</w:t>
      </w:r>
    </w:p>
    <w:p w:rsidR="00DD483A" w:rsidRPr="00DD483A" w:rsidRDefault="00DD483A" w:rsidP="00DD483A">
      <w:pPr>
        <w:spacing w:after="120" w:line="240" w:lineRule="auto"/>
        <w:ind w:left="1560" w:hanging="425"/>
        <w:jc w:val="left"/>
        <w:rPr>
          <w:rFonts w:eastAsia="Times New Roman"/>
          <w:sz w:val="22"/>
          <w:szCs w:val="17"/>
        </w:rPr>
      </w:pPr>
      <w:r w:rsidRPr="00DD483A">
        <w:rPr>
          <w:rFonts w:eastAsia="Times New Roman"/>
          <w:sz w:val="22"/>
          <w:szCs w:val="17"/>
        </w:rPr>
        <w:t>(i)</w:t>
      </w:r>
      <w:r w:rsidRPr="00DD483A">
        <w:rPr>
          <w:rFonts w:eastAsia="Times New Roman"/>
          <w:sz w:val="22"/>
          <w:szCs w:val="17"/>
        </w:rPr>
        <w:tab/>
        <w:t>the liquor is in the original container in which it was purchased from licensed premises; and</w:t>
      </w:r>
    </w:p>
    <w:p w:rsidR="00DD483A" w:rsidRPr="00DD483A" w:rsidRDefault="00DD483A" w:rsidP="00DD483A">
      <w:pPr>
        <w:spacing w:after="120" w:line="240" w:lineRule="auto"/>
        <w:ind w:left="1560" w:hanging="425"/>
        <w:jc w:val="left"/>
        <w:rPr>
          <w:rFonts w:eastAsia="Times New Roman"/>
          <w:sz w:val="22"/>
          <w:szCs w:val="17"/>
        </w:rPr>
      </w:pPr>
      <w:r w:rsidRPr="00DD483A">
        <w:rPr>
          <w:rFonts w:eastAsia="Times New Roman"/>
          <w:sz w:val="22"/>
          <w:szCs w:val="17"/>
        </w:rPr>
        <w:t>(ii)</w:t>
      </w:r>
      <w:r w:rsidRPr="00DD483A">
        <w:rPr>
          <w:rFonts w:eastAsia="Times New Roman"/>
          <w:sz w:val="22"/>
          <w:szCs w:val="17"/>
        </w:rPr>
        <w:tab/>
        <w:t>the container has not been opened; or</w:t>
      </w:r>
    </w:p>
    <w:p w:rsidR="00DD483A" w:rsidRPr="00DD483A" w:rsidRDefault="00DD483A" w:rsidP="00DD483A">
      <w:pPr>
        <w:spacing w:after="120" w:line="240" w:lineRule="auto"/>
        <w:ind w:left="1134" w:hanging="425"/>
        <w:jc w:val="left"/>
        <w:rPr>
          <w:rFonts w:eastAsia="Times New Roman"/>
          <w:sz w:val="22"/>
          <w:szCs w:val="17"/>
        </w:rPr>
      </w:pPr>
      <w:r w:rsidRPr="00DD483A">
        <w:rPr>
          <w:rFonts w:eastAsia="Times New Roman"/>
          <w:sz w:val="22"/>
          <w:szCs w:val="17"/>
        </w:rPr>
        <w:t>(b)</w:t>
      </w:r>
      <w:r w:rsidRPr="00DD483A">
        <w:rPr>
          <w:rFonts w:eastAsia="Times New Roman"/>
          <w:sz w:val="22"/>
          <w:szCs w:val="17"/>
        </w:rPr>
        <w:tab/>
        <w:t>a person who has possession of the liquor in the course of carrying on a business or in the course of his or her employment by another person in the course of carrying on a business; or</w:t>
      </w:r>
    </w:p>
    <w:p w:rsidR="00DD483A" w:rsidRPr="00DD483A" w:rsidRDefault="00DD483A" w:rsidP="00DD483A">
      <w:pPr>
        <w:spacing w:after="120" w:line="240" w:lineRule="auto"/>
        <w:ind w:left="1134" w:hanging="425"/>
        <w:jc w:val="left"/>
        <w:rPr>
          <w:rFonts w:eastAsia="Times New Roman"/>
          <w:sz w:val="22"/>
          <w:szCs w:val="17"/>
        </w:rPr>
      </w:pPr>
      <w:r w:rsidRPr="00DD483A">
        <w:rPr>
          <w:rFonts w:eastAsia="Times New Roman"/>
          <w:sz w:val="22"/>
          <w:szCs w:val="17"/>
        </w:rPr>
        <w:t>(c)</w:t>
      </w:r>
      <w:r w:rsidRPr="00DD483A">
        <w:rPr>
          <w:rFonts w:eastAsia="Times New Roman"/>
          <w:sz w:val="22"/>
          <w:szCs w:val="17"/>
        </w:rPr>
        <w:tab/>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rsidR="00DD483A" w:rsidRPr="00DD483A" w:rsidRDefault="00DD483A" w:rsidP="00DD483A">
      <w:pPr>
        <w:rPr>
          <w:rFonts w:eastAsia="Times New Roman"/>
          <w:b/>
          <w:sz w:val="32"/>
          <w:szCs w:val="17"/>
        </w:rPr>
      </w:pPr>
      <w:r w:rsidRPr="00DD483A">
        <w:rPr>
          <w:rFonts w:eastAsia="Times New Roman"/>
          <w:b/>
          <w:sz w:val="32"/>
          <w:szCs w:val="17"/>
          <w:lang w:eastAsia="en-AU"/>
        </w:rPr>
        <w:br w:type="page"/>
      </w:r>
    </w:p>
    <w:p w:rsidR="00DD483A" w:rsidRPr="00DD483A" w:rsidRDefault="00DD483A" w:rsidP="00DD483A">
      <w:pPr>
        <w:spacing w:before="120" w:after="120" w:line="240" w:lineRule="auto"/>
        <w:jc w:val="left"/>
        <w:rPr>
          <w:rFonts w:eastAsia="Times New Roman"/>
          <w:b/>
          <w:sz w:val="32"/>
          <w:szCs w:val="17"/>
        </w:rPr>
      </w:pPr>
      <w:r w:rsidRPr="00DD483A">
        <w:rPr>
          <w:rFonts w:eastAsia="Times New Roman"/>
          <w:b/>
          <w:sz w:val="32"/>
          <w:szCs w:val="17"/>
        </w:rPr>
        <w:t>Schedule 1—Glenelg Area 2</w:t>
      </w:r>
    </w:p>
    <w:p w:rsidR="00DD483A" w:rsidRPr="00DD483A" w:rsidRDefault="00DD483A" w:rsidP="00DD483A">
      <w:pPr>
        <w:spacing w:before="120" w:after="120" w:line="240" w:lineRule="auto"/>
        <w:jc w:val="left"/>
        <w:rPr>
          <w:rFonts w:eastAsia="Times New Roman"/>
          <w:b/>
          <w:sz w:val="24"/>
          <w:szCs w:val="17"/>
        </w:rPr>
      </w:pPr>
      <w:r w:rsidRPr="00DD483A">
        <w:rPr>
          <w:rFonts w:eastAsia="Times New Roman"/>
          <w:b/>
          <w:sz w:val="24"/>
          <w:szCs w:val="17"/>
        </w:rPr>
        <w:t>1—Extent of prohibition</w:t>
      </w:r>
    </w:p>
    <w:p w:rsidR="00DD483A" w:rsidRPr="00DD483A" w:rsidRDefault="00DD483A" w:rsidP="00DD483A">
      <w:pPr>
        <w:spacing w:after="120" w:line="240" w:lineRule="auto"/>
        <w:ind w:left="709"/>
        <w:jc w:val="left"/>
        <w:rPr>
          <w:rFonts w:eastAsia="Times New Roman"/>
          <w:sz w:val="22"/>
          <w:szCs w:val="17"/>
        </w:rPr>
      </w:pPr>
      <w:r w:rsidRPr="00DD483A">
        <w:rPr>
          <w:rFonts w:eastAsia="Times New Roman"/>
          <w:sz w:val="22"/>
          <w:szCs w:val="17"/>
        </w:rPr>
        <w:t xml:space="preserve">The consumption of liquor is prohibited. The possession of liquor is prohibited, and the prohibition extends to possession in each of the circumstances referred to in Clause 4 (4). </w:t>
      </w:r>
      <w:r w:rsidRPr="00DD483A">
        <w:rPr>
          <w:rFonts w:eastAsia="Times New Roman"/>
          <w:sz w:val="22"/>
          <w:szCs w:val="17"/>
        </w:rPr>
        <w:br/>
        <w:t>This also includes the total prohibition of alcohol in sealed and/or unsealed containers on community land.</w:t>
      </w:r>
    </w:p>
    <w:p w:rsidR="00DD483A" w:rsidRPr="00DD483A" w:rsidRDefault="00DD483A" w:rsidP="00DD483A">
      <w:pPr>
        <w:spacing w:before="120" w:after="120" w:line="240" w:lineRule="auto"/>
        <w:jc w:val="left"/>
        <w:rPr>
          <w:rFonts w:eastAsia="Times New Roman"/>
          <w:b/>
          <w:sz w:val="24"/>
          <w:szCs w:val="17"/>
        </w:rPr>
      </w:pPr>
      <w:r w:rsidRPr="00DD483A">
        <w:rPr>
          <w:rFonts w:eastAsia="Times New Roman"/>
          <w:b/>
          <w:sz w:val="24"/>
          <w:szCs w:val="17"/>
        </w:rPr>
        <w:t>2—Period of prohibition</w:t>
      </w:r>
    </w:p>
    <w:p w:rsidR="00DD483A" w:rsidRPr="00DD483A" w:rsidRDefault="00DD483A" w:rsidP="00DD483A">
      <w:pPr>
        <w:spacing w:after="120" w:line="240" w:lineRule="auto"/>
        <w:ind w:left="709"/>
        <w:jc w:val="left"/>
        <w:rPr>
          <w:rFonts w:eastAsia="Times New Roman"/>
          <w:sz w:val="22"/>
          <w:szCs w:val="17"/>
        </w:rPr>
      </w:pPr>
      <w:r w:rsidRPr="00DD483A">
        <w:rPr>
          <w:rFonts w:eastAsia="Times New Roman"/>
          <w:sz w:val="22"/>
          <w:szCs w:val="17"/>
        </w:rPr>
        <w:t>From 6pm on Thursday, 31 December 2020 to 6am on Friday, 1 January 2021.</w:t>
      </w:r>
    </w:p>
    <w:p w:rsidR="00DD483A" w:rsidRPr="00DD483A" w:rsidRDefault="00DD483A" w:rsidP="00DD483A">
      <w:pPr>
        <w:spacing w:before="120" w:after="120" w:line="240" w:lineRule="auto"/>
        <w:jc w:val="left"/>
        <w:rPr>
          <w:rFonts w:eastAsia="Times New Roman"/>
          <w:b/>
          <w:sz w:val="24"/>
          <w:szCs w:val="17"/>
        </w:rPr>
      </w:pPr>
      <w:r w:rsidRPr="00DD483A">
        <w:rPr>
          <w:rFonts w:eastAsia="Times New Roman"/>
          <w:b/>
          <w:sz w:val="24"/>
          <w:szCs w:val="17"/>
        </w:rPr>
        <w:t>3—Description of area</w:t>
      </w:r>
    </w:p>
    <w:p w:rsidR="00DD483A" w:rsidRPr="00DD483A" w:rsidRDefault="00DD483A" w:rsidP="00DD483A">
      <w:pPr>
        <w:spacing w:after="120" w:line="240" w:lineRule="auto"/>
        <w:ind w:left="709"/>
        <w:jc w:val="left"/>
        <w:rPr>
          <w:rFonts w:eastAsia="Times New Roman"/>
          <w:sz w:val="22"/>
          <w:szCs w:val="17"/>
        </w:rPr>
      </w:pPr>
      <w:r w:rsidRPr="00DD483A">
        <w:rPr>
          <w:rFonts w:eastAsia="Times New Roman"/>
          <w:sz w:val="22"/>
          <w:szCs w:val="17"/>
        </w:rPr>
        <w:t>The area in Glenelg bounded as follows: commencing at the point at which the eastern boundary of Colley Terrace intersects the northern boundary of Augusta Street, then  generally easterly along the northern boundary of Augusta Street (including around the western, northern and eastern boundaries of Torrens Square) to its intersection with the eastern boundary of Brighton Road, then southerly along that boundary of Brighton Road to the northern boundary of Dunbar Terrace, then easterly along that boundary of Dunbar Terrace to the point at which it meets the western boundary of First Avenue, then in a straight line by the shortest route (across Dunbar Terrace and Maxwell Terrace) to the point at which the southern boundary of Maxwell Terrace meets the eastern boundary of Fortrose Street, then westerly along that boundary of Maxwell Terrace to the eastern boundary of Brighton Road, then southerly along that boundary of Brighton Road to its intersection with the prolongation in a straight line of the southern boundary of High Street, then generally westerly along that prolongation and boundary of High Street to the point at which the prolongation in a straight line of that southern boundary of High Street intersects the western boundary of Moseley Street, then northerly along that boundary of Moseley Street to the southern boundary of College Street, then westerly along that boundary of College Street and the prolongation in a straight line of that boundary to the western boundary of St John's Row, then northerly along that boundary of St John's Row to the southern boundary of South Esplanade Lane (the northern boundary of Lot 101 FP 6859), then westerly along that boundary of South Esplanade Lane to the eastern boundary of the South Esplanade, then south-westerly along that boundary of the South Esplanade to the northern boundary of Kent Street, then westerly along that boundary of Kent Street and the prolongation in a straight line of that boundary to the low water mark of Gulf St Vincent, then generally northerly along the low water mark (including the low water mark around the outer boundary of any breakwater or groyne) to the entrance to the Patawalonga River, then generally southeasterly, easterly, northerly, easterly and northerly along the southern and eastern bank of the River to the point at which the eastern bank of the River intersects the prolongation in a straight line of the southern boundary of St Anne's Terrace, then easterly along that prolongation to the western boundary of Adelphi Terrace, then southerly along that western boundary of Adelphi Terrace and the prolongation in a straight line of that boundary to the southern boundary of Anzac Highway, then westerly along that boundary of Anzac Highway to the eastern boundary of Colley Terrace, then southerly along that boundary of Colley Terrace to the point of commencement. The area includes the Glenelg Jetty and any other jetty, wharf, mooring, dock or other structure (apart from the Patawalonga Weir) projecting into the Gulf or River from the area described above, as well as any area beneath such a structure.</w:t>
      </w:r>
    </w:p>
    <w:p w:rsidR="00DD483A" w:rsidRPr="00DD483A" w:rsidRDefault="00DD483A" w:rsidP="00DD483A">
      <w:pPr>
        <w:rPr>
          <w:rFonts w:eastAsia="Times New Roman"/>
          <w:b/>
          <w:sz w:val="22"/>
          <w:szCs w:val="17"/>
        </w:rPr>
      </w:pPr>
      <w:r w:rsidRPr="00DD483A">
        <w:rPr>
          <w:rFonts w:eastAsia="Times New Roman"/>
          <w:b/>
          <w:sz w:val="22"/>
          <w:szCs w:val="17"/>
          <w:lang w:eastAsia="en-AU"/>
        </w:rPr>
        <w:br w:type="page"/>
      </w:r>
    </w:p>
    <w:p w:rsidR="00DD483A" w:rsidRPr="00DD483A" w:rsidRDefault="00DD483A" w:rsidP="00DD483A">
      <w:pPr>
        <w:spacing w:before="240" w:after="0" w:line="240" w:lineRule="auto"/>
        <w:jc w:val="left"/>
        <w:rPr>
          <w:rFonts w:eastAsia="Times New Roman"/>
          <w:sz w:val="22"/>
          <w:szCs w:val="17"/>
        </w:rPr>
      </w:pPr>
      <w:r w:rsidRPr="00DD483A">
        <w:rPr>
          <w:rFonts w:eastAsia="Times New Roman"/>
          <w:sz w:val="22"/>
          <w:szCs w:val="17"/>
        </w:rPr>
        <w:t>Dated: 27 October 2020</w:t>
      </w:r>
    </w:p>
    <w:p w:rsidR="009D1E2E" w:rsidRDefault="00DD483A" w:rsidP="00DD483A">
      <w:pPr>
        <w:spacing w:before="120" w:after="0" w:line="240" w:lineRule="auto"/>
        <w:jc w:val="left"/>
        <w:rPr>
          <w:rFonts w:eastAsia="Times New Roman"/>
          <w:b/>
          <w:sz w:val="22"/>
          <w:szCs w:val="17"/>
        </w:rPr>
      </w:pPr>
      <w:r w:rsidRPr="00DD483A">
        <w:rPr>
          <w:rFonts w:eastAsia="Times New Roman"/>
          <w:b/>
          <w:noProof/>
          <w:sz w:val="24"/>
          <w:szCs w:val="24"/>
          <w:lang w:eastAsia="en-AU"/>
        </w:rPr>
        <w:drawing>
          <wp:anchor distT="0" distB="0" distL="114300" distR="114300" simplePos="0" relativeHeight="251661824" behindDoc="0" locked="0" layoutInCell="1" allowOverlap="1" wp14:anchorId="28A18845" wp14:editId="57F59588">
            <wp:simplePos x="0" y="0"/>
            <wp:positionH relativeFrom="margin">
              <wp:align>center</wp:align>
            </wp:positionH>
            <wp:positionV relativeFrom="margin">
              <wp:align>top</wp:align>
            </wp:positionV>
            <wp:extent cx="5144135" cy="587502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3">
                      <a:extLst>
                        <a:ext uri="{28A0092B-C50C-407E-A947-70E740481C1C}">
                          <a14:useLocalDpi xmlns:a14="http://schemas.microsoft.com/office/drawing/2010/main" val="0"/>
                        </a:ext>
                      </a:extLst>
                    </a:blip>
                    <a:srcRect l="3222" t="1713" r="2994" b="1158"/>
                    <a:stretch/>
                  </pic:blipFill>
                  <pic:spPr bwMode="auto">
                    <a:xfrm>
                      <a:off x="0" y="0"/>
                      <a:ext cx="5144135" cy="5875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D483A">
        <w:rPr>
          <w:rFonts w:eastAsia="Times New Roman"/>
          <w:b/>
          <w:noProof/>
          <w:sz w:val="24"/>
          <w:szCs w:val="24"/>
          <w:lang w:eastAsia="en-AU"/>
        </w:rPr>
        <w:t>Roberto Bria</w:t>
      </w:r>
      <w:r w:rsidRPr="00DD483A">
        <w:rPr>
          <w:rFonts w:eastAsia="Times New Roman"/>
          <w:b/>
          <w:sz w:val="22"/>
          <w:szCs w:val="17"/>
        </w:rPr>
        <w:t>, Chief Executive Officer</w:t>
      </w:r>
    </w:p>
    <w:p w:rsidR="00DD483A" w:rsidRDefault="00DD483A" w:rsidP="00DD483A">
      <w:pPr>
        <w:pBdr>
          <w:bottom w:val="single" w:sz="4" w:space="1" w:color="auto"/>
        </w:pBdr>
        <w:spacing w:after="0" w:line="52" w:lineRule="exact"/>
        <w:jc w:val="center"/>
        <w:rPr>
          <w:lang w:val="en-US"/>
        </w:rPr>
      </w:pPr>
    </w:p>
    <w:p w:rsidR="00DD483A" w:rsidRDefault="00DD483A" w:rsidP="00DD483A">
      <w:pPr>
        <w:pBdr>
          <w:top w:val="single" w:sz="4" w:space="1" w:color="auto"/>
        </w:pBdr>
        <w:spacing w:before="34" w:after="0" w:line="14" w:lineRule="exact"/>
        <w:jc w:val="center"/>
        <w:rPr>
          <w:lang w:val="en-US"/>
        </w:rPr>
      </w:pPr>
    </w:p>
    <w:p w:rsidR="00DD483A" w:rsidRDefault="00DD483A" w:rsidP="00DD483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rsidR="00F75D11" w:rsidRDefault="00F75D11">
      <w:pPr>
        <w:spacing w:after="0" w:line="240" w:lineRule="auto"/>
        <w:jc w:val="left"/>
        <w:rPr>
          <w:caps/>
          <w:szCs w:val="17"/>
        </w:rPr>
      </w:pPr>
      <w:r>
        <w:rPr>
          <w:caps/>
          <w:szCs w:val="17"/>
        </w:rPr>
        <w:br w:type="page"/>
      </w:r>
    </w:p>
    <w:p w:rsidR="00CE581E" w:rsidRPr="00662003" w:rsidRDefault="00662003" w:rsidP="00662003">
      <w:pPr>
        <w:pStyle w:val="Heading2"/>
      </w:pPr>
      <w:bookmarkStart w:id="155" w:name="_Toc59098966"/>
      <w:r w:rsidRPr="00CE581E">
        <w:t xml:space="preserve">City </w:t>
      </w:r>
      <w:r>
        <w:t>o</w:t>
      </w:r>
      <w:r w:rsidRPr="00CE581E">
        <w:t>f Port Adelaide Enfield</w:t>
      </w:r>
      <w:bookmarkEnd w:id="155"/>
    </w:p>
    <w:p w:rsidR="00CE581E" w:rsidRPr="00CE581E" w:rsidRDefault="00CE581E" w:rsidP="00CE581E">
      <w:pPr>
        <w:jc w:val="center"/>
        <w:rPr>
          <w:smallCaps/>
          <w:szCs w:val="17"/>
        </w:rPr>
      </w:pPr>
      <w:r w:rsidRPr="00CE581E">
        <w:rPr>
          <w:smallCaps/>
          <w:szCs w:val="17"/>
        </w:rPr>
        <w:t>Roads (Opening and Closing) Act 1991: Section 10</w:t>
      </w:r>
    </w:p>
    <w:p w:rsidR="00CE581E" w:rsidRPr="00CE581E" w:rsidRDefault="00CE581E" w:rsidP="00CE581E">
      <w:pPr>
        <w:jc w:val="center"/>
        <w:rPr>
          <w:i/>
          <w:szCs w:val="17"/>
        </w:rPr>
      </w:pPr>
      <w:r w:rsidRPr="00CE581E">
        <w:rPr>
          <w:i/>
          <w:szCs w:val="17"/>
        </w:rPr>
        <w:t>Notice of Proposed Road Closure—Portion of Anson Street, Blair Athol</w:t>
      </w:r>
    </w:p>
    <w:p w:rsidR="00CE581E" w:rsidRPr="00CE581E" w:rsidRDefault="00CE581E" w:rsidP="00CE581E">
      <w:pPr>
        <w:rPr>
          <w:rFonts w:eastAsia="Times New Roman"/>
          <w:szCs w:val="17"/>
        </w:rPr>
      </w:pPr>
      <w:r w:rsidRPr="00CE581E">
        <w:rPr>
          <w:rFonts w:eastAsia="Times New Roman"/>
          <w:szCs w:val="17"/>
        </w:rPr>
        <w:t xml:space="preserve">In accordance with section 10 of the </w:t>
      </w:r>
      <w:r w:rsidRPr="00CE581E">
        <w:rPr>
          <w:rFonts w:eastAsia="Times New Roman"/>
          <w:i/>
          <w:iCs/>
          <w:szCs w:val="17"/>
        </w:rPr>
        <w:t xml:space="preserve">Roads (Opening </w:t>
      </w:r>
      <w:r w:rsidRPr="00CE581E">
        <w:rPr>
          <w:rFonts w:eastAsia="Times New Roman"/>
          <w:szCs w:val="17"/>
        </w:rPr>
        <w:t xml:space="preserve">&amp; </w:t>
      </w:r>
      <w:r w:rsidRPr="00CE581E">
        <w:rPr>
          <w:rFonts w:eastAsia="Times New Roman"/>
          <w:i/>
          <w:iCs/>
          <w:szCs w:val="17"/>
        </w:rPr>
        <w:t xml:space="preserve">Closing) Act 1991, </w:t>
      </w:r>
      <w:r w:rsidRPr="00CE581E">
        <w:rPr>
          <w:rFonts w:eastAsia="Times New Roman"/>
          <w:szCs w:val="17"/>
        </w:rPr>
        <w:t>NOTICE is hereby given that City of Port Adelaide Enfield proposes to make a Road Process Order to close and merge with the adjoining Council reserve, being Allotment (Reserve) 1002 in Deposited Plan 123920 and comprised in Certificate of Title Register Book Volume 6238 Folio 918, a portion of the public road known as ‘Anson Street’ Blair Athol that is more particularly delineated and lettered ‘A’ on Preliminary Plan 20/0050.</w:t>
      </w:r>
    </w:p>
    <w:p w:rsidR="00CE581E" w:rsidRPr="00CE581E" w:rsidRDefault="00CE581E" w:rsidP="00CE581E">
      <w:pPr>
        <w:rPr>
          <w:rFonts w:eastAsia="Times New Roman"/>
          <w:szCs w:val="17"/>
        </w:rPr>
      </w:pPr>
      <w:r w:rsidRPr="00CE581E">
        <w:rPr>
          <w:rFonts w:eastAsia="Times New Roman"/>
          <w:szCs w:val="17"/>
        </w:rPr>
        <w:t>A copy of the Preliminary Plan, and a statement of persons affected, are available for public inspection at the City of Port Adelaide Enfield’s Civic Centre located at 163 St Vincent Street Port Adelaide SA 5015 between the hours of 8.30am and 5.00pm, Monday to Friday or at the Adelaide office of the Surveyor-General, 101 Grenfell Street Adelaide during normal office hours.</w:t>
      </w:r>
    </w:p>
    <w:p w:rsidR="00CE581E" w:rsidRPr="00CE581E" w:rsidRDefault="00CE581E" w:rsidP="00CE581E">
      <w:pPr>
        <w:rPr>
          <w:rFonts w:eastAsia="Times New Roman"/>
          <w:szCs w:val="17"/>
        </w:rPr>
      </w:pPr>
      <w:r w:rsidRPr="00CE581E">
        <w:rPr>
          <w:rFonts w:eastAsia="Times New Roman"/>
          <w:szCs w:val="17"/>
        </w:rPr>
        <w:t>Any person is entitled to object to the proposed road closure via written submission. An objection must state whether the objector wishes to make submissions to the Council at any meeting held by the Council for this purpose. A person affected by the proposed closure is entitled to apply for an easement to be granted in that person’s favour over the land subject to the proposed closure.</w:t>
      </w:r>
    </w:p>
    <w:p w:rsidR="00CE581E" w:rsidRPr="00CE581E" w:rsidRDefault="00CE581E" w:rsidP="00CE581E">
      <w:pPr>
        <w:rPr>
          <w:rFonts w:eastAsia="Times New Roman"/>
          <w:szCs w:val="17"/>
        </w:rPr>
      </w:pPr>
      <w:r w:rsidRPr="00CE581E">
        <w:rPr>
          <w:rFonts w:eastAsia="Times New Roman"/>
          <w:szCs w:val="17"/>
        </w:rPr>
        <w:t>An objection or application for an easement must set out the full name and address of the person making the objection or application and must be fully supported by reasons.</w:t>
      </w:r>
    </w:p>
    <w:p w:rsidR="00CE581E" w:rsidRPr="00CE581E" w:rsidRDefault="00CE581E" w:rsidP="00CE581E">
      <w:pPr>
        <w:rPr>
          <w:rFonts w:eastAsia="Times New Roman"/>
          <w:szCs w:val="17"/>
        </w:rPr>
      </w:pPr>
      <w:r w:rsidRPr="00CE581E">
        <w:rPr>
          <w:rFonts w:eastAsia="Times New Roman"/>
          <w:szCs w:val="17"/>
        </w:rPr>
        <w:t>An application for an easement must give full particulars of the nature and location of the easement that is being applied for and, where made by a person as the owner of adjoining or nearby land, specify the land to which the easement is to be annexed.</w:t>
      </w:r>
    </w:p>
    <w:p w:rsidR="00CE581E" w:rsidRPr="00CE581E" w:rsidRDefault="00CE581E" w:rsidP="00CE581E">
      <w:pPr>
        <w:rPr>
          <w:rFonts w:eastAsia="Times New Roman"/>
          <w:szCs w:val="17"/>
        </w:rPr>
      </w:pPr>
      <w:r w:rsidRPr="00CE581E">
        <w:rPr>
          <w:rFonts w:eastAsia="Times New Roman"/>
          <w:szCs w:val="17"/>
        </w:rPr>
        <w:t xml:space="preserve">Any objection or application for an easement must be made in writing setting out full details and must be submitted to the Council by post to PO Box 110, Port Adelaide SA 5015, or via email to </w:t>
      </w:r>
      <w:hyperlink r:id="rId154" w:history="1">
        <w:r w:rsidRPr="00CE581E">
          <w:rPr>
            <w:color w:val="0000FF"/>
            <w:szCs w:val="17"/>
            <w:u w:val="single"/>
          </w:rPr>
          <w:t>service@cityofpae.sa.gov.au</w:t>
        </w:r>
      </w:hyperlink>
      <w:r w:rsidRPr="00CE581E">
        <w:rPr>
          <w:rFonts w:eastAsia="Times New Roman"/>
          <w:szCs w:val="17"/>
        </w:rPr>
        <w:t xml:space="preserve"> within 28 days of the date of publication of this notice and a copy must be forwarded to the Surveyor-General at GPO Box 1354, Adelaide, SA 5001.</w:t>
      </w:r>
    </w:p>
    <w:p w:rsidR="00CE581E" w:rsidRPr="00CE581E" w:rsidRDefault="00CE581E" w:rsidP="00CE581E">
      <w:pPr>
        <w:rPr>
          <w:rFonts w:eastAsia="Times New Roman"/>
          <w:szCs w:val="17"/>
        </w:rPr>
      </w:pPr>
      <w:r w:rsidRPr="00CE581E">
        <w:rPr>
          <w:rFonts w:eastAsia="Times New Roman"/>
          <w:szCs w:val="17"/>
        </w:rPr>
        <w:t>Where an objection or application for an easement is received, the Council will give notification of a meeting at which the matter will be considered so that the objector and/or applicant may attend if so desired.</w:t>
      </w:r>
    </w:p>
    <w:p w:rsidR="00CE581E" w:rsidRPr="00CE581E" w:rsidRDefault="00CE581E" w:rsidP="00CE581E">
      <w:pPr>
        <w:spacing w:after="0"/>
        <w:rPr>
          <w:rFonts w:eastAsia="Times New Roman"/>
          <w:szCs w:val="17"/>
        </w:rPr>
      </w:pPr>
      <w:r w:rsidRPr="00CE581E">
        <w:rPr>
          <w:rFonts w:eastAsia="Times New Roman"/>
          <w:szCs w:val="17"/>
        </w:rPr>
        <w:t>Dated: 17 December 2020</w:t>
      </w:r>
    </w:p>
    <w:p w:rsidR="00CE581E" w:rsidRPr="00CE581E" w:rsidRDefault="00CE581E" w:rsidP="00CE581E">
      <w:pPr>
        <w:spacing w:after="0"/>
        <w:jc w:val="right"/>
        <w:rPr>
          <w:rFonts w:eastAsia="Times New Roman"/>
          <w:smallCaps/>
          <w:szCs w:val="20"/>
        </w:rPr>
      </w:pPr>
      <w:r w:rsidRPr="00CE581E">
        <w:rPr>
          <w:rFonts w:eastAsia="Times New Roman"/>
          <w:smallCaps/>
          <w:szCs w:val="20"/>
        </w:rPr>
        <w:t>Mark Withers</w:t>
      </w:r>
    </w:p>
    <w:p w:rsidR="00DD483A" w:rsidRDefault="00CE581E" w:rsidP="00F75D11">
      <w:pPr>
        <w:spacing w:after="0"/>
        <w:jc w:val="right"/>
        <w:rPr>
          <w:rFonts w:eastAsia="Times New Roman"/>
          <w:szCs w:val="17"/>
        </w:rPr>
      </w:pPr>
      <w:r w:rsidRPr="00CE581E">
        <w:rPr>
          <w:rFonts w:eastAsia="Times New Roman"/>
          <w:szCs w:val="17"/>
        </w:rPr>
        <w:t>Chief Executive Officer</w:t>
      </w:r>
    </w:p>
    <w:p w:rsidR="00F75D11" w:rsidRDefault="00F75D11" w:rsidP="00F75D11">
      <w:pPr>
        <w:pBdr>
          <w:bottom w:val="single" w:sz="4" w:space="1" w:color="auto"/>
        </w:pBdr>
        <w:spacing w:after="0" w:line="52" w:lineRule="exact"/>
        <w:jc w:val="center"/>
        <w:rPr>
          <w:lang w:val="en-US"/>
        </w:rPr>
      </w:pPr>
    </w:p>
    <w:p w:rsidR="00F75D11" w:rsidRDefault="00F75D11" w:rsidP="00F75D11">
      <w:pPr>
        <w:pBdr>
          <w:top w:val="single" w:sz="4" w:space="1" w:color="auto"/>
        </w:pBdr>
        <w:spacing w:before="34" w:after="0" w:line="14" w:lineRule="exact"/>
        <w:jc w:val="center"/>
        <w:rPr>
          <w:lang w:val="en-US"/>
        </w:rPr>
      </w:pPr>
    </w:p>
    <w:p w:rsidR="00F75D11" w:rsidRDefault="00F75D11" w:rsidP="00BB089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BB0891" w:rsidRPr="00BB0891" w:rsidRDefault="00BB0891" w:rsidP="007F1F15">
      <w:pPr>
        <w:pStyle w:val="Heading2"/>
      </w:pPr>
      <w:bookmarkStart w:id="156" w:name="_Toc59098967"/>
      <w:r w:rsidRPr="00BB0891">
        <w:t>City of West Torrens</w:t>
      </w:r>
      <w:bookmarkEnd w:id="156"/>
    </w:p>
    <w:p w:rsidR="00BB0891" w:rsidRPr="00BB0891" w:rsidRDefault="00BB0891" w:rsidP="00BB0891">
      <w:pPr>
        <w:jc w:val="center"/>
        <w:rPr>
          <w:i/>
          <w:szCs w:val="17"/>
        </w:rPr>
      </w:pPr>
      <w:r w:rsidRPr="00BB0891">
        <w:rPr>
          <w:i/>
          <w:szCs w:val="17"/>
        </w:rPr>
        <w:t>Renaming of Public Reserve</w:t>
      </w:r>
    </w:p>
    <w:p w:rsidR="00BB0891" w:rsidRPr="00BB0891" w:rsidRDefault="00BB0891" w:rsidP="00BB0891">
      <w:pPr>
        <w:rPr>
          <w:rFonts w:eastAsia="Times New Roman"/>
          <w:szCs w:val="17"/>
        </w:rPr>
      </w:pPr>
      <w:r w:rsidRPr="00BB0891">
        <w:rPr>
          <w:rFonts w:eastAsia="Times New Roman"/>
          <w:szCs w:val="17"/>
        </w:rPr>
        <w:t xml:space="preserve">NOTICE is hereby given that at its meeting held on 8 December 2020, the West Torrens Council approved the renaming of the “Baroda Avenue Reserve”, Netley, to “Wally Shiers Reserve”, effective from 17 December 2020, pursuant to Section 219 (1) of the </w:t>
      </w:r>
      <w:r w:rsidRPr="00BB0891">
        <w:rPr>
          <w:rFonts w:eastAsia="Times New Roman"/>
          <w:i/>
          <w:szCs w:val="17"/>
        </w:rPr>
        <w:t>Local Government Act 1999</w:t>
      </w:r>
      <w:r w:rsidRPr="00BB0891">
        <w:rPr>
          <w:rFonts w:eastAsia="Times New Roman"/>
          <w:szCs w:val="17"/>
        </w:rPr>
        <w:t>.</w:t>
      </w:r>
    </w:p>
    <w:p w:rsidR="00BB0891" w:rsidRPr="00BB0891" w:rsidRDefault="00BB0891" w:rsidP="00BB0891">
      <w:pPr>
        <w:spacing w:after="0"/>
        <w:rPr>
          <w:rFonts w:eastAsia="Times New Roman"/>
          <w:szCs w:val="17"/>
        </w:rPr>
      </w:pPr>
      <w:r w:rsidRPr="00BB0891">
        <w:rPr>
          <w:rFonts w:eastAsia="Times New Roman"/>
          <w:szCs w:val="17"/>
        </w:rPr>
        <w:t>Dated: 17 December 2020</w:t>
      </w:r>
    </w:p>
    <w:p w:rsidR="00BB0891" w:rsidRPr="00BB0891" w:rsidRDefault="00BB0891" w:rsidP="00BB0891">
      <w:pPr>
        <w:spacing w:after="0"/>
        <w:jc w:val="right"/>
        <w:rPr>
          <w:rFonts w:eastAsia="Times New Roman"/>
          <w:smallCaps/>
          <w:szCs w:val="17"/>
        </w:rPr>
      </w:pPr>
      <w:r w:rsidRPr="00BB0891">
        <w:rPr>
          <w:rFonts w:eastAsia="Times New Roman"/>
          <w:smallCaps/>
          <w:szCs w:val="17"/>
        </w:rPr>
        <w:t>Angelo Catinari</w:t>
      </w:r>
    </w:p>
    <w:p w:rsidR="00F75D11" w:rsidRDefault="00BB0891" w:rsidP="00BB0891">
      <w:pPr>
        <w:spacing w:after="0"/>
        <w:jc w:val="right"/>
        <w:rPr>
          <w:rFonts w:eastAsia="Times New Roman"/>
          <w:szCs w:val="17"/>
        </w:rPr>
      </w:pPr>
      <w:r w:rsidRPr="00BB0891">
        <w:rPr>
          <w:rFonts w:eastAsia="Times New Roman"/>
          <w:szCs w:val="17"/>
        </w:rPr>
        <w:t>Chief Executive Officer (Acting)</w:t>
      </w:r>
    </w:p>
    <w:p w:rsidR="00BB0891" w:rsidRDefault="00BB0891" w:rsidP="00BB0891">
      <w:pPr>
        <w:pBdr>
          <w:bottom w:val="single" w:sz="4" w:space="1" w:color="auto"/>
        </w:pBdr>
        <w:spacing w:after="0" w:line="52" w:lineRule="exact"/>
        <w:jc w:val="center"/>
        <w:rPr>
          <w:lang w:val="en-US"/>
        </w:rPr>
      </w:pPr>
    </w:p>
    <w:p w:rsidR="00BB0891" w:rsidRDefault="00BB0891" w:rsidP="00BB0891">
      <w:pPr>
        <w:pBdr>
          <w:top w:val="single" w:sz="4" w:space="1" w:color="auto"/>
        </w:pBdr>
        <w:spacing w:before="34" w:after="0" w:line="14" w:lineRule="exact"/>
        <w:jc w:val="center"/>
        <w:rPr>
          <w:lang w:val="en-US"/>
        </w:rPr>
      </w:pPr>
    </w:p>
    <w:p w:rsidR="00BB0891" w:rsidRDefault="00BB0891" w:rsidP="00BB089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DD4EE4" w:rsidRPr="00DD4EE4" w:rsidRDefault="00DD4EE4" w:rsidP="007F1F15">
      <w:pPr>
        <w:pStyle w:val="Heading2"/>
      </w:pPr>
      <w:bookmarkStart w:id="157" w:name="_Toc59098968"/>
      <w:r w:rsidRPr="00DD4EE4">
        <w:t>District Council of Franklin Harbour</w:t>
      </w:r>
      <w:bookmarkEnd w:id="157"/>
    </w:p>
    <w:p w:rsidR="00DD4EE4" w:rsidRPr="00DD4EE4" w:rsidRDefault="00DD4EE4" w:rsidP="00DD4EE4">
      <w:pPr>
        <w:jc w:val="center"/>
        <w:rPr>
          <w:i/>
          <w:szCs w:val="17"/>
        </w:rPr>
      </w:pPr>
      <w:r w:rsidRPr="00DD4EE4">
        <w:rPr>
          <w:i/>
          <w:szCs w:val="17"/>
        </w:rPr>
        <w:t>Change of Meeting Date</w:t>
      </w:r>
    </w:p>
    <w:p w:rsidR="00DD4EE4" w:rsidRPr="00DD4EE4" w:rsidRDefault="00DD4EE4" w:rsidP="00DD4EE4">
      <w:pPr>
        <w:rPr>
          <w:rFonts w:ascii="CG Times (W1)" w:eastAsia="Times New Roman" w:hAnsi="CG Times (W1)"/>
          <w:szCs w:val="17"/>
        </w:rPr>
      </w:pPr>
      <w:r w:rsidRPr="00DD4EE4">
        <w:rPr>
          <w:rFonts w:ascii="CG Times (W1)" w:eastAsia="Times New Roman" w:hAnsi="CG Times (W1)"/>
          <w:szCs w:val="17"/>
        </w:rPr>
        <w:t>NOTICE is hereby given that the District Council of Franklin Harbour resolved at its meeting held on 9 December 2020 to change the scheduled January 2021 Council Meeting from Wednesday, 13 January 2021 commencing at 1.00 pm to Wednesday, 20 January 2021 commencing at 1.00 pm.</w:t>
      </w:r>
    </w:p>
    <w:p w:rsidR="00DD4EE4" w:rsidRPr="00DD4EE4" w:rsidRDefault="00DD4EE4" w:rsidP="00DD4EE4">
      <w:pPr>
        <w:spacing w:after="0"/>
        <w:rPr>
          <w:rFonts w:eastAsia="Times New Roman"/>
          <w:szCs w:val="17"/>
        </w:rPr>
      </w:pPr>
      <w:r w:rsidRPr="00DD4EE4">
        <w:rPr>
          <w:rFonts w:eastAsia="Times New Roman"/>
          <w:szCs w:val="17"/>
        </w:rPr>
        <w:t>Dated: 11 December 2020</w:t>
      </w:r>
    </w:p>
    <w:p w:rsidR="00DD4EE4" w:rsidRPr="00DD4EE4" w:rsidRDefault="00DD4EE4" w:rsidP="00DD4EE4">
      <w:pPr>
        <w:spacing w:after="0"/>
        <w:jc w:val="right"/>
        <w:rPr>
          <w:rFonts w:eastAsia="Times New Roman"/>
          <w:smallCaps/>
          <w:szCs w:val="20"/>
        </w:rPr>
      </w:pPr>
      <w:r w:rsidRPr="00DD4EE4">
        <w:rPr>
          <w:rFonts w:eastAsia="Times New Roman"/>
          <w:smallCaps/>
          <w:szCs w:val="20"/>
        </w:rPr>
        <w:t>Shane Gill</w:t>
      </w:r>
    </w:p>
    <w:p w:rsidR="00BB0891" w:rsidRDefault="00DD4EE4" w:rsidP="00DD4EE4">
      <w:pPr>
        <w:spacing w:after="0"/>
        <w:jc w:val="right"/>
        <w:rPr>
          <w:rFonts w:eastAsia="Times New Roman"/>
          <w:szCs w:val="17"/>
        </w:rPr>
      </w:pPr>
      <w:r w:rsidRPr="00DD4EE4">
        <w:rPr>
          <w:rFonts w:eastAsia="Times New Roman"/>
          <w:szCs w:val="17"/>
        </w:rPr>
        <w:t>Chief Executive Officer</w:t>
      </w:r>
    </w:p>
    <w:p w:rsidR="00DD4EE4" w:rsidRDefault="00DD4EE4" w:rsidP="00DD4EE4">
      <w:pPr>
        <w:pBdr>
          <w:bottom w:val="single" w:sz="4" w:space="1" w:color="auto"/>
        </w:pBdr>
        <w:spacing w:after="0" w:line="52" w:lineRule="exact"/>
        <w:jc w:val="center"/>
        <w:rPr>
          <w:lang w:val="en-US"/>
        </w:rPr>
      </w:pPr>
    </w:p>
    <w:p w:rsidR="00DD4EE4" w:rsidRDefault="00DD4EE4" w:rsidP="00DD4EE4">
      <w:pPr>
        <w:pBdr>
          <w:top w:val="single" w:sz="4" w:space="1" w:color="auto"/>
        </w:pBdr>
        <w:spacing w:before="34" w:after="0" w:line="14" w:lineRule="exact"/>
        <w:jc w:val="center"/>
        <w:rPr>
          <w:lang w:val="en-US"/>
        </w:rPr>
      </w:pPr>
    </w:p>
    <w:p w:rsidR="00DD4EE4" w:rsidRDefault="00DD4EE4" w:rsidP="00DD4EE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D90D1F" w:rsidRPr="00D90D1F" w:rsidRDefault="00D90D1F" w:rsidP="007F1F15">
      <w:pPr>
        <w:pStyle w:val="Heading2"/>
      </w:pPr>
      <w:bookmarkStart w:id="158" w:name="_Toc59098969"/>
      <w:r w:rsidRPr="00D90D1F">
        <w:t>Kangaroo Island Council</w:t>
      </w:r>
      <w:bookmarkEnd w:id="158"/>
    </w:p>
    <w:p w:rsidR="00D90D1F" w:rsidRPr="00D90D1F" w:rsidRDefault="00D90D1F" w:rsidP="00D90D1F">
      <w:pPr>
        <w:jc w:val="center"/>
        <w:rPr>
          <w:smallCaps/>
          <w:szCs w:val="17"/>
        </w:rPr>
      </w:pPr>
      <w:r w:rsidRPr="00D90D1F">
        <w:rPr>
          <w:smallCaps/>
          <w:szCs w:val="17"/>
        </w:rPr>
        <w:t>Local Government Act 1999</w:t>
      </w:r>
    </w:p>
    <w:p w:rsidR="00D90D1F" w:rsidRPr="00D90D1F" w:rsidRDefault="00D90D1F" w:rsidP="00D90D1F">
      <w:pPr>
        <w:jc w:val="center"/>
        <w:rPr>
          <w:i/>
          <w:szCs w:val="17"/>
        </w:rPr>
      </w:pPr>
      <w:r w:rsidRPr="00D90D1F">
        <w:rPr>
          <w:i/>
          <w:szCs w:val="17"/>
        </w:rPr>
        <w:t>Resignation</w:t>
      </w:r>
    </w:p>
    <w:p w:rsidR="00D90D1F" w:rsidRPr="00D90D1F" w:rsidRDefault="00D90D1F" w:rsidP="00D90D1F">
      <w:pPr>
        <w:rPr>
          <w:rFonts w:eastAsia="Times New Roman"/>
          <w:spacing w:val="-2"/>
          <w:szCs w:val="17"/>
        </w:rPr>
      </w:pPr>
      <w:r w:rsidRPr="00D90D1F">
        <w:rPr>
          <w:rFonts w:eastAsia="Times New Roman"/>
          <w:spacing w:val="-2"/>
          <w:szCs w:val="17"/>
        </w:rPr>
        <w:t xml:space="preserve">NOTICE is hereby given in accordance with Section 54 (6) of the </w:t>
      </w:r>
      <w:r w:rsidRPr="00D90D1F">
        <w:rPr>
          <w:rFonts w:eastAsia="Times New Roman"/>
          <w:i/>
          <w:spacing w:val="-2"/>
          <w:szCs w:val="17"/>
        </w:rPr>
        <w:t>Local Government Act 1999</w:t>
      </w:r>
      <w:r w:rsidRPr="00D90D1F">
        <w:rPr>
          <w:rFonts w:eastAsia="Times New Roman"/>
          <w:spacing w:val="-2"/>
          <w:szCs w:val="17"/>
        </w:rPr>
        <w:t xml:space="preserve"> that Graham Walkom has resigned as Councillor effective 9 December 2020.</w:t>
      </w:r>
    </w:p>
    <w:p w:rsidR="00D90D1F" w:rsidRPr="00D90D1F" w:rsidRDefault="00D90D1F" w:rsidP="00D90D1F">
      <w:pPr>
        <w:spacing w:after="0"/>
        <w:rPr>
          <w:rFonts w:eastAsia="Times New Roman"/>
          <w:szCs w:val="17"/>
        </w:rPr>
      </w:pPr>
      <w:r w:rsidRPr="00D90D1F">
        <w:rPr>
          <w:rFonts w:eastAsia="Times New Roman"/>
          <w:szCs w:val="17"/>
        </w:rPr>
        <w:t>Dated: 9 December 2020</w:t>
      </w:r>
    </w:p>
    <w:p w:rsidR="00D90D1F" w:rsidRPr="00D90D1F" w:rsidRDefault="00D90D1F" w:rsidP="00D90D1F">
      <w:pPr>
        <w:spacing w:after="0"/>
        <w:jc w:val="right"/>
        <w:rPr>
          <w:rFonts w:eastAsia="Times New Roman"/>
          <w:smallCaps/>
          <w:szCs w:val="17"/>
        </w:rPr>
      </w:pPr>
      <w:r w:rsidRPr="00D90D1F">
        <w:rPr>
          <w:rFonts w:eastAsia="Times New Roman"/>
          <w:smallCaps/>
          <w:szCs w:val="17"/>
        </w:rPr>
        <w:t>G. Georgopoulos</w:t>
      </w:r>
    </w:p>
    <w:p w:rsidR="00DD4EE4" w:rsidRDefault="00D90D1F" w:rsidP="00D90D1F">
      <w:pPr>
        <w:spacing w:after="0"/>
        <w:jc w:val="right"/>
        <w:rPr>
          <w:rFonts w:eastAsia="Times New Roman"/>
          <w:szCs w:val="17"/>
        </w:rPr>
      </w:pPr>
      <w:r w:rsidRPr="00D90D1F">
        <w:rPr>
          <w:rFonts w:eastAsia="Times New Roman"/>
          <w:szCs w:val="17"/>
        </w:rPr>
        <w:t>Chief Executive Officer</w:t>
      </w:r>
    </w:p>
    <w:p w:rsidR="00D90D1F" w:rsidRDefault="00D90D1F" w:rsidP="00D90D1F">
      <w:pPr>
        <w:pBdr>
          <w:bottom w:val="single" w:sz="4" w:space="1" w:color="auto"/>
        </w:pBdr>
        <w:spacing w:after="0" w:line="52" w:lineRule="exact"/>
        <w:jc w:val="center"/>
        <w:rPr>
          <w:lang w:val="en-US"/>
        </w:rPr>
      </w:pPr>
    </w:p>
    <w:p w:rsidR="00D90D1F" w:rsidRDefault="00D90D1F" w:rsidP="00D90D1F">
      <w:pPr>
        <w:pBdr>
          <w:top w:val="single" w:sz="4" w:space="1" w:color="auto"/>
        </w:pBdr>
        <w:spacing w:before="34" w:after="0" w:line="14" w:lineRule="exact"/>
        <w:jc w:val="center"/>
        <w:rPr>
          <w:lang w:val="en-US"/>
        </w:rPr>
      </w:pPr>
    </w:p>
    <w:p w:rsidR="00D90D1F" w:rsidRDefault="00D90D1F" w:rsidP="00D90D1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533412" w:rsidRDefault="00533412">
      <w:pPr>
        <w:spacing w:after="0" w:line="240" w:lineRule="auto"/>
        <w:jc w:val="left"/>
        <w:rPr>
          <w:caps/>
          <w:szCs w:val="17"/>
        </w:rPr>
      </w:pPr>
      <w:r>
        <w:rPr>
          <w:caps/>
          <w:szCs w:val="17"/>
        </w:rPr>
        <w:br w:type="page"/>
      </w:r>
    </w:p>
    <w:p w:rsidR="001D101E" w:rsidRPr="001D101E" w:rsidRDefault="001D101E" w:rsidP="007F1F15">
      <w:pPr>
        <w:pStyle w:val="Heading2"/>
      </w:pPr>
      <w:bookmarkStart w:id="159" w:name="_Toc59098970"/>
      <w:r w:rsidRPr="001D101E">
        <w:t>Port Pirie Regional Council</w:t>
      </w:r>
      <w:bookmarkEnd w:id="159"/>
    </w:p>
    <w:p w:rsidR="001D101E" w:rsidRPr="001D101E" w:rsidRDefault="001D101E" w:rsidP="001D101E">
      <w:pPr>
        <w:jc w:val="center"/>
        <w:rPr>
          <w:smallCaps/>
          <w:szCs w:val="17"/>
        </w:rPr>
      </w:pPr>
      <w:r w:rsidRPr="001D101E">
        <w:rPr>
          <w:smallCaps/>
          <w:szCs w:val="17"/>
        </w:rPr>
        <w:t>Roads (Opening and Closing) Act 1991</w:t>
      </w:r>
    </w:p>
    <w:p w:rsidR="001D101E" w:rsidRPr="001D101E" w:rsidRDefault="001D101E" w:rsidP="001D101E">
      <w:pPr>
        <w:jc w:val="center"/>
        <w:rPr>
          <w:i/>
          <w:szCs w:val="17"/>
        </w:rPr>
      </w:pPr>
      <w:r w:rsidRPr="001D101E">
        <w:rPr>
          <w:i/>
          <w:szCs w:val="17"/>
        </w:rPr>
        <w:t>Road Closure—Heath Street, Solomontown</w:t>
      </w:r>
    </w:p>
    <w:p w:rsidR="001D101E" w:rsidRPr="001D101E" w:rsidRDefault="001D101E" w:rsidP="001D101E">
      <w:pPr>
        <w:rPr>
          <w:rFonts w:eastAsia="Times New Roman"/>
          <w:spacing w:val="-2"/>
          <w:szCs w:val="17"/>
        </w:rPr>
      </w:pPr>
      <w:r w:rsidRPr="001D101E">
        <w:rPr>
          <w:rFonts w:eastAsia="Times New Roman"/>
          <w:spacing w:val="-2"/>
          <w:szCs w:val="17"/>
        </w:rPr>
        <w:t xml:space="preserve">Notice is hereby given, pursuant to section 10 of the </w:t>
      </w:r>
      <w:r w:rsidRPr="001D101E">
        <w:rPr>
          <w:rFonts w:eastAsia="Times New Roman"/>
          <w:i/>
          <w:spacing w:val="-2"/>
          <w:szCs w:val="17"/>
        </w:rPr>
        <w:t>Roads (Opening and Closing) Act 1991</w:t>
      </w:r>
      <w:r w:rsidRPr="001D101E">
        <w:rPr>
          <w:rFonts w:eastAsia="Times New Roman"/>
          <w:spacing w:val="-2"/>
          <w:szCs w:val="17"/>
        </w:rPr>
        <w:t>, that the Port Pirie Regional Council proposes to make a Road Process Order to close portion of Heath Street as delineated and lettered ‘A’, ‘B’ &amp; ‘C’ on the Preliminary Plan No. 20/0046.</w:t>
      </w:r>
    </w:p>
    <w:p w:rsidR="001D101E" w:rsidRPr="001D101E" w:rsidRDefault="001D101E" w:rsidP="001D101E">
      <w:pPr>
        <w:rPr>
          <w:rFonts w:eastAsia="Times New Roman"/>
          <w:szCs w:val="17"/>
        </w:rPr>
      </w:pPr>
      <w:r w:rsidRPr="001D101E">
        <w:rPr>
          <w:rFonts w:eastAsia="Times New Roman"/>
          <w:szCs w:val="17"/>
        </w:rPr>
        <w:t>Closed road ‘A’ is to merge with allotment 49 in D2446.</w:t>
      </w:r>
    </w:p>
    <w:p w:rsidR="001D101E" w:rsidRPr="001D101E" w:rsidRDefault="001D101E" w:rsidP="001D101E">
      <w:pPr>
        <w:rPr>
          <w:rFonts w:eastAsia="Times New Roman"/>
          <w:szCs w:val="17"/>
        </w:rPr>
      </w:pPr>
      <w:r w:rsidRPr="001D101E">
        <w:rPr>
          <w:rFonts w:eastAsia="Times New Roman"/>
          <w:szCs w:val="17"/>
        </w:rPr>
        <w:t>Closed road ‘B’ is to merge with allotment 106 in D42595.</w:t>
      </w:r>
    </w:p>
    <w:p w:rsidR="001D101E" w:rsidRPr="001D101E" w:rsidRDefault="001D101E" w:rsidP="001D101E">
      <w:pPr>
        <w:rPr>
          <w:rFonts w:eastAsia="Times New Roman"/>
          <w:szCs w:val="17"/>
        </w:rPr>
      </w:pPr>
      <w:r w:rsidRPr="001D101E">
        <w:rPr>
          <w:rFonts w:eastAsia="Times New Roman"/>
          <w:szCs w:val="17"/>
        </w:rPr>
        <w:t>Closed road ‘C’ is to merge with allotment 55 in D2446.</w:t>
      </w:r>
    </w:p>
    <w:p w:rsidR="001D101E" w:rsidRPr="001D101E" w:rsidRDefault="001D101E" w:rsidP="001D101E">
      <w:pPr>
        <w:rPr>
          <w:rFonts w:eastAsia="Times New Roman"/>
          <w:szCs w:val="17"/>
        </w:rPr>
      </w:pPr>
      <w:r w:rsidRPr="001D101E">
        <w:rPr>
          <w:rFonts w:eastAsia="Times New Roman"/>
          <w:szCs w:val="17"/>
        </w:rPr>
        <w:t xml:space="preserve">A copy of the plan and a statement of persons affected are available for public inspection at the Council Office, 115 Ellen Street, Port Pirie SA 5540 and the Adelaide Office of the Surveyor-General during normal office hours. The Preliminary Plan may also be viewed at </w:t>
      </w:r>
      <w:hyperlink r:id="rId155" w:history="1">
        <w:r w:rsidRPr="001D101E">
          <w:rPr>
            <w:color w:val="0000FF"/>
            <w:szCs w:val="17"/>
            <w:u w:val="single"/>
          </w:rPr>
          <w:t>www.sa.gov.au/roadsactproposals</w:t>
        </w:r>
      </w:hyperlink>
      <w:r w:rsidRPr="001D101E">
        <w:rPr>
          <w:rFonts w:eastAsia="Times New Roman"/>
          <w:szCs w:val="17"/>
        </w:rPr>
        <w:t>.</w:t>
      </w:r>
    </w:p>
    <w:p w:rsidR="001D101E" w:rsidRPr="001D101E" w:rsidRDefault="001D101E" w:rsidP="001D101E">
      <w:pPr>
        <w:rPr>
          <w:rFonts w:eastAsia="Times New Roman"/>
          <w:szCs w:val="17"/>
        </w:rPr>
      </w:pPr>
      <w:r w:rsidRPr="001D101E">
        <w:rPr>
          <w:rFonts w:eastAsia="Times New Roman"/>
          <w:szCs w:val="17"/>
        </w:rPr>
        <w:t>Any application for easement or objection must set out the full name, address and details of the submission and must be fully supported by reasons.</w:t>
      </w:r>
    </w:p>
    <w:p w:rsidR="001D101E" w:rsidRPr="001D101E" w:rsidRDefault="001D101E" w:rsidP="001D101E">
      <w:pPr>
        <w:rPr>
          <w:rFonts w:eastAsia="Times New Roman"/>
          <w:szCs w:val="17"/>
        </w:rPr>
      </w:pPr>
      <w:r w:rsidRPr="001D101E">
        <w:rPr>
          <w:rFonts w:eastAsia="Times New Roman"/>
          <w:szCs w:val="17"/>
        </w:rPr>
        <w:t>The application for easement or objection must be made in writing to the Council, PO Box 45, Port Pirie SA 5540 within 28 days of this notice and a copy must be forwarded to the Surveyor-General at GPO Box 1354 Adelaide 5001. Where a submission is made, the Council will give notification of a meeting at which the matter will be considered.</w:t>
      </w:r>
    </w:p>
    <w:p w:rsidR="001D101E" w:rsidRPr="001D101E" w:rsidRDefault="001D101E" w:rsidP="001D101E">
      <w:pPr>
        <w:spacing w:after="0"/>
        <w:rPr>
          <w:rFonts w:eastAsia="Times New Roman"/>
          <w:szCs w:val="17"/>
        </w:rPr>
      </w:pPr>
      <w:r w:rsidRPr="001D101E">
        <w:rPr>
          <w:rFonts w:eastAsia="Times New Roman"/>
          <w:szCs w:val="17"/>
        </w:rPr>
        <w:t>Dated: 7 December 2020</w:t>
      </w:r>
    </w:p>
    <w:p w:rsidR="001D101E" w:rsidRPr="001D101E" w:rsidRDefault="001D101E" w:rsidP="001D101E">
      <w:pPr>
        <w:spacing w:after="0"/>
        <w:jc w:val="right"/>
        <w:rPr>
          <w:rFonts w:eastAsia="Times New Roman"/>
          <w:smallCaps/>
          <w:szCs w:val="17"/>
        </w:rPr>
      </w:pPr>
      <w:r w:rsidRPr="001D101E">
        <w:rPr>
          <w:rFonts w:eastAsia="Times New Roman"/>
          <w:smallCaps/>
          <w:szCs w:val="17"/>
        </w:rPr>
        <w:t>Peter Ackland</w:t>
      </w:r>
    </w:p>
    <w:p w:rsidR="001D101E" w:rsidRPr="001D101E" w:rsidRDefault="001D101E" w:rsidP="001D101E">
      <w:pPr>
        <w:jc w:val="right"/>
        <w:rPr>
          <w:rFonts w:eastAsia="Times New Roman"/>
          <w:szCs w:val="17"/>
        </w:rPr>
      </w:pPr>
      <w:r w:rsidRPr="001D101E">
        <w:rPr>
          <w:rFonts w:eastAsia="Times New Roman"/>
          <w:szCs w:val="17"/>
        </w:rPr>
        <w:t>Chief Executive Officer</w:t>
      </w:r>
    </w:p>
    <w:p w:rsidR="001D101E" w:rsidRPr="001D101E" w:rsidRDefault="001D101E" w:rsidP="001D101E">
      <w:pPr>
        <w:spacing w:after="0"/>
        <w:jc w:val="right"/>
        <w:rPr>
          <w:rFonts w:eastAsia="Times New Roman"/>
          <w:smallCaps/>
          <w:szCs w:val="17"/>
        </w:rPr>
      </w:pPr>
      <w:r w:rsidRPr="001D101E">
        <w:rPr>
          <w:rFonts w:eastAsia="Times New Roman"/>
          <w:smallCaps/>
          <w:szCs w:val="17"/>
        </w:rPr>
        <w:t>Leon Stephens</w:t>
      </w:r>
    </w:p>
    <w:p w:rsidR="00D90D1F" w:rsidRDefault="001D101E" w:rsidP="001D101E">
      <w:pPr>
        <w:spacing w:after="0"/>
        <w:jc w:val="right"/>
        <w:rPr>
          <w:rFonts w:eastAsia="Times New Roman"/>
          <w:szCs w:val="17"/>
        </w:rPr>
      </w:pPr>
      <w:r w:rsidRPr="001D101E">
        <w:rPr>
          <w:rFonts w:eastAsia="Times New Roman"/>
          <w:szCs w:val="17"/>
        </w:rPr>
        <w:t>Mayor</w:t>
      </w:r>
    </w:p>
    <w:p w:rsidR="001D101E" w:rsidRDefault="001D101E" w:rsidP="001D101E">
      <w:pPr>
        <w:pBdr>
          <w:bottom w:val="single" w:sz="4" w:space="1" w:color="auto"/>
        </w:pBdr>
        <w:spacing w:after="0" w:line="52" w:lineRule="exact"/>
        <w:jc w:val="center"/>
        <w:rPr>
          <w:lang w:val="en-US"/>
        </w:rPr>
      </w:pPr>
    </w:p>
    <w:p w:rsidR="001D101E" w:rsidRDefault="001D101E" w:rsidP="001D101E">
      <w:pPr>
        <w:pBdr>
          <w:top w:val="single" w:sz="4" w:space="1" w:color="auto"/>
        </w:pBdr>
        <w:spacing w:before="34" w:after="0" w:line="14" w:lineRule="exact"/>
        <w:jc w:val="center"/>
        <w:rPr>
          <w:lang w:val="en-US"/>
        </w:rPr>
      </w:pPr>
    </w:p>
    <w:p w:rsidR="001D101E" w:rsidRDefault="001D101E" w:rsidP="001D101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B00E17" w:rsidRPr="00B00E17" w:rsidRDefault="00B00E17" w:rsidP="007F1F15">
      <w:pPr>
        <w:pStyle w:val="Heading2"/>
      </w:pPr>
      <w:bookmarkStart w:id="160" w:name="_Toc59098971"/>
      <w:r w:rsidRPr="00B00E17">
        <w:t>Yorke Peninsula Council</w:t>
      </w:r>
      <w:bookmarkEnd w:id="160"/>
    </w:p>
    <w:p w:rsidR="00B00E17" w:rsidRPr="00B00E17" w:rsidRDefault="00B00E17" w:rsidP="00B00E17">
      <w:pPr>
        <w:jc w:val="center"/>
        <w:rPr>
          <w:i/>
          <w:szCs w:val="17"/>
        </w:rPr>
      </w:pPr>
      <w:r w:rsidRPr="00B00E17">
        <w:rPr>
          <w:i/>
          <w:szCs w:val="17"/>
        </w:rPr>
        <w:t>Review of Elector Representation</w:t>
      </w:r>
    </w:p>
    <w:p w:rsidR="00B00E17" w:rsidRPr="00B00E17" w:rsidRDefault="00B00E17" w:rsidP="00B00E17">
      <w:pPr>
        <w:rPr>
          <w:rFonts w:eastAsia="Times New Roman"/>
          <w:szCs w:val="17"/>
        </w:rPr>
      </w:pPr>
      <w:r w:rsidRPr="00B00E17">
        <w:rPr>
          <w:rFonts w:eastAsia="Times New Roman"/>
          <w:szCs w:val="17"/>
        </w:rPr>
        <w:t>NOTICE is hereby given that the Yorke Peninsula Council (Council) is undertaking a review to determine whether a change of arrangements in respect to elector representation will result in the electors of the area being more adequately and fairly represented.</w:t>
      </w:r>
    </w:p>
    <w:p w:rsidR="00B00E17" w:rsidRPr="00B00E17" w:rsidRDefault="00B00E17" w:rsidP="00B00E17">
      <w:pPr>
        <w:rPr>
          <w:rFonts w:eastAsia="Times New Roman"/>
          <w:szCs w:val="17"/>
        </w:rPr>
      </w:pPr>
      <w:r w:rsidRPr="00B00E17">
        <w:rPr>
          <w:rFonts w:eastAsia="Times New Roman"/>
          <w:szCs w:val="17"/>
        </w:rPr>
        <w:t xml:space="preserve">Pursuant to the provisions of Section 12 (7) of the </w:t>
      </w:r>
      <w:r w:rsidRPr="00B00E17">
        <w:rPr>
          <w:rFonts w:eastAsia="Times New Roman"/>
          <w:i/>
          <w:szCs w:val="17"/>
        </w:rPr>
        <w:t>Local Government Act 1999</w:t>
      </w:r>
      <w:r w:rsidRPr="00B00E17">
        <w:rPr>
          <w:rFonts w:eastAsia="Times New Roman"/>
          <w:szCs w:val="17"/>
        </w:rPr>
        <w:t>, notice is hereby given that Council has prepared a Representation Options Paper that examines the advantages and disadvantages of the various options available in regards to the composition and structure of Council, and the division of the Council area into wards.</w:t>
      </w:r>
    </w:p>
    <w:p w:rsidR="00B00E17" w:rsidRPr="00B00E17" w:rsidRDefault="00B00E17" w:rsidP="00B00E17">
      <w:pPr>
        <w:rPr>
          <w:rFonts w:eastAsia="Times New Roman"/>
          <w:szCs w:val="17"/>
        </w:rPr>
      </w:pPr>
      <w:r w:rsidRPr="00B00E17">
        <w:rPr>
          <w:rFonts w:eastAsia="Times New Roman"/>
          <w:szCs w:val="17"/>
        </w:rPr>
        <w:t xml:space="preserve">Copies of the Representation Options Paper are available for inspection and/or purchase at any of the Council’s offices or via download from </w:t>
      </w:r>
      <w:hyperlink r:id="rId156" w:history="1">
        <w:r w:rsidRPr="00B00E17">
          <w:rPr>
            <w:rFonts w:eastAsia="Times New Roman"/>
            <w:color w:val="0000FF"/>
            <w:szCs w:val="17"/>
            <w:u w:val="single"/>
          </w:rPr>
          <w:t>www.yorke.sa.gov.au</w:t>
        </w:r>
      </w:hyperlink>
      <w:r w:rsidRPr="00B00E17">
        <w:rPr>
          <w:rFonts w:eastAsia="Times New Roman"/>
          <w:szCs w:val="17"/>
        </w:rPr>
        <w:t xml:space="preserve">. </w:t>
      </w:r>
    </w:p>
    <w:p w:rsidR="00B00E17" w:rsidRPr="00B00E17" w:rsidRDefault="00B00E17" w:rsidP="00B00E17">
      <w:pPr>
        <w:rPr>
          <w:rFonts w:eastAsia="Times New Roman"/>
          <w:szCs w:val="17"/>
        </w:rPr>
      </w:pPr>
      <w:r w:rsidRPr="00B00E17">
        <w:rPr>
          <w:rFonts w:eastAsia="Times New Roman"/>
          <w:szCs w:val="17"/>
        </w:rPr>
        <w:t xml:space="preserve">Interested persons are invited to make a written submission to the Chief Executive Officer, via email </w:t>
      </w:r>
      <w:hyperlink r:id="rId157" w:history="1">
        <w:r w:rsidRPr="00B00E17">
          <w:rPr>
            <w:rFonts w:eastAsia="Times New Roman"/>
            <w:color w:val="0000FF"/>
            <w:szCs w:val="17"/>
            <w:u w:val="single"/>
          </w:rPr>
          <w:t>admin@yorke.sa.gov.au</w:t>
        </w:r>
      </w:hyperlink>
      <w:r w:rsidRPr="00B00E17">
        <w:rPr>
          <w:rFonts w:eastAsia="Times New Roman"/>
          <w:szCs w:val="17"/>
        </w:rPr>
        <w:t xml:space="preserve"> or via mail to PO Box 57, Maitland 5573, for an extended consultation period by close of business on Friday, 12 February 2021.</w:t>
      </w:r>
    </w:p>
    <w:p w:rsidR="00B00E17" w:rsidRPr="00B00E17" w:rsidRDefault="00B00E17" w:rsidP="00B00E17">
      <w:pPr>
        <w:rPr>
          <w:rFonts w:eastAsia="Times New Roman"/>
          <w:szCs w:val="17"/>
        </w:rPr>
      </w:pPr>
      <w:r w:rsidRPr="00B00E17">
        <w:rPr>
          <w:rFonts w:eastAsia="Times New Roman"/>
          <w:szCs w:val="17"/>
        </w:rPr>
        <w:t xml:space="preserve">A feedback form is also available to download via Council’s website </w:t>
      </w:r>
      <w:hyperlink r:id="rId158" w:history="1">
        <w:r w:rsidRPr="00B00E17">
          <w:rPr>
            <w:rFonts w:eastAsia="Times New Roman"/>
            <w:color w:val="0000FF"/>
            <w:szCs w:val="17"/>
            <w:u w:val="single"/>
          </w:rPr>
          <w:t>www.yorke.sa.gov.au</w:t>
        </w:r>
      </w:hyperlink>
      <w:r w:rsidRPr="00B00E17">
        <w:rPr>
          <w:rFonts w:eastAsia="Times New Roman"/>
          <w:szCs w:val="17"/>
        </w:rPr>
        <w:t xml:space="preserve">. </w:t>
      </w:r>
    </w:p>
    <w:p w:rsidR="00B00E17" w:rsidRPr="00B00E17" w:rsidRDefault="00B00E17" w:rsidP="00B00E17">
      <w:pPr>
        <w:rPr>
          <w:rFonts w:eastAsia="Times New Roman"/>
          <w:szCs w:val="17"/>
        </w:rPr>
      </w:pPr>
      <w:r w:rsidRPr="00B00E17">
        <w:rPr>
          <w:rFonts w:eastAsia="Times New Roman"/>
          <w:szCs w:val="17"/>
        </w:rPr>
        <w:t xml:space="preserve">Further information regarding the representation review can be obtained by contacting Mary Herrmann Governance Officer on telephone (08) 8832 0000 or email </w:t>
      </w:r>
      <w:hyperlink r:id="rId159" w:history="1">
        <w:r w:rsidRPr="00B00E17">
          <w:rPr>
            <w:rFonts w:eastAsia="Times New Roman"/>
            <w:color w:val="0000FF"/>
            <w:szCs w:val="17"/>
            <w:u w:val="single"/>
          </w:rPr>
          <w:t>admin@yorke.sa.gov.au</w:t>
        </w:r>
      </w:hyperlink>
      <w:r w:rsidRPr="00B00E17">
        <w:rPr>
          <w:rFonts w:eastAsia="Times New Roman"/>
          <w:szCs w:val="17"/>
        </w:rPr>
        <w:t xml:space="preserve">. </w:t>
      </w:r>
    </w:p>
    <w:p w:rsidR="00B00E17" w:rsidRPr="00B00E17" w:rsidRDefault="00B00E17" w:rsidP="00B00E17">
      <w:pPr>
        <w:spacing w:after="0"/>
        <w:rPr>
          <w:rFonts w:eastAsia="Times New Roman"/>
          <w:szCs w:val="17"/>
        </w:rPr>
      </w:pPr>
      <w:r w:rsidRPr="00B00E17">
        <w:rPr>
          <w:rFonts w:eastAsia="Times New Roman"/>
          <w:szCs w:val="17"/>
        </w:rPr>
        <w:t>Dated: 17 December 2020</w:t>
      </w:r>
    </w:p>
    <w:p w:rsidR="00B00E17" w:rsidRPr="00B00E17" w:rsidRDefault="00B00E17" w:rsidP="00B00E17">
      <w:pPr>
        <w:spacing w:after="0"/>
        <w:jc w:val="right"/>
        <w:rPr>
          <w:rFonts w:eastAsia="Times New Roman"/>
          <w:smallCaps/>
          <w:szCs w:val="17"/>
        </w:rPr>
      </w:pPr>
      <w:r w:rsidRPr="00B00E17">
        <w:rPr>
          <w:rFonts w:eastAsia="Times New Roman"/>
          <w:smallCaps/>
          <w:szCs w:val="17"/>
        </w:rPr>
        <w:t>Andrew Cameron</w:t>
      </w:r>
    </w:p>
    <w:p w:rsidR="001D101E" w:rsidRDefault="00B00E17" w:rsidP="00B00E17">
      <w:pPr>
        <w:spacing w:after="0"/>
        <w:jc w:val="right"/>
        <w:rPr>
          <w:rFonts w:eastAsia="Times New Roman"/>
          <w:szCs w:val="17"/>
        </w:rPr>
      </w:pPr>
      <w:r w:rsidRPr="00B00E17">
        <w:rPr>
          <w:rFonts w:eastAsia="Times New Roman"/>
          <w:szCs w:val="17"/>
        </w:rPr>
        <w:t>Chief Executive Officer</w:t>
      </w:r>
    </w:p>
    <w:p w:rsidR="00B00E17" w:rsidRDefault="00B00E17" w:rsidP="00B00E17">
      <w:pPr>
        <w:pBdr>
          <w:bottom w:val="single" w:sz="4" w:space="1" w:color="auto"/>
        </w:pBdr>
        <w:spacing w:after="0" w:line="52" w:lineRule="exact"/>
        <w:jc w:val="center"/>
        <w:rPr>
          <w:lang w:val="en-US"/>
        </w:rPr>
      </w:pPr>
    </w:p>
    <w:p w:rsidR="00B00E17" w:rsidRDefault="00B00E17" w:rsidP="00B00E17">
      <w:pPr>
        <w:pBdr>
          <w:top w:val="single" w:sz="4" w:space="1" w:color="auto"/>
        </w:pBdr>
        <w:spacing w:before="34" w:after="0" w:line="14" w:lineRule="exact"/>
        <w:jc w:val="center"/>
        <w:rPr>
          <w:lang w:val="en-US"/>
        </w:rPr>
      </w:pPr>
    </w:p>
    <w:p w:rsidR="00B00E17" w:rsidRDefault="00B00E17" w:rsidP="00B00E1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rsidR="009D1E2E" w:rsidRPr="009D1E2E" w:rsidRDefault="009D1E2E" w:rsidP="005D722B">
      <w:pPr>
        <w:pStyle w:val="Heading1"/>
        <w:spacing w:before="0"/>
      </w:pPr>
      <w:r>
        <w:rPr>
          <w:lang w:val="en-US"/>
        </w:rPr>
        <w:br w:type="page"/>
      </w:r>
      <w:bookmarkStart w:id="161" w:name="_Toc33707984"/>
      <w:bookmarkStart w:id="162" w:name="_Toc33708155"/>
      <w:bookmarkStart w:id="163" w:name="_Toc59098972"/>
      <w:r>
        <w:t>Public Notices</w:t>
      </w:r>
      <w:bookmarkEnd w:id="161"/>
      <w:bookmarkEnd w:id="162"/>
      <w:bookmarkEnd w:id="163"/>
    </w:p>
    <w:p w:rsidR="00FD0AC7" w:rsidRPr="00FD0AC7" w:rsidRDefault="00FD0AC7" w:rsidP="007F1F15">
      <w:pPr>
        <w:pStyle w:val="Heading2"/>
      </w:pPr>
      <w:bookmarkStart w:id="164" w:name="_Toc59098973"/>
      <w:r w:rsidRPr="00FD0AC7">
        <w:t>Trustee Act 1936</w:t>
      </w:r>
      <w:bookmarkEnd w:id="164"/>
    </w:p>
    <w:p w:rsidR="00FD0AC7" w:rsidRPr="00FD0AC7" w:rsidRDefault="00FD0AC7" w:rsidP="00FD0AC7">
      <w:pPr>
        <w:jc w:val="center"/>
        <w:rPr>
          <w:smallCaps/>
          <w:szCs w:val="17"/>
        </w:rPr>
      </w:pPr>
      <w:r w:rsidRPr="00FD0AC7">
        <w:rPr>
          <w:smallCaps/>
          <w:szCs w:val="17"/>
        </w:rPr>
        <w:t>Public Trustee</w:t>
      </w:r>
    </w:p>
    <w:p w:rsidR="00FD0AC7" w:rsidRPr="00FD0AC7" w:rsidRDefault="00FD0AC7" w:rsidP="00FD0AC7">
      <w:pPr>
        <w:jc w:val="center"/>
        <w:rPr>
          <w:i/>
          <w:szCs w:val="17"/>
        </w:rPr>
      </w:pPr>
      <w:r w:rsidRPr="00FD0AC7">
        <w:rPr>
          <w:i/>
          <w:szCs w:val="17"/>
        </w:rPr>
        <w:t>Estates of Deceased Persons</w:t>
      </w:r>
    </w:p>
    <w:p w:rsidR="00FD0AC7" w:rsidRPr="00FD0AC7" w:rsidRDefault="00FD0AC7" w:rsidP="00FD0AC7">
      <w:pPr>
        <w:rPr>
          <w:rFonts w:eastAsia="Times New Roman"/>
          <w:szCs w:val="17"/>
        </w:rPr>
      </w:pPr>
      <w:r w:rsidRPr="00FD0AC7">
        <w:rPr>
          <w:rFonts w:eastAsia="Times New Roman"/>
          <w:szCs w:val="17"/>
        </w:rPr>
        <w:t>In the matter of the estates of the undermentioned deceased persons:</w:t>
      </w:r>
    </w:p>
    <w:p w:rsidR="00FD0AC7" w:rsidRPr="00FD0AC7" w:rsidRDefault="00FD0AC7" w:rsidP="00FD0AC7">
      <w:pPr>
        <w:spacing w:after="0"/>
        <w:ind w:left="142"/>
        <w:rPr>
          <w:rFonts w:eastAsia="Times New Roman"/>
          <w:szCs w:val="17"/>
        </w:rPr>
      </w:pPr>
      <w:r w:rsidRPr="00FD0AC7">
        <w:rPr>
          <w:rFonts w:eastAsia="Times New Roman"/>
          <w:szCs w:val="17"/>
        </w:rPr>
        <w:t>ANDRIJASEVIC Mary Annie late of 75 Salisbury Street Unley of no occupation who died 4 August 2020</w:t>
      </w:r>
    </w:p>
    <w:p w:rsidR="00FD0AC7" w:rsidRPr="00FD0AC7" w:rsidRDefault="00FD0AC7" w:rsidP="00FD0AC7">
      <w:pPr>
        <w:spacing w:after="0"/>
        <w:ind w:left="142"/>
        <w:rPr>
          <w:rFonts w:eastAsia="Times New Roman"/>
          <w:szCs w:val="17"/>
        </w:rPr>
      </w:pPr>
      <w:r w:rsidRPr="00FD0AC7">
        <w:rPr>
          <w:rFonts w:eastAsia="Times New Roman"/>
          <w:szCs w:val="17"/>
        </w:rPr>
        <w:t>ARNOLD Brian Allan late of 100 Seaford Road Seaford Retired Senior Clerk who died 22 May 2020</w:t>
      </w:r>
    </w:p>
    <w:p w:rsidR="00FD0AC7" w:rsidRPr="00FD0AC7" w:rsidRDefault="00FD0AC7" w:rsidP="00FD0AC7">
      <w:pPr>
        <w:spacing w:after="0"/>
        <w:ind w:left="142"/>
        <w:rPr>
          <w:rFonts w:eastAsia="Times New Roman"/>
          <w:szCs w:val="17"/>
        </w:rPr>
      </w:pPr>
      <w:r w:rsidRPr="00FD0AC7">
        <w:rPr>
          <w:rFonts w:eastAsia="Times New Roman"/>
          <w:szCs w:val="17"/>
        </w:rPr>
        <w:t>DAVEY Carolyn Annette late of 6 James Street Cheltenham of no occupation who died 20 April 2020</w:t>
      </w:r>
    </w:p>
    <w:p w:rsidR="00FD0AC7" w:rsidRPr="00FD0AC7" w:rsidRDefault="00FD0AC7" w:rsidP="00FD0AC7">
      <w:pPr>
        <w:spacing w:after="0"/>
        <w:ind w:left="142"/>
        <w:rPr>
          <w:rFonts w:eastAsia="Times New Roman"/>
          <w:szCs w:val="17"/>
        </w:rPr>
      </w:pPr>
      <w:r w:rsidRPr="00FD0AC7">
        <w:rPr>
          <w:rFonts w:eastAsia="Times New Roman"/>
          <w:szCs w:val="17"/>
        </w:rPr>
        <w:t>DOBSON Alan Michael late of 16 Portland Avenue Sturt of no occupation who died 19 June 2018</w:t>
      </w:r>
    </w:p>
    <w:p w:rsidR="00FD0AC7" w:rsidRPr="00FD0AC7" w:rsidRDefault="00FD0AC7" w:rsidP="00FD0AC7">
      <w:pPr>
        <w:spacing w:after="0"/>
        <w:ind w:left="142"/>
        <w:rPr>
          <w:rFonts w:eastAsia="Times New Roman"/>
          <w:szCs w:val="17"/>
        </w:rPr>
      </w:pPr>
      <w:r w:rsidRPr="00FD0AC7">
        <w:rPr>
          <w:rFonts w:eastAsia="Times New Roman"/>
          <w:szCs w:val="17"/>
        </w:rPr>
        <w:t>GREDLEY Jacqueline Elizabeth late of 13 Black Top Road Hillbank of no occupation who died 2 July 2020</w:t>
      </w:r>
    </w:p>
    <w:p w:rsidR="00FD0AC7" w:rsidRPr="00FD0AC7" w:rsidRDefault="00FD0AC7" w:rsidP="00FD0AC7">
      <w:pPr>
        <w:spacing w:after="0"/>
        <w:ind w:left="142"/>
        <w:rPr>
          <w:rFonts w:eastAsia="Times New Roman"/>
          <w:szCs w:val="17"/>
        </w:rPr>
      </w:pPr>
      <w:r w:rsidRPr="00FD0AC7">
        <w:rPr>
          <w:rFonts w:eastAsia="Times New Roman"/>
          <w:szCs w:val="17"/>
        </w:rPr>
        <w:t>MATTHEWS Leslie George late of 147 St Bernards Road Rostrevor Retired Technical Officer who died 25 April 2020</w:t>
      </w:r>
    </w:p>
    <w:p w:rsidR="00FD0AC7" w:rsidRPr="00FD0AC7" w:rsidRDefault="00FD0AC7" w:rsidP="00FD0AC7">
      <w:pPr>
        <w:spacing w:after="0"/>
        <w:ind w:left="142"/>
        <w:rPr>
          <w:rFonts w:eastAsia="Times New Roman"/>
          <w:szCs w:val="17"/>
        </w:rPr>
      </w:pPr>
      <w:r w:rsidRPr="00FD0AC7">
        <w:rPr>
          <w:rFonts w:eastAsia="Times New Roman"/>
          <w:szCs w:val="17"/>
        </w:rPr>
        <w:t>PLATTEN Thomas Lewis late of 6 Canino Drive Kidman Park Retired Travel Consultant who died 1 April 2019</w:t>
      </w:r>
    </w:p>
    <w:p w:rsidR="00FD0AC7" w:rsidRPr="00FD0AC7" w:rsidRDefault="00FD0AC7" w:rsidP="00FD0AC7">
      <w:pPr>
        <w:spacing w:after="0"/>
        <w:ind w:left="142"/>
        <w:rPr>
          <w:rFonts w:eastAsia="Times New Roman"/>
          <w:szCs w:val="17"/>
        </w:rPr>
      </w:pPr>
      <w:r w:rsidRPr="00FD0AC7">
        <w:rPr>
          <w:rFonts w:eastAsia="Times New Roman"/>
          <w:szCs w:val="17"/>
        </w:rPr>
        <w:t>REID William Patrick late of 102 Waymouth Street Adelaide of no occupation who died 3 August 2020</w:t>
      </w:r>
    </w:p>
    <w:p w:rsidR="00FD0AC7" w:rsidRPr="00FD0AC7" w:rsidRDefault="00FD0AC7" w:rsidP="00FD0AC7">
      <w:pPr>
        <w:spacing w:after="0"/>
        <w:ind w:left="142"/>
        <w:rPr>
          <w:rFonts w:eastAsia="Times New Roman"/>
          <w:szCs w:val="17"/>
        </w:rPr>
      </w:pPr>
      <w:r w:rsidRPr="00FD0AC7">
        <w:rPr>
          <w:rFonts w:eastAsia="Times New Roman"/>
          <w:szCs w:val="17"/>
        </w:rPr>
        <w:t>SHAND Yvonne Claire late of 1-7 Cumnock Street Jamestown Retired Laboratory Technician who died 27 May 2020</w:t>
      </w:r>
    </w:p>
    <w:p w:rsidR="00FD0AC7" w:rsidRPr="00FD0AC7" w:rsidRDefault="00FD0AC7" w:rsidP="00FD0AC7">
      <w:pPr>
        <w:ind w:left="142"/>
        <w:rPr>
          <w:rFonts w:eastAsia="Times New Roman"/>
          <w:szCs w:val="17"/>
        </w:rPr>
      </w:pPr>
      <w:r w:rsidRPr="00FD0AC7">
        <w:rPr>
          <w:rFonts w:eastAsia="Times New Roman"/>
          <w:szCs w:val="17"/>
        </w:rPr>
        <w:t>SICILIANO Concetta late of 147 Frost Road Salisbury South of no occupation who died 3 February 2018</w:t>
      </w:r>
    </w:p>
    <w:p w:rsidR="00FD0AC7" w:rsidRPr="00FD0AC7" w:rsidRDefault="00FD0AC7" w:rsidP="00FD0AC7">
      <w:pPr>
        <w:rPr>
          <w:rFonts w:eastAsia="Times New Roman"/>
          <w:spacing w:val="-2"/>
          <w:szCs w:val="17"/>
        </w:rPr>
      </w:pPr>
      <w:r w:rsidRPr="00FD0AC7">
        <w:rPr>
          <w:rFonts w:eastAsia="Times New Roman"/>
          <w:spacing w:val="-2"/>
          <w:szCs w:val="17"/>
        </w:rPr>
        <w:t xml:space="preserve">Notice is hereby given pursuant to the </w:t>
      </w:r>
      <w:r w:rsidRPr="00FD0AC7">
        <w:rPr>
          <w:rFonts w:eastAsia="Times New Roman"/>
          <w:i/>
          <w:spacing w:val="-2"/>
          <w:szCs w:val="17"/>
        </w:rPr>
        <w:t>Trustee Act 1936</w:t>
      </w:r>
      <w:r w:rsidRPr="00FD0AC7">
        <w:rPr>
          <w:rFonts w:eastAsia="Times New Roman"/>
          <w:spacing w:val="-2"/>
          <w:szCs w:val="17"/>
        </w:rPr>
        <w:t xml:space="preserve">, the </w:t>
      </w:r>
      <w:r w:rsidRPr="00FD0AC7">
        <w:rPr>
          <w:rFonts w:eastAsia="Times New Roman"/>
          <w:i/>
          <w:spacing w:val="-2"/>
          <w:szCs w:val="17"/>
        </w:rPr>
        <w:t>Inheritance (Family Provision) Act 1972</w:t>
      </w:r>
      <w:r w:rsidRPr="00FD0AC7">
        <w:rPr>
          <w:rFonts w:eastAsia="Times New Roman"/>
          <w:spacing w:val="-2"/>
          <w:szCs w:val="17"/>
        </w:rPr>
        <w:t xml:space="preserve"> and the </w:t>
      </w:r>
      <w:r w:rsidRPr="00FD0AC7">
        <w:rPr>
          <w:rFonts w:eastAsia="Times New Roman"/>
          <w:i/>
          <w:spacing w:val="-2"/>
          <w:szCs w:val="17"/>
        </w:rPr>
        <w:t>Family Relationships Act 1975</w:t>
      </w:r>
      <w:r w:rsidRPr="00FD0AC7">
        <w:rPr>
          <w:rFonts w:eastAsia="Times New Roman"/>
          <w:spacing w:val="-2"/>
          <w:szCs w:val="17"/>
        </w:rPr>
        <w:t xml:space="preserve"> that all creditors, beneficiaries, and other persons having claims against the said estates are required to send, in writing, to the office of Public Trustee at GPO Box 1338, Adelaide, 5001, full particulars and proof of such claims, on or before the 15 January 2021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rsidR="00FD0AC7" w:rsidRPr="00FD0AC7" w:rsidRDefault="00FD0AC7" w:rsidP="00FD0AC7">
      <w:pPr>
        <w:spacing w:after="0"/>
        <w:rPr>
          <w:rFonts w:eastAsia="Times New Roman"/>
          <w:szCs w:val="17"/>
        </w:rPr>
      </w:pPr>
      <w:r w:rsidRPr="00FD0AC7">
        <w:rPr>
          <w:rFonts w:eastAsia="Times New Roman"/>
          <w:szCs w:val="17"/>
        </w:rPr>
        <w:t>Dated: 17 December 2020</w:t>
      </w:r>
    </w:p>
    <w:p w:rsidR="00FD0AC7" w:rsidRPr="00FD0AC7" w:rsidRDefault="00FD0AC7" w:rsidP="00FD0AC7">
      <w:pPr>
        <w:spacing w:after="0"/>
        <w:jc w:val="right"/>
        <w:rPr>
          <w:rFonts w:eastAsia="Times New Roman"/>
          <w:smallCaps/>
          <w:szCs w:val="20"/>
        </w:rPr>
      </w:pPr>
      <w:r w:rsidRPr="00FD0AC7">
        <w:rPr>
          <w:rFonts w:eastAsia="Times New Roman"/>
          <w:smallCaps/>
          <w:szCs w:val="20"/>
        </w:rPr>
        <w:t>N. S. Rantanen</w:t>
      </w:r>
    </w:p>
    <w:p w:rsidR="00FD0AC7" w:rsidRPr="00FD0AC7" w:rsidRDefault="00FD0AC7" w:rsidP="00FD0AC7">
      <w:pPr>
        <w:spacing w:after="0"/>
        <w:jc w:val="right"/>
        <w:rPr>
          <w:rFonts w:eastAsia="Times New Roman"/>
          <w:szCs w:val="17"/>
        </w:rPr>
      </w:pPr>
      <w:r w:rsidRPr="00FD0AC7">
        <w:rPr>
          <w:rFonts w:eastAsia="Times New Roman"/>
          <w:szCs w:val="17"/>
        </w:rPr>
        <w:t>Public Trustee</w:t>
      </w:r>
    </w:p>
    <w:p w:rsidR="00FD0AC7" w:rsidRPr="00FD0AC7" w:rsidRDefault="00FD0AC7" w:rsidP="00FD0AC7">
      <w:pPr>
        <w:pBdr>
          <w:bottom w:val="single" w:sz="4" w:space="1" w:color="auto"/>
        </w:pBdr>
        <w:spacing w:after="0" w:line="52" w:lineRule="exact"/>
        <w:jc w:val="center"/>
        <w:rPr>
          <w:rFonts w:eastAsia="Times New Roman"/>
          <w:szCs w:val="17"/>
        </w:rPr>
      </w:pPr>
    </w:p>
    <w:p w:rsidR="00FD0AC7" w:rsidRPr="00FD0AC7" w:rsidRDefault="00FD0AC7" w:rsidP="00FD0AC7">
      <w:pPr>
        <w:pBdr>
          <w:top w:val="single" w:sz="4" w:space="1" w:color="auto"/>
        </w:pBdr>
        <w:spacing w:before="34" w:after="0" w:line="14" w:lineRule="exact"/>
        <w:jc w:val="center"/>
        <w:rPr>
          <w:rFonts w:eastAsia="Times New Roman"/>
          <w:szCs w:val="17"/>
        </w:rPr>
      </w:pPr>
    </w:p>
    <w:p w:rsidR="00FD0AC7" w:rsidRPr="00FD0AC7" w:rsidRDefault="00FD0AC7" w:rsidP="00FD0A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FD0AC7" w:rsidRPr="00FD0AC7" w:rsidRDefault="00FD0AC7" w:rsidP="007F1F15">
      <w:pPr>
        <w:pStyle w:val="Heading2"/>
      </w:pPr>
      <w:bookmarkStart w:id="165" w:name="_Toc59098974"/>
      <w:r w:rsidRPr="00FD0AC7">
        <w:t>National Electricity Law</w:t>
      </w:r>
      <w:bookmarkEnd w:id="165"/>
    </w:p>
    <w:p w:rsidR="00FD0AC7" w:rsidRPr="00FD0AC7" w:rsidRDefault="00FD0AC7" w:rsidP="00FD0AC7">
      <w:pPr>
        <w:spacing w:after="0"/>
        <w:jc w:val="center"/>
        <w:rPr>
          <w:i/>
          <w:szCs w:val="17"/>
        </w:rPr>
      </w:pPr>
      <w:r w:rsidRPr="00FD0AC7">
        <w:rPr>
          <w:i/>
          <w:szCs w:val="17"/>
        </w:rPr>
        <w:t>Making of Final Rules</w:t>
      </w:r>
    </w:p>
    <w:p w:rsidR="00FD0AC7" w:rsidRPr="00FD0AC7" w:rsidRDefault="00FD0AC7" w:rsidP="00FD0AC7">
      <w:pPr>
        <w:jc w:val="center"/>
        <w:rPr>
          <w:i/>
          <w:szCs w:val="17"/>
        </w:rPr>
      </w:pPr>
      <w:r w:rsidRPr="00FD0AC7">
        <w:rPr>
          <w:i/>
          <w:szCs w:val="17"/>
        </w:rPr>
        <w:t>Initiation of Rule Change Requests</w:t>
      </w:r>
    </w:p>
    <w:p w:rsidR="00FD0AC7" w:rsidRPr="00FD0AC7" w:rsidRDefault="00FD0AC7" w:rsidP="00FD0AC7">
      <w:pPr>
        <w:rPr>
          <w:rFonts w:eastAsia="Times New Roman"/>
          <w:szCs w:val="17"/>
        </w:rPr>
      </w:pPr>
      <w:r w:rsidRPr="00FD0AC7">
        <w:rPr>
          <w:rFonts w:eastAsia="Times New Roman"/>
          <w:szCs w:val="17"/>
        </w:rPr>
        <w:t>The Australian Energy Market Commission (AEMC) gives notice under the National Electricity Law as follows:</w:t>
      </w:r>
    </w:p>
    <w:p w:rsidR="00FD0AC7" w:rsidRPr="00FD0AC7" w:rsidRDefault="00FD0AC7" w:rsidP="00FD0AC7">
      <w:pPr>
        <w:ind w:left="142"/>
        <w:rPr>
          <w:rFonts w:eastAsia="Times New Roman"/>
          <w:szCs w:val="17"/>
        </w:rPr>
      </w:pPr>
      <w:r w:rsidRPr="00FD0AC7">
        <w:rPr>
          <w:rFonts w:eastAsia="Times New Roman"/>
          <w:szCs w:val="17"/>
        </w:rPr>
        <w:t xml:space="preserve">Under ss 102 and 103, the making of the </w:t>
      </w:r>
      <w:r w:rsidRPr="00FD0AC7">
        <w:rPr>
          <w:rFonts w:eastAsia="Times New Roman"/>
          <w:i/>
          <w:szCs w:val="17"/>
        </w:rPr>
        <w:t>National Electricity Amendment (Compensation following directions for services other than energy and market ancillary services) Rule 2020 No. 18</w:t>
      </w:r>
      <w:r w:rsidRPr="00FD0AC7">
        <w:rPr>
          <w:rFonts w:eastAsia="Times New Roman"/>
          <w:szCs w:val="17"/>
        </w:rPr>
        <w:t xml:space="preserve"> (Ref. ERC0287) and related final determination. Schedule 1 is due to commence on </w:t>
      </w:r>
      <w:r w:rsidRPr="00FD0AC7">
        <w:rPr>
          <w:rFonts w:eastAsia="Times New Roman"/>
          <w:b/>
          <w:szCs w:val="17"/>
        </w:rPr>
        <w:t>21 March 2021</w:t>
      </w:r>
      <w:r w:rsidRPr="00FD0AC7">
        <w:rPr>
          <w:rFonts w:eastAsia="Times New Roman"/>
          <w:szCs w:val="17"/>
        </w:rPr>
        <w:t xml:space="preserve">. Schedule 2 is due to commence on </w:t>
      </w:r>
      <w:r w:rsidRPr="00FD0AC7">
        <w:rPr>
          <w:rFonts w:eastAsia="Times New Roman"/>
          <w:b/>
          <w:szCs w:val="17"/>
        </w:rPr>
        <w:t>17 December 2020</w:t>
      </w:r>
      <w:r w:rsidRPr="00FD0AC7">
        <w:rPr>
          <w:rFonts w:eastAsia="Times New Roman"/>
          <w:szCs w:val="17"/>
        </w:rPr>
        <w:t>.</w:t>
      </w:r>
    </w:p>
    <w:p w:rsidR="00FD0AC7" w:rsidRPr="00FD0AC7" w:rsidRDefault="00FD0AC7" w:rsidP="00FD0AC7">
      <w:pPr>
        <w:ind w:left="142"/>
        <w:rPr>
          <w:rFonts w:eastAsia="Times New Roman"/>
          <w:spacing w:val="-2"/>
          <w:szCs w:val="17"/>
        </w:rPr>
      </w:pPr>
      <w:r w:rsidRPr="00FD0AC7">
        <w:rPr>
          <w:rFonts w:eastAsia="Times New Roman"/>
          <w:spacing w:val="-2"/>
          <w:szCs w:val="17"/>
        </w:rPr>
        <w:t xml:space="preserve">Under ss 102 and 103, the making of the </w:t>
      </w:r>
      <w:r w:rsidRPr="00FD0AC7">
        <w:rPr>
          <w:rFonts w:eastAsia="Times New Roman"/>
          <w:i/>
          <w:spacing w:val="-2"/>
          <w:szCs w:val="17"/>
        </w:rPr>
        <w:t>National Electricity Amendment (Prudent discounts in an adoptive jurisdiction) Rule 2020 No. 19</w:t>
      </w:r>
      <w:r w:rsidRPr="00FD0AC7">
        <w:rPr>
          <w:rFonts w:eastAsia="Times New Roman"/>
          <w:spacing w:val="-2"/>
          <w:szCs w:val="17"/>
        </w:rPr>
        <w:t xml:space="preserve"> (Ref. ERC0317) and related final determination. All provisions commence on 1</w:t>
      </w:r>
      <w:r w:rsidRPr="00FD0AC7">
        <w:rPr>
          <w:rFonts w:eastAsia="Times New Roman"/>
          <w:b/>
          <w:spacing w:val="-2"/>
          <w:szCs w:val="17"/>
        </w:rPr>
        <w:t>7 December 2020</w:t>
      </w:r>
      <w:r w:rsidRPr="00FD0AC7">
        <w:rPr>
          <w:rFonts w:eastAsia="Times New Roman"/>
          <w:spacing w:val="-2"/>
          <w:szCs w:val="17"/>
        </w:rPr>
        <w:t>.</w:t>
      </w:r>
    </w:p>
    <w:p w:rsidR="00FD0AC7" w:rsidRPr="00FD0AC7" w:rsidRDefault="00FD0AC7" w:rsidP="00FD0AC7">
      <w:pPr>
        <w:ind w:left="142"/>
        <w:rPr>
          <w:rFonts w:eastAsia="Times New Roman"/>
          <w:szCs w:val="17"/>
        </w:rPr>
      </w:pPr>
      <w:r w:rsidRPr="00FD0AC7">
        <w:rPr>
          <w:rFonts w:eastAsia="Times New Roman"/>
          <w:szCs w:val="17"/>
        </w:rPr>
        <w:t xml:space="preserve">Under ss 102 and 103, the making of the </w:t>
      </w:r>
      <w:r w:rsidRPr="00FD0AC7">
        <w:rPr>
          <w:rFonts w:eastAsia="Times New Roman"/>
          <w:i/>
          <w:szCs w:val="17"/>
        </w:rPr>
        <w:t>National Electricity Amendment (Minor changes 4) Rule 2020 No. 20</w:t>
      </w:r>
      <w:r w:rsidRPr="00FD0AC7">
        <w:rPr>
          <w:rFonts w:eastAsia="Times New Roman"/>
          <w:szCs w:val="17"/>
        </w:rPr>
        <w:t xml:space="preserve"> (Ref. ERC0321) and related final determination. All provisions commence on </w:t>
      </w:r>
      <w:r w:rsidRPr="00FD0AC7">
        <w:rPr>
          <w:rFonts w:eastAsia="Times New Roman"/>
          <w:b/>
          <w:szCs w:val="17"/>
        </w:rPr>
        <w:t>17 December 2020</w:t>
      </w:r>
      <w:r w:rsidRPr="00FD0AC7">
        <w:rPr>
          <w:rFonts w:eastAsia="Times New Roman"/>
          <w:szCs w:val="17"/>
        </w:rPr>
        <w:t>.</w:t>
      </w:r>
    </w:p>
    <w:p w:rsidR="00FD0AC7" w:rsidRPr="00FD0AC7" w:rsidRDefault="00FD0AC7" w:rsidP="00FD0AC7">
      <w:pPr>
        <w:ind w:left="142"/>
        <w:rPr>
          <w:rFonts w:eastAsia="Times New Roman"/>
          <w:szCs w:val="17"/>
        </w:rPr>
      </w:pPr>
      <w:r w:rsidRPr="00FD0AC7">
        <w:rPr>
          <w:rFonts w:eastAsia="Times New Roman"/>
          <w:szCs w:val="17"/>
        </w:rPr>
        <w:t xml:space="preserve">Under s 95, the COAG Energy Council has requested the </w:t>
      </w:r>
      <w:r w:rsidRPr="00FD0AC7">
        <w:rPr>
          <w:rFonts w:eastAsia="Times New Roman"/>
          <w:i/>
          <w:szCs w:val="17"/>
        </w:rPr>
        <w:t>Enhancing operational resilience in relation to indistinct events</w:t>
      </w:r>
      <w:r w:rsidRPr="00FD0AC7">
        <w:rPr>
          <w:rFonts w:eastAsia="Times New Roman"/>
          <w:szCs w:val="17"/>
        </w:rPr>
        <w:t xml:space="preserve"> (Ref. ERC0304) proposal. The proposal seeks to implement a framework to manage indistinct events. Submissions must be received by </w:t>
      </w:r>
      <w:r w:rsidRPr="00FD0AC7">
        <w:rPr>
          <w:rFonts w:eastAsia="Times New Roman"/>
          <w:b/>
          <w:szCs w:val="17"/>
        </w:rPr>
        <w:t>11 February 2021</w:t>
      </w:r>
      <w:r w:rsidRPr="00FD0AC7">
        <w:rPr>
          <w:rFonts w:eastAsia="Times New Roman"/>
          <w:szCs w:val="17"/>
        </w:rPr>
        <w:t>.</w:t>
      </w:r>
    </w:p>
    <w:p w:rsidR="00FD0AC7" w:rsidRPr="00FD0AC7" w:rsidRDefault="00FD0AC7" w:rsidP="00FD0AC7">
      <w:pPr>
        <w:ind w:left="142"/>
        <w:rPr>
          <w:rFonts w:eastAsia="Times New Roman"/>
          <w:szCs w:val="17"/>
        </w:rPr>
      </w:pPr>
      <w:r w:rsidRPr="00FD0AC7">
        <w:rPr>
          <w:rFonts w:eastAsia="Times New Roman"/>
          <w:szCs w:val="17"/>
        </w:rPr>
        <w:t xml:space="preserve">Under s 95, the COAG Energy Council has requested the </w:t>
      </w:r>
      <w:r w:rsidRPr="00FD0AC7">
        <w:rPr>
          <w:rFonts w:eastAsia="Times New Roman"/>
          <w:i/>
          <w:szCs w:val="17"/>
        </w:rPr>
        <w:t>Prioritising arrangements for system security during market suspension</w:t>
      </w:r>
      <w:r w:rsidRPr="00FD0AC7">
        <w:rPr>
          <w:rFonts w:eastAsia="Times New Roman"/>
          <w:szCs w:val="17"/>
        </w:rPr>
        <w:t xml:space="preserve"> (Ref. ERC0305) proposal. The proposal seeks to clarify arrangements for system security during market suspension. Submissions must be received by </w:t>
      </w:r>
      <w:r w:rsidRPr="00FD0AC7">
        <w:rPr>
          <w:rFonts w:eastAsia="Times New Roman"/>
          <w:b/>
          <w:szCs w:val="17"/>
        </w:rPr>
        <w:t>4 February 2021</w:t>
      </w:r>
      <w:r w:rsidRPr="00FD0AC7">
        <w:rPr>
          <w:rFonts w:eastAsia="Times New Roman"/>
          <w:szCs w:val="17"/>
        </w:rPr>
        <w:t>.</w:t>
      </w:r>
    </w:p>
    <w:p w:rsidR="00FD0AC7" w:rsidRPr="00FD0AC7" w:rsidRDefault="00FD0AC7" w:rsidP="00FD0AC7">
      <w:pPr>
        <w:rPr>
          <w:rFonts w:eastAsia="Times New Roman"/>
          <w:spacing w:val="-2"/>
          <w:szCs w:val="17"/>
        </w:rPr>
      </w:pPr>
      <w:r w:rsidRPr="00FD0AC7">
        <w:rPr>
          <w:rFonts w:eastAsia="Times New Roman"/>
          <w:spacing w:val="-2"/>
          <w:szCs w:val="17"/>
        </w:rPr>
        <w:t xml:space="preserve">Submissions can be made via the AEMC’s website. Before making a submission, please review the AEMC’s privacy statement on its website. Submissions should be made in accordance with the </w:t>
      </w:r>
      <w:r w:rsidRPr="00FD0AC7">
        <w:rPr>
          <w:rFonts w:eastAsia="Times New Roman"/>
          <w:i/>
          <w:spacing w:val="-2"/>
          <w:szCs w:val="17"/>
        </w:rPr>
        <w:t>AEMC’s Guidelines for making written submissions on Rule change proposals</w:t>
      </w:r>
      <w:r w:rsidRPr="00FD0AC7">
        <w:rPr>
          <w:rFonts w:eastAsia="Times New Roman"/>
          <w:spacing w:val="-2"/>
          <w:szCs w:val="17"/>
        </w:rPr>
        <w:t>. The AEMC publishes all submissions on its website, subject to certain exceptions.</w:t>
      </w:r>
    </w:p>
    <w:p w:rsidR="00FD0AC7" w:rsidRPr="00FD0AC7" w:rsidRDefault="00FD0AC7" w:rsidP="00FD0AC7">
      <w:pPr>
        <w:rPr>
          <w:rFonts w:eastAsia="Times New Roman"/>
          <w:szCs w:val="17"/>
        </w:rPr>
      </w:pPr>
      <w:r w:rsidRPr="00FD0AC7">
        <w:rPr>
          <w:rFonts w:eastAsia="Times New Roman"/>
          <w:szCs w:val="17"/>
        </w:rPr>
        <w:t>Documents referred to above are available on the AEMC’s website and are available for inspection at the AEMC’s office.</w:t>
      </w:r>
    </w:p>
    <w:p w:rsidR="00FD0AC7" w:rsidRPr="00FD0AC7" w:rsidRDefault="00FD0AC7" w:rsidP="00FD0AC7">
      <w:pPr>
        <w:ind w:left="142"/>
        <w:rPr>
          <w:rFonts w:eastAsia="Times New Roman"/>
          <w:szCs w:val="17"/>
        </w:rPr>
      </w:pPr>
      <w:r w:rsidRPr="00FD0AC7">
        <w:rPr>
          <w:rFonts w:eastAsia="Times New Roman"/>
          <w:szCs w:val="17"/>
        </w:rPr>
        <w:t>Australian Energy Market Commission</w:t>
      </w:r>
    </w:p>
    <w:p w:rsidR="00FD0AC7" w:rsidRPr="00FD0AC7" w:rsidRDefault="00FD0AC7" w:rsidP="00FD0AC7">
      <w:pPr>
        <w:spacing w:after="0"/>
        <w:ind w:left="142"/>
        <w:rPr>
          <w:rFonts w:eastAsia="Times New Roman"/>
          <w:szCs w:val="17"/>
        </w:rPr>
      </w:pPr>
      <w:r w:rsidRPr="00FD0AC7">
        <w:rPr>
          <w:rFonts w:eastAsia="Times New Roman"/>
          <w:szCs w:val="17"/>
        </w:rPr>
        <w:t>Level 15, 60 Castlereagh St</w:t>
      </w:r>
    </w:p>
    <w:p w:rsidR="00FD0AC7" w:rsidRPr="00FD0AC7" w:rsidRDefault="00FD0AC7" w:rsidP="00FD0AC7">
      <w:pPr>
        <w:ind w:left="142"/>
        <w:rPr>
          <w:rFonts w:eastAsia="Times New Roman"/>
          <w:szCs w:val="17"/>
        </w:rPr>
      </w:pPr>
      <w:r w:rsidRPr="00FD0AC7">
        <w:rPr>
          <w:rFonts w:eastAsia="Times New Roman"/>
          <w:szCs w:val="17"/>
        </w:rPr>
        <w:t>Sydney NSW 2000</w:t>
      </w:r>
    </w:p>
    <w:p w:rsidR="00FD0AC7" w:rsidRPr="00FD0AC7" w:rsidRDefault="00FD0AC7" w:rsidP="00FD0AC7">
      <w:pPr>
        <w:spacing w:after="0"/>
        <w:ind w:left="142"/>
        <w:rPr>
          <w:rFonts w:eastAsia="Times New Roman"/>
          <w:szCs w:val="17"/>
        </w:rPr>
      </w:pPr>
      <w:r w:rsidRPr="00FD0AC7">
        <w:rPr>
          <w:rFonts w:eastAsia="Times New Roman"/>
          <w:szCs w:val="17"/>
        </w:rPr>
        <w:t>Telephone: (02) 8296 7800</w:t>
      </w:r>
    </w:p>
    <w:p w:rsidR="00FD0AC7" w:rsidRPr="00FD0AC7" w:rsidRDefault="00607847" w:rsidP="00FD0AC7">
      <w:pPr>
        <w:ind w:left="142"/>
        <w:rPr>
          <w:rFonts w:eastAsia="Times New Roman"/>
          <w:szCs w:val="17"/>
        </w:rPr>
      </w:pPr>
      <w:hyperlink r:id="rId160" w:history="1">
        <w:r w:rsidR="00FD0AC7" w:rsidRPr="00FD0AC7">
          <w:rPr>
            <w:rFonts w:eastAsia="Times New Roman"/>
            <w:color w:val="0000FF"/>
            <w:szCs w:val="17"/>
            <w:u w:val="single"/>
          </w:rPr>
          <w:t>www.aemc.gov.au</w:t>
        </w:r>
      </w:hyperlink>
      <w:r w:rsidR="00FD0AC7" w:rsidRPr="00FD0AC7">
        <w:rPr>
          <w:rFonts w:eastAsia="Times New Roman"/>
          <w:szCs w:val="17"/>
        </w:rPr>
        <w:t xml:space="preserve"> </w:t>
      </w:r>
    </w:p>
    <w:p w:rsidR="00FD0AC7" w:rsidRPr="00FD0AC7" w:rsidRDefault="00FD0AC7" w:rsidP="00FD0AC7">
      <w:pPr>
        <w:spacing w:after="0"/>
        <w:rPr>
          <w:rFonts w:eastAsia="Times New Roman"/>
          <w:szCs w:val="17"/>
        </w:rPr>
      </w:pPr>
      <w:r w:rsidRPr="00FD0AC7">
        <w:rPr>
          <w:rFonts w:eastAsia="Times New Roman"/>
          <w:szCs w:val="17"/>
        </w:rPr>
        <w:t>Dated: 17 December 2020</w:t>
      </w:r>
    </w:p>
    <w:p w:rsidR="00FD0AC7" w:rsidRPr="00FD0AC7" w:rsidRDefault="00FD0AC7" w:rsidP="00FD0AC7">
      <w:pPr>
        <w:pBdr>
          <w:bottom w:val="single" w:sz="4" w:space="1" w:color="auto"/>
        </w:pBdr>
        <w:spacing w:after="0" w:line="52" w:lineRule="exact"/>
        <w:jc w:val="center"/>
        <w:rPr>
          <w:rFonts w:eastAsia="Times New Roman"/>
          <w:szCs w:val="17"/>
        </w:rPr>
      </w:pPr>
    </w:p>
    <w:p w:rsidR="00FD0AC7" w:rsidRPr="00FD0AC7" w:rsidRDefault="00FD0AC7" w:rsidP="00FD0AC7">
      <w:pPr>
        <w:pBdr>
          <w:top w:val="single" w:sz="4" w:space="1" w:color="auto"/>
        </w:pBdr>
        <w:spacing w:before="34" w:after="0" w:line="14" w:lineRule="exact"/>
        <w:jc w:val="center"/>
        <w:rPr>
          <w:rFonts w:eastAsia="Times New Roman"/>
          <w:szCs w:val="17"/>
        </w:rPr>
      </w:pPr>
    </w:p>
    <w:p w:rsidR="00FD0AC7" w:rsidRPr="00FD0AC7" w:rsidRDefault="00FD0AC7" w:rsidP="00FD0AC7">
      <w:pPr>
        <w:spacing w:after="0"/>
        <w:rPr>
          <w:rFonts w:eastAsia="Times New Roman"/>
          <w:szCs w:val="17"/>
        </w:rPr>
      </w:pPr>
    </w:p>
    <w:p w:rsidR="00FD0AC7" w:rsidRDefault="00FD0AC7">
      <w:pPr>
        <w:spacing w:after="0" w:line="240" w:lineRule="auto"/>
        <w:jc w:val="left"/>
        <w:rPr>
          <w:caps/>
          <w:szCs w:val="17"/>
        </w:rPr>
      </w:pPr>
      <w:r>
        <w:rPr>
          <w:caps/>
          <w:szCs w:val="17"/>
        </w:rPr>
        <w:br w:type="page"/>
      </w:r>
    </w:p>
    <w:p w:rsidR="00FD0AC7" w:rsidRPr="00FD0AC7" w:rsidRDefault="00FD0AC7" w:rsidP="007F1F15">
      <w:pPr>
        <w:pStyle w:val="Heading2"/>
      </w:pPr>
      <w:bookmarkStart w:id="166" w:name="_Toc59098975"/>
      <w:r w:rsidRPr="00FD0AC7">
        <w:t>National Energy Retail Law</w:t>
      </w:r>
      <w:bookmarkEnd w:id="166"/>
    </w:p>
    <w:p w:rsidR="00FD0AC7" w:rsidRPr="00FD0AC7" w:rsidRDefault="00FD0AC7" w:rsidP="00FD0AC7">
      <w:pPr>
        <w:jc w:val="center"/>
        <w:rPr>
          <w:i/>
          <w:szCs w:val="17"/>
        </w:rPr>
      </w:pPr>
      <w:r w:rsidRPr="00FD0AC7">
        <w:rPr>
          <w:i/>
          <w:szCs w:val="17"/>
        </w:rPr>
        <w:t>Making of Draft Determination</w:t>
      </w:r>
    </w:p>
    <w:p w:rsidR="00FD0AC7" w:rsidRPr="00FD0AC7" w:rsidRDefault="00FD0AC7" w:rsidP="00FD0AC7">
      <w:pPr>
        <w:rPr>
          <w:rFonts w:eastAsia="Times New Roman"/>
          <w:szCs w:val="17"/>
        </w:rPr>
      </w:pPr>
      <w:r w:rsidRPr="00FD0AC7">
        <w:rPr>
          <w:rFonts w:eastAsia="Times New Roman"/>
          <w:szCs w:val="17"/>
        </w:rPr>
        <w:t>The Australian Energy Market Commission (AEMC) gives notice under the National Energy Retail Law as follows:</w:t>
      </w:r>
    </w:p>
    <w:p w:rsidR="00FD0AC7" w:rsidRPr="00FD0AC7" w:rsidRDefault="00FD0AC7" w:rsidP="00FD0AC7">
      <w:pPr>
        <w:ind w:left="142"/>
        <w:rPr>
          <w:rFonts w:eastAsia="Times New Roman"/>
          <w:szCs w:val="17"/>
        </w:rPr>
      </w:pPr>
      <w:r w:rsidRPr="00FD0AC7">
        <w:rPr>
          <w:rFonts w:eastAsia="Times New Roman"/>
          <w:szCs w:val="17"/>
        </w:rPr>
        <w:t xml:space="preserve">Under s 256, the making of a draft determination and related draft rule on the </w:t>
      </w:r>
      <w:r w:rsidRPr="00FD0AC7">
        <w:rPr>
          <w:rFonts w:eastAsia="Times New Roman"/>
          <w:i/>
          <w:szCs w:val="17"/>
        </w:rPr>
        <w:t>Bill contents and billing requirements</w:t>
      </w:r>
      <w:r w:rsidRPr="00FD0AC7">
        <w:rPr>
          <w:rFonts w:eastAsia="Times New Roman"/>
          <w:szCs w:val="17"/>
        </w:rPr>
        <w:t xml:space="preserve"> (Ref. RRC0036) proposal. Written requests for a pre-determination hearing must be received by </w:t>
      </w:r>
      <w:r w:rsidRPr="00FD0AC7">
        <w:rPr>
          <w:rFonts w:eastAsia="Times New Roman"/>
          <w:b/>
          <w:szCs w:val="17"/>
        </w:rPr>
        <w:t>24 December 2020</w:t>
      </w:r>
      <w:r w:rsidRPr="00FD0AC7">
        <w:rPr>
          <w:rFonts w:eastAsia="Times New Roman"/>
          <w:szCs w:val="17"/>
        </w:rPr>
        <w:t xml:space="preserve">. Submissions must be received by </w:t>
      </w:r>
      <w:r w:rsidRPr="00FD0AC7">
        <w:rPr>
          <w:rFonts w:eastAsia="Times New Roman"/>
          <w:b/>
          <w:szCs w:val="17"/>
        </w:rPr>
        <w:t>4 February 2021</w:t>
      </w:r>
      <w:r w:rsidRPr="00FD0AC7">
        <w:rPr>
          <w:rFonts w:eastAsia="Times New Roman"/>
          <w:szCs w:val="17"/>
        </w:rPr>
        <w:t>.</w:t>
      </w:r>
    </w:p>
    <w:p w:rsidR="00FD0AC7" w:rsidRPr="00FD0AC7" w:rsidRDefault="00FD0AC7" w:rsidP="00FD0AC7">
      <w:pPr>
        <w:rPr>
          <w:rFonts w:eastAsia="Times New Roman"/>
          <w:spacing w:val="-2"/>
          <w:szCs w:val="17"/>
        </w:rPr>
      </w:pPr>
      <w:r w:rsidRPr="00FD0AC7">
        <w:rPr>
          <w:rFonts w:eastAsia="Times New Roman"/>
          <w:spacing w:val="-2"/>
          <w:szCs w:val="17"/>
        </w:rPr>
        <w:t xml:space="preserve">Submissions can be made via the AEMC’s website. Before making a submission, please review the AEMC’s privacy statement on its website. Submissions should be made in accordance with the </w:t>
      </w:r>
      <w:r w:rsidRPr="00FD0AC7">
        <w:rPr>
          <w:rFonts w:eastAsia="Times New Roman"/>
          <w:i/>
          <w:spacing w:val="-2"/>
          <w:szCs w:val="17"/>
        </w:rPr>
        <w:t>AEMC’s Guidelines for making written submissions on Rule change proposals</w:t>
      </w:r>
      <w:r w:rsidRPr="00FD0AC7">
        <w:rPr>
          <w:rFonts w:eastAsia="Times New Roman"/>
          <w:spacing w:val="-2"/>
          <w:szCs w:val="17"/>
        </w:rPr>
        <w:t>. The AEMC publishes all submissions on its website, subject to certain exceptions.</w:t>
      </w:r>
    </w:p>
    <w:p w:rsidR="00FD0AC7" w:rsidRPr="00FD0AC7" w:rsidRDefault="00FD0AC7" w:rsidP="00FD0AC7">
      <w:pPr>
        <w:rPr>
          <w:rFonts w:eastAsia="Times New Roman"/>
          <w:szCs w:val="17"/>
        </w:rPr>
      </w:pPr>
      <w:r w:rsidRPr="00FD0AC7">
        <w:rPr>
          <w:rFonts w:eastAsia="Times New Roman"/>
          <w:szCs w:val="17"/>
        </w:rPr>
        <w:t xml:space="preserve">Written requests should be sent to </w:t>
      </w:r>
      <w:hyperlink r:id="rId161" w:history="1">
        <w:r w:rsidRPr="00FD0AC7">
          <w:rPr>
            <w:rFonts w:eastAsia="Times New Roman"/>
            <w:color w:val="0000FF"/>
            <w:szCs w:val="17"/>
            <w:u w:val="single"/>
          </w:rPr>
          <w:t>submissions@aemc.gov.au</w:t>
        </w:r>
      </w:hyperlink>
      <w:r w:rsidRPr="00FD0AC7">
        <w:rPr>
          <w:rFonts w:eastAsia="Times New Roman"/>
          <w:szCs w:val="17"/>
        </w:rPr>
        <w:t xml:space="preserve"> and cite the reference in the title. Before sending a request, please review the AEMC’s privacy statement on its website.</w:t>
      </w:r>
    </w:p>
    <w:p w:rsidR="00FD0AC7" w:rsidRPr="00FD0AC7" w:rsidRDefault="00FD0AC7" w:rsidP="00FD0AC7">
      <w:pPr>
        <w:rPr>
          <w:rFonts w:eastAsia="Times New Roman"/>
          <w:szCs w:val="17"/>
        </w:rPr>
      </w:pPr>
      <w:r w:rsidRPr="00FD0AC7">
        <w:rPr>
          <w:rFonts w:eastAsia="Times New Roman"/>
          <w:szCs w:val="17"/>
        </w:rPr>
        <w:t>Documents referred to above are available on the AEMC’s website and are available for inspection at the AEMC’s office.</w:t>
      </w:r>
    </w:p>
    <w:p w:rsidR="00FD0AC7" w:rsidRPr="00FD0AC7" w:rsidRDefault="00FD0AC7" w:rsidP="00FD0AC7">
      <w:pPr>
        <w:ind w:left="142"/>
        <w:rPr>
          <w:rFonts w:eastAsia="Times New Roman"/>
          <w:szCs w:val="17"/>
        </w:rPr>
      </w:pPr>
      <w:r w:rsidRPr="00FD0AC7">
        <w:rPr>
          <w:rFonts w:eastAsia="Times New Roman"/>
          <w:szCs w:val="17"/>
        </w:rPr>
        <w:t>Australian Energy Market Commission</w:t>
      </w:r>
    </w:p>
    <w:p w:rsidR="00FD0AC7" w:rsidRPr="00FD0AC7" w:rsidRDefault="00FD0AC7" w:rsidP="00FD0AC7">
      <w:pPr>
        <w:spacing w:after="0"/>
        <w:ind w:left="142"/>
        <w:rPr>
          <w:rFonts w:eastAsia="Times New Roman"/>
          <w:szCs w:val="17"/>
        </w:rPr>
      </w:pPr>
      <w:r w:rsidRPr="00FD0AC7">
        <w:rPr>
          <w:rFonts w:eastAsia="Times New Roman"/>
          <w:szCs w:val="17"/>
        </w:rPr>
        <w:t>Level 15, 60 Castlereagh St</w:t>
      </w:r>
    </w:p>
    <w:p w:rsidR="00FD0AC7" w:rsidRPr="00FD0AC7" w:rsidRDefault="00FD0AC7" w:rsidP="00FD0AC7">
      <w:pPr>
        <w:ind w:left="142"/>
        <w:rPr>
          <w:rFonts w:eastAsia="Times New Roman"/>
          <w:szCs w:val="17"/>
        </w:rPr>
      </w:pPr>
      <w:r w:rsidRPr="00FD0AC7">
        <w:rPr>
          <w:rFonts w:eastAsia="Times New Roman"/>
          <w:szCs w:val="17"/>
        </w:rPr>
        <w:t>Sydney NSW 2000</w:t>
      </w:r>
    </w:p>
    <w:p w:rsidR="00FD0AC7" w:rsidRPr="00FD0AC7" w:rsidRDefault="00FD0AC7" w:rsidP="00FD0AC7">
      <w:pPr>
        <w:spacing w:after="0"/>
        <w:ind w:left="142"/>
        <w:rPr>
          <w:rFonts w:eastAsia="Times New Roman"/>
          <w:szCs w:val="17"/>
        </w:rPr>
      </w:pPr>
      <w:r w:rsidRPr="00FD0AC7">
        <w:rPr>
          <w:rFonts w:eastAsia="Times New Roman"/>
          <w:szCs w:val="17"/>
        </w:rPr>
        <w:t>Telephone: (02) 8296 7800</w:t>
      </w:r>
    </w:p>
    <w:p w:rsidR="00FD0AC7" w:rsidRPr="00FD0AC7" w:rsidRDefault="00607847" w:rsidP="00FD0AC7">
      <w:pPr>
        <w:ind w:left="142"/>
        <w:rPr>
          <w:rFonts w:eastAsia="Times New Roman"/>
          <w:szCs w:val="17"/>
        </w:rPr>
      </w:pPr>
      <w:hyperlink r:id="rId162" w:history="1">
        <w:r w:rsidR="00FD0AC7" w:rsidRPr="00FD0AC7">
          <w:rPr>
            <w:rFonts w:eastAsia="Times New Roman"/>
            <w:color w:val="0000FF"/>
            <w:szCs w:val="17"/>
            <w:u w:val="single"/>
          </w:rPr>
          <w:t>www.aemc.gov.au</w:t>
        </w:r>
      </w:hyperlink>
      <w:r w:rsidR="00FD0AC7" w:rsidRPr="00FD0AC7">
        <w:rPr>
          <w:rFonts w:eastAsia="Times New Roman"/>
          <w:szCs w:val="17"/>
        </w:rPr>
        <w:t xml:space="preserve"> </w:t>
      </w:r>
    </w:p>
    <w:p w:rsidR="00FD0AC7" w:rsidRPr="00FD0AC7" w:rsidRDefault="00FD0AC7" w:rsidP="00FD0AC7">
      <w:pPr>
        <w:spacing w:after="0"/>
        <w:rPr>
          <w:rFonts w:eastAsia="Times New Roman"/>
          <w:szCs w:val="17"/>
        </w:rPr>
      </w:pPr>
      <w:r w:rsidRPr="00FD0AC7">
        <w:rPr>
          <w:rFonts w:eastAsia="Times New Roman"/>
          <w:szCs w:val="17"/>
        </w:rPr>
        <w:t>Dated: 17 December 2020</w:t>
      </w:r>
    </w:p>
    <w:p w:rsidR="00FD0AC7" w:rsidRPr="00FD0AC7" w:rsidRDefault="00FD0AC7" w:rsidP="00FD0AC7">
      <w:pPr>
        <w:pBdr>
          <w:bottom w:val="single" w:sz="4" w:space="1" w:color="auto"/>
        </w:pBdr>
        <w:spacing w:after="0" w:line="52" w:lineRule="exact"/>
        <w:jc w:val="center"/>
        <w:rPr>
          <w:rFonts w:eastAsia="Times New Roman"/>
          <w:szCs w:val="17"/>
        </w:rPr>
      </w:pPr>
    </w:p>
    <w:p w:rsidR="00FD0AC7" w:rsidRPr="00FD0AC7" w:rsidRDefault="00FD0AC7" w:rsidP="00FD0AC7">
      <w:pPr>
        <w:pBdr>
          <w:top w:val="single" w:sz="4" w:space="1" w:color="auto"/>
        </w:pBdr>
        <w:spacing w:before="34" w:after="0" w:line="14" w:lineRule="exact"/>
        <w:jc w:val="center"/>
        <w:rPr>
          <w:rFonts w:eastAsia="Times New Roman"/>
          <w:szCs w:val="17"/>
        </w:rPr>
      </w:pPr>
    </w:p>
    <w:p w:rsidR="00FD0AC7" w:rsidRPr="00FD0AC7" w:rsidRDefault="00FD0AC7" w:rsidP="00FD0A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FD0AC7" w:rsidRPr="00FD0AC7" w:rsidRDefault="00FD0AC7" w:rsidP="007F1F15">
      <w:pPr>
        <w:pStyle w:val="Heading2"/>
      </w:pPr>
      <w:bookmarkStart w:id="167" w:name="_Toc59098976"/>
      <w:r w:rsidRPr="00FD0AC7">
        <w:t>National Gas Law</w:t>
      </w:r>
      <w:bookmarkEnd w:id="167"/>
    </w:p>
    <w:p w:rsidR="00FD0AC7" w:rsidRPr="00FD0AC7" w:rsidRDefault="00FD0AC7" w:rsidP="00FD0AC7">
      <w:pPr>
        <w:jc w:val="center"/>
        <w:rPr>
          <w:i/>
          <w:szCs w:val="17"/>
        </w:rPr>
      </w:pPr>
      <w:r w:rsidRPr="00FD0AC7">
        <w:rPr>
          <w:i/>
          <w:szCs w:val="17"/>
        </w:rPr>
        <w:t>Making of Final Rule</w:t>
      </w:r>
    </w:p>
    <w:p w:rsidR="00FD0AC7" w:rsidRPr="00FD0AC7" w:rsidRDefault="00FD0AC7" w:rsidP="00FD0A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r w:rsidRPr="00FD0AC7">
        <w:rPr>
          <w:rFonts w:eastAsia="Times New Roman"/>
          <w:szCs w:val="17"/>
        </w:rPr>
        <w:t>The Australian Energy Market Commission (AEMC) gives notice under the National Gas Law as follows:</w:t>
      </w:r>
    </w:p>
    <w:p w:rsidR="00FD0AC7" w:rsidRPr="00FD0AC7" w:rsidRDefault="00FD0AC7" w:rsidP="00FD0A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142"/>
        <w:rPr>
          <w:rFonts w:eastAsia="Times New Roman"/>
          <w:szCs w:val="17"/>
        </w:rPr>
      </w:pPr>
      <w:r w:rsidRPr="00FD0AC7">
        <w:rPr>
          <w:rFonts w:eastAsia="Times New Roman"/>
          <w:szCs w:val="17"/>
        </w:rPr>
        <w:t xml:space="preserve">Under ss 311 and 313, the making of the </w:t>
      </w:r>
      <w:r w:rsidRPr="00FD0AC7">
        <w:rPr>
          <w:rFonts w:eastAsia="Times New Roman"/>
          <w:i/>
          <w:szCs w:val="17"/>
        </w:rPr>
        <w:t>National Gas Amendment (DWGM maintenance planning) Rule 2021 No. 4</w:t>
      </w:r>
      <w:r w:rsidRPr="00FD0AC7">
        <w:rPr>
          <w:rFonts w:eastAsia="Times New Roman"/>
          <w:szCs w:val="17"/>
        </w:rPr>
        <w:t xml:space="preserve"> (Ref. GRC0058) and related final determination. Transitional arrangements in schedule 2 of the final rule will commence on </w:t>
      </w:r>
      <w:r w:rsidRPr="00FD0AC7">
        <w:rPr>
          <w:rFonts w:eastAsia="Times New Roman"/>
          <w:b/>
          <w:szCs w:val="17"/>
        </w:rPr>
        <w:t>21 January 2021</w:t>
      </w:r>
      <w:r w:rsidRPr="00FD0AC7">
        <w:rPr>
          <w:rFonts w:eastAsia="Times New Roman"/>
          <w:szCs w:val="17"/>
        </w:rPr>
        <w:t xml:space="preserve">. Operative provisions in schedule 1 of the final rule will commence on </w:t>
      </w:r>
      <w:r w:rsidRPr="00FD0AC7">
        <w:rPr>
          <w:rFonts w:eastAsia="Times New Roman"/>
          <w:b/>
          <w:szCs w:val="17"/>
        </w:rPr>
        <w:t>22 April 2021</w:t>
      </w:r>
      <w:r w:rsidRPr="00FD0AC7">
        <w:rPr>
          <w:rFonts w:eastAsia="Times New Roman"/>
          <w:szCs w:val="17"/>
        </w:rPr>
        <w:t>.</w:t>
      </w:r>
    </w:p>
    <w:p w:rsidR="00FD0AC7" w:rsidRPr="00FD0AC7" w:rsidRDefault="00FD0AC7" w:rsidP="00FD0A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142"/>
        <w:rPr>
          <w:rFonts w:eastAsia="Times New Roman"/>
          <w:szCs w:val="17"/>
        </w:rPr>
      </w:pPr>
      <w:r w:rsidRPr="00FD0AC7">
        <w:rPr>
          <w:rFonts w:eastAsia="Times New Roman"/>
          <w:szCs w:val="17"/>
        </w:rPr>
        <w:t xml:space="preserve">Under ss 311 and 313, the making of the </w:t>
      </w:r>
      <w:r w:rsidRPr="00FD0AC7">
        <w:rPr>
          <w:rFonts w:eastAsia="Times New Roman"/>
          <w:i/>
          <w:szCs w:val="17"/>
        </w:rPr>
        <w:t>National Gas Amendment (Minor changes 4) Rule 2020 No. 5</w:t>
      </w:r>
      <w:r w:rsidRPr="00FD0AC7">
        <w:rPr>
          <w:rFonts w:eastAsia="Times New Roman"/>
          <w:szCs w:val="17"/>
        </w:rPr>
        <w:t xml:space="preserve"> (Ref. GRC0059) and related final determination. All provisions commence on </w:t>
      </w:r>
      <w:r w:rsidRPr="00FD0AC7">
        <w:rPr>
          <w:rFonts w:eastAsia="Times New Roman"/>
          <w:b/>
          <w:szCs w:val="17"/>
        </w:rPr>
        <w:t>17 December 2020</w:t>
      </w:r>
      <w:r w:rsidRPr="00FD0AC7">
        <w:rPr>
          <w:rFonts w:eastAsia="Times New Roman"/>
          <w:szCs w:val="17"/>
        </w:rPr>
        <w:t>.</w:t>
      </w:r>
    </w:p>
    <w:p w:rsidR="00FD0AC7" w:rsidRPr="00FD0AC7" w:rsidRDefault="00FD0AC7" w:rsidP="00FD0A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r w:rsidRPr="00FD0AC7">
        <w:rPr>
          <w:rFonts w:eastAsia="Times New Roman"/>
          <w:szCs w:val="17"/>
        </w:rPr>
        <w:t>Documents referred to above are available on the AEMC’s website and are available for inspection at the AEMC’s office.</w:t>
      </w:r>
    </w:p>
    <w:p w:rsidR="00FD0AC7" w:rsidRPr="00FD0AC7" w:rsidRDefault="00FD0AC7" w:rsidP="00FD0A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142"/>
        <w:rPr>
          <w:rFonts w:eastAsia="Times New Roman"/>
          <w:szCs w:val="17"/>
        </w:rPr>
      </w:pPr>
      <w:r w:rsidRPr="00FD0AC7">
        <w:rPr>
          <w:rFonts w:eastAsia="Times New Roman"/>
          <w:szCs w:val="17"/>
        </w:rPr>
        <w:t>Australian Energy Market Commission</w:t>
      </w:r>
    </w:p>
    <w:p w:rsidR="00FD0AC7" w:rsidRPr="00FD0AC7" w:rsidRDefault="00FD0AC7" w:rsidP="00FD0A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42"/>
        <w:rPr>
          <w:rFonts w:eastAsia="Times New Roman"/>
          <w:szCs w:val="17"/>
        </w:rPr>
      </w:pPr>
      <w:r w:rsidRPr="00FD0AC7">
        <w:rPr>
          <w:rFonts w:eastAsia="Times New Roman"/>
          <w:szCs w:val="17"/>
        </w:rPr>
        <w:t>Level 15, 60 Castlereagh St</w:t>
      </w:r>
    </w:p>
    <w:p w:rsidR="00FD0AC7" w:rsidRPr="00FD0AC7" w:rsidRDefault="00FD0AC7" w:rsidP="00FD0A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142"/>
        <w:rPr>
          <w:rFonts w:eastAsia="Times New Roman"/>
          <w:szCs w:val="17"/>
        </w:rPr>
      </w:pPr>
      <w:r w:rsidRPr="00FD0AC7">
        <w:rPr>
          <w:rFonts w:eastAsia="Times New Roman"/>
          <w:szCs w:val="17"/>
        </w:rPr>
        <w:t xml:space="preserve">Sydney NSW 2000 </w:t>
      </w:r>
    </w:p>
    <w:p w:rsidR="00FD0AC7" w:rsidRPr="00FD0AC7" w:rsidRDefault="00FD0AC7" w:rsidP="00FD0A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42"/>
        <w:rPr>
          <w:rFonts w:eastAsia="Times New Roman"/>
          <w:szCs w:val="17"/>
        </w:rPr>
      </w:pPr>
      <w:r w:rsidRPr="00FD0AC7">
        <w:rPr>
          <w:rFonts w:eastAsia="Times New Roman"/>
          <w:szCs w:val="17"/>
        </w:rPr>
        <w:t>Telephone: (02) 8296 7800</w:t>
      </w:r>
    </w:p>
    <w:p w:rsidR="00FD0AC7" w:rsidRPr="00FD0AC7" w:rsidRDefault="00607847" w:rsidP="00FD0A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142"/>
        <w:rPr>
          <w:rFonts w:eastAsia="Times New Roman"/>
          <w:szCs w:val="17"/>
        </w:rPr>
      </w:pPr>
      <w:hyperlink r:id="rId163" w:history="1">
        <w:r w:rsidR="00FD0AC7" w:rsidRPr="00FD0AC7">
          <w:rPr>
            <w:rFonts w:eastAsia="Times New Roman"/>
            <w:color w:val="0000FF"/>
            <w:szCs w:val="17"/>
            <w:u w:val="single"/>
          </w:rPr>
          <w:t>www.aemc.gov.au</w:t>
        </w:r>
      </w:hyperlink>
    </w:p>
    <w:p w:rsidR="00FD0AC7" w:rsidRPr="00FD0AC7" w:rsidRDefault="00FD0AC7" w:rsidP="00FD0AC7">
      <w:pPr>
        <w:spacing w:after="0"/>
        <w:rPr>
          <w:rFonts w:eastAsia="Times New Roman"/>
          <w:szCs w:val="17"/>
        </w:rPr>
      </w:pPr>
      <w:r w:rsidRPr="00FD0AC7">
        <w:rPr>
          <w:rFonts w:eastAsia="Times New Roman"/>
          <w:szCs w:val="17"/>
        </w:rPr>
        <w:t>Dated: 17 December 2020</w:t>
      </w:r>
    </w:p>
    <w:p w:rsidR="00FD0AC7" w:rsidRPr="00FD0AC7" w:rsidRDefault="00FD0AC7" w:rsidP="00FD0AC7">
      <w:pPr>
        <w:pBdr>
          <w:bottom w:val="single" w:sz="4" w:space="1" w:color="auto"/>
        </w:pBdr>
        <w:spacing w:after="0" w:line="52" w:lineRule="exact"/>
        <w:jc w:val="center"/>
        <w:rPr>
          <w:rFonts w:eastAsia="Times New Roman"/>
          <w:szCs w:val="17"/>
        </w:rPr>
      </w:pPr>
    </w:p>
    <w:p w:rsidR="00FD0AC7" w:rsidRPr="00FD0AC7" w:rsidRDefault="00FD0AC7" w:rsidP="00FD0AC7">
      <w:pPr>
        <w:pBdr>
          <w:top w:val="single" w:sz="4" w:space="1" w:color="auto"/>
        </w:pBdr>
        <w:spacing w:before="34" w:after="0" w:line="14" w:lineRule="exact"/>
        <w:jc w:val="center"/>
        <w:rPr>
          <w:rFonts w:eastAsia="Times New Roman"/>
          <w:szCs w:val="17"/>
        </w:rPr>
      </w:pPr>
    </w:p>
    <w:p w:rsidR="00FD0AC7" w:rsidRPr="00FD0AC7" w:rsidRDefault="00FD0AC7" w:rsidP="00FD0A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p>
    <w:p w:rsidR="00CD586C" w:rsidRPr="00304833" w:rsidRDefault="00C965BF" w:rsidP="00FD0AC7">
      <w:pPr>
        <w:tabs>
          <w:tab w:val="left" w:pos="960"/>
          <w:tab w:val="left" w:pos="1280"/>
          <w:tab w:val="left" w:pos="1600"/>
        </w:tabs>
        <w:spacing w:after="0" w:line="240" w:lineRule="auto"/>
        <w:ind w:right="600"/>
        <w:rPr>
          <w:color w:val="000000"/>
          <w:sz w:val="20"/>
          <w:szCs w:val="20"/>
        </w:rPr>
      </w:pPr>
      <w:r>
        <w:rPr>
          <w:color w:val="000000"/>
          <w:spacing w:val="-4"/>
          <w:sz w:val="20"/>
          <w:szCs w:val="20"/>
        </w:rPr>
        <w:br w:type="page"/>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7B4546"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0" w:line="240" w:lineRule="auto"/>
        <w:ind w:left="600" w:right="600"/>
        <w:jc w:val="center"/>
        <w:rPr>
          <w:rFonts w:eastAsia="Times New Roman"/>
          <w:b/>
          <w:smallCaps/>
          <w:color w:val="000000"/>
          <w:sz w:val="56"/>
          <w:szCs w:val="56"/>
          <w:lang w:eastAsia="en-AU"/>
        </w:rPr>
      </w:pPr>
      <w:r w:rsidRPr="00612978">
        <w:rPr>
          <w:rFonts w:eastAsia="Times New Roman"/>
          <w:b/>
          <w:smallCaps/>
          <w:color w:val="000000"/>
          <w:sz w:val="56"/>
          <w:szCs w:val="56"/>
          <w:lang w:eastAsia="en-AU"/>
        </w:rPr>
        <w:t>Notice Submission</w:t>
      </w: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160" w:line="240" w:lineRule="auto"/>
        <w:rPr>
          <w:color w:val="000000"/>
          <w:sz w:val="22"/>
        </w:rPr>
      </w:pPr>
      <w:r w:rsidRPr="004C61AD">
        <w:rPr>
          <w:color w:val="000000"/>
          <w:sz w:val="22"/>
        </w:rPr>
        <w:t>The</w:t>
      </w:r>
      <w:r>
        <w:rPr>
          <w:color w:val="000000"/>
          <w:sz w:val="22"/>
        </w:rPr>
        <w:t xml:space="preserve"> </w:t>
      </w:r>
      <w:r w:rsidRPr="006A7CDD">
        <w:rPr>
          <w:iCs/>
          <w:color w:val="000000"/>
          <w:sz w:val="22"/>
        </w:rPr>
        <w:t>South Australian Government Gazette</w:t>
      </w:r>
      <w:r>
        <w:rPr>
          <w:color w:val="000000"/>
          <w:sz w:val="22"/>
        </w:rPr>
        <w:t xml:space="preserve"> is compiled </w:t>
      </w:r>
      <w:r w:rsidRPr="004C61AD">
        <w:rPr>
          <w:color w:val="000000"/>
          <w:sz w:val="22"/>
        </w:rPr>
        <w:t xml:space="preserve">and published each Thursday. </w:t>
      </w:r>
    </w:p>
    <w:p w:rsidR="00CD586C" w:rsidRPr="00C53FED" w:rsidRDefault="00CD586C" w:rsidP="00CD586C">
      <w:pPr>
        <w:tabs>
          <w:tab w:val="left" w:pos="960"/>
          <w:tab w:val="left" w:pos="1280"/>
          <w:tab w:val="left" w:pos="1600"/>
        </w:tabs>
        <w:spacing w:after="160" w:line="240" w:lineRule="auto"/>
        <w:rPr>
          <w:color w:val="000000"/>
          <w:sz w:val="22"/>
        </w:rPr>
      </w:pPr>
      <w:r w:rsidRPr="00C53FED">
        <w:rPr>
          <w:color w:val="000000"/>
          <w:sz w:val="22"/>
        </w:rPr>
        <w:t>Notices</w:t>
      </w:r>
      <w:r>
        <w:rPr>
          <w:color w:val="000000"/>
          <w:sz w:val="22"/>
        </w:rPr>
        <w:t xml:space="preserve"> </w:t>
      </w:r>
      <w:r w:rsidRPr="00C53FED">
        <w:rPr>
          <w:color w:val="000000"/>
          <w:sz w:val="22"/>
        </w:rPr>
        <w:t xml:space="preserve">must be submitted before 4 p.m. </w:t>
      </w:r>
      <w:r>
        <w:rPr>
          <w:color w:val="000000"/>
          <w:sz w:val="22"/>
        </w:rPr>
        <w:t>Tues</w:t>
      </w:r>
      <w:r w:rsidRPr="00C53FED">
        <w:rPr>
          <w:color w:val="000000"/>
          <w:sz w:val="22"/>
        </w:rPr>
        <w:t xml:space="preserve">day, the week </w:t>
      </w:r>
      <w:r>
        <w:rPr>
          <w:color w:val="000000"/>
          <w:sz w:val="22"/>
        </w:rPr>
        <w:t>of</w:t>
      </w:r>
      <w:r w:rsidRPr="00C53FED">
        <w:rPr>
          <w:color w:val="000000"/>
          <w:sz w:val="22"/>
        </w:rPr>
        <w:t xml:space="preserve"> intended </w:t>
      </w:r>
      <w:r>
        <w:rPr>
          <w:color w:val="000000"/>
          <w:sz w:val="22"/>
        </w:rPr>
        <w:t>publication</w:t>
      </w:r>
      <w:r w:rsidRPr="00C53FED">
        <w:rPr>
          <w:color w:val="000000"/>
          <w:sz w:val="22"/>
        </w:rPr>
        <w:t>.</w:t>
      </w:r>
    </w:p>
    <w:p w:rsidR="00CD586C" w:rsidRPr="00B15655" w:rsidRDefault="00CD586C" w:rsidP="00CD586C">
      <w:pPr>
        <w:tabs>
          <w:tab w:val="left" w:pos="0"/>
          <w:tab w:val="left" w:pos="960"/>
          <w:tab w:val="left" w:pos="1280"/>
          <w:tab w:val="left" w:pos="1600"/>
        </w:tabs>
        <w:spacing w:after="160" w:line="240" w:lineRule="auto"/>
        <w:rPr>
          <w:color w:val="000000"/>
          <w:sz w:val="22"/>
        </w:rPr>
      </w:pPr>
      <w:r w:rsidRPr="00B15655">
        <w:rPr>
          <w:color w:val="000000"/>
          <w:sz w:val="22"/>
        </w:rPr>
        <w:t>All submissions are formatted per the gazette style and proofs are supplied as soon as possible. Alterations must be returned before 4 p.m. Wednesday.</w:t>
      </w:r>
    </w:p>
    <w:p w:rsidR="00CD586C" w:rsidRDefault="00CD586C" w:rsidP="00CD586C">
      <w:pPr>
        <w:tabs>
          <w:tab w:val="left" w:pos="960"/>
          <w:tab w:val="left" w:pos="1280"/>
          <w:tab w:val="left" w:pos="1600"/>
        </w:tabs>
        <w:spacing w:line="240" w:lineRule="auto"/>
        <w:rPr>
          <w:color w:val="000000"/>
          <w:sz w:val="22"/>
        </w:rPr>
      </w:pPr>
      <w:r>
        <w:rPr>
          <w:color w:val="000000"/>
          <w:sz w:val="22"/>
        </w:rPr>
        <w:t>R</w:t>
      </w:r>
      <w:r w:rsidRPr="004C61AD">
        <w:rPr>
          <w:color w:val="000000"/>
          <w:sz w:val="22"/>
        </w:rPr>
        <w:t>equest</w:t>
      </w:r>
      <w:r>
        <w:rPr>
          <w:color w:val="000000"/>
          <w:sz w:val="22"/>
        </w:rPr>
        <w:t xml:space="preserve">s </w:t>
      </w:r>
      <w:r w:rsidRPr="004C61AD">
        <w:rPr>
          <w:color w:val="000000"/>
          <w:sz w:val="22"/>
        </w:rPr>
        <w:t>to with</w:t>
      </w:r>
      <w:r>
        <w:rPr>
          <w:color w:val="000000"/>
          <w:sz w:val="22"/>
        </w:rPr>
        <w:t xml:space="preserve">draw submitted notices must be </w:t>
      </w:r>
      <w:r w:rsidRPr="004C61AD">
        <w:rPr>
          <w:color w:val="000000"/>
          <w:sz w:val="22"/>
        </w:rPr>
        <w:t>received before 10 a.m. on the day of publication.</w:t>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160" w:line="240" w:lineRule="auto"/>
        <w:rPr>
          <w:rFonts w:eastAsia="Times New Roman"/>
          <w:b/>
          <w:color w:val="000000"/>
          <w:sz w:val="24"/>
          <w:szCs w:val="24"/>
          <w:lang w:eastAsia="en-AU"/>
        </w:rPr>
      </w:pPr>
      <w:r>
        <w:rPr>
          <w:rFonts w:eastAsia="Times New Roman"/>
          <w:b/>
          <w:color w:val="000000"/>
          <w:sz w:val="24"/>
          <w:szCs w:val="24"/>
          <w:lang w:eastAsia="en-AU"/>
        </w:rPr>
        <w:t>Gazette n</w:t>
      </w:r>
      <w:r w:rsidRPr="00612978">
        <w:rPr>
          <w:rFonts w:eastAsia="Times New Roman"/>
          <w:b/>
          <w:color w:val="000000"/>
          <w:sz w:val="24"/>
          <w:szCs w:val="24"/>
          <w:lang w:eastAsia="en-AU"/>
        </w:rPr>
        <w:t xml:space="preserve">otices </w:t>
      </w:r>
      <w:r>
        <w:rPr>
          <w:rFonts w:eastAsia="Times New Roman"/>
          <w:b/>
          <w:color w:val="000000"/>
          <w:sz w:val="24"/>
          <w:szCs w:val="24"/>
          <w:lang w:eastAsia="en-AU"/>
        </w:rPr>
        <w:t>should</w:t>
      </w:r>
      <w:r w:rsidRPr="00612978">
        <w:rPr>
          <w:rFonts w:eastAsia="Times New Roman"/>
          <w:b/>
          <w:color w:val="000000"/>
          <w:sz w:val="24"/>
          <w:szCs w:val="24"/>
          <w:lang w:eastAsia="en-AU"/>
        </w:rPr>
        <w:t xml:space="preserve"> be emailed </w:t>
      </w:r>
      <w:r>
        <w:rPr>
          <w:b/>
          <w:color w:val="000000"/>
          <w:sz w:val="24"/>
          <w:szCs w:val="24"/>
        </w:rPr>
        <w:t xml:space="preserve">as Word files in </w:t>
      </w:r>
      <w:r w:rsidRPr="00612978">
        <w:rPr>
          <w:b/>
          <w:color w:val="000000"/>
          <w:sz w:val="24"/>
          <w:szCs w:val="24"/>
        </w:rPr>
        <w:t>the following</w:t>
      </w:r>
      <w:r>
        <w:rPr>
          <w:b/>
          <w:color w:val="000000"/>
          <w:sz w:val="24"/>
          <w:szCs w:val="24"/>
        </w:rPr>
        <w:t xml:space="preserve"> format</w:t>
      </w:r>
      <w:r w:rsidRPr="00612978">
        <w:rPr>
          <w:b/>
          <w:color w:val="000000"/>
          <w:sz w:val="24"/>
          <w:szCs w:val="24"/>
        </w:rPr>
        <w:t>:</w:t>
      </w:r>
    </w:p>
    <w:p w:rsidR="00CD586C" w:rsidRDefault="00CD586C" w:rsidP="00C03A6A">
      <w:pPr>
        <w:numPr>
          <w:ilvl w:val="0"/>
          <w:numId w:val="4"/>
        </w:numPr>
        <w:tabs>
          <w:tab w:val="left" w:pos="567"/>
        </w:tabs>
        <w:spacing w:line="240" w:lineRule="auto"/>
        <w:ind w:left="993" w:right="-2" w:hanging="709"/>
        <w:rPr>
          <w:color w:val="000000"/>
          <w:sz w:val="22"/>
        </w:rPr>
      </w:pPr>
      <w:r w:rsidRPr="004B39A1">
        <w:rPr>
          <w:color w:val="000000"/>
          <w:sz w:val="22"/>
        </w:rPr>
        <w:t>Title</w:t>
      </w:r>
      <w:r>
        <w:rPr>
          <w:color w:val="000000"/>
          <w:sz w:val="22"/>
        </w:rPr>
        <w:t>—</w:t>
      </w:r>
      <w:r w:rsidRPr="004B39A1">
        <w:rPr>
          <w:color w:val="000000"/>
          <w:sz w:val="22"/>
        </w:rPr>
        <w:t xml:space="preserve">name of the governing </w:t>
      </w:r>
      <w:r>
        <w:rPr>
          <w:color w:val="000000"/>
          <w:sz w:val="22"/>
        </w:rPr>
        <w:t>Act/Regulation</w:t>
      </w:r>
    </w:p>
    <w:p w:rsidR="00CD586C" w:rsidRPr="004B39A1" w:rsidRDefault="00CD586C" w:rsidP="00C03A6A">
      <w:pPr>
        <w:numPr>
          <w:ilvl w:val="0"/>
          <w:numId w:val="4"/>
        </w:numPr>
        <w:tabs>
          <w:tab w:val="left" w:pos="567"/>
        </w:tabs>
        <w:spacing w:line="240" w:lineRule="auto"/>
        <w:ind w:left="993" w:right="-2" w:hanging="709"/>
        <w:rPr>
          <w:color w:val="000000"/>
          <w:sz w:val="22"/>
        </w:rPr>
      </w:pPr>
      <w:r>
        <w:rPr>
          <w:color w:val="000000"/>
          <w:sz w:val="22"/>
        </w:rPr>
        <w:t>Subtitle—brief description of the notice</w:t>
      </w:r>
    </w:p>
    <w:p w:rsidR="00CD586C" w:rsidRPr="004B39A1" w:rsidRDefault="00CD586C" w:rsidP="00C03A6A">
      <w:pPr>
        <w:numPr>
          <w:ilvl w:val="0"/>
          <w:numId w:val="4"/>
        </w:numPr>
        <w:tabs>
          <w:tab w:val="left" w:pos="567"/>
        </w:tabs>
        <w:spacing w:line="240" w:lineRule="auto"/>
        <w:ind w:left="993" w:right="-2" w:hanging="709"/>
        <w:rPr>
          <w:color w:val="000000"/>
          <w:sz w:val="22"/>
        </w:rPr>
      </w:pPr>
      <w:r w:rsidRPr="004B39A1">
        <w:rPr>
          <w:color w:val="000000"/>
          <w:sz w:val="22"/>
        </w:rPr>
        <w:t>A structured body of text</w:t>
      </w:r>
    </w:p>
    <w:p w:rsidR="00CD586C" w:rsidRPr="004B39A1" w:rsidRDefault="00CD586C" w:rsidP="00C03A6A">
      <w:pPr>
        <w:numPr>
          <w:ilvl w:val="0"/>
          <w:numId w:val="4"/>
        </w:numPr>
        <w:tabs>
          <w:tab w:val="left" w:pos="567"/>
        </w:tabs>
        <w:spacing w:line="240" w:lineRule="auto"/>
        <w:ind w:left="993" w:right="-2" w:hanging="709"/>
        <w:rPr>
          <w:color w:val="000000"/>
          <w:sz w:val="22"/>
        </w:rPr>
      </w:pPr>
      <w:r w:rsidRPr="004B39A1">
        <w:rPr>
          <w:color w:val="000000"/>
          <w:sz w:val="22"/>
        </w:rPr>
        <w:t>Date of authorisation</w:t>
      </w:r>
    </w:p>
    <w:p w:rsidR="00CD586C" w:rsidRPr="00C53FED" w:rsidRDefault="00CD586C" w:rsidP="00C03A6A">
      <w:pPr>
        <w:numPr>
          <w:ilvl w:val="0"/>
          <w:numId w:val="4"/>
        </w:numPr>
        <w:tabs>
          <w:tab w:val="left" w:pos="567"/>
        </w:tabs>
        <w:spacing w:line="240" w:lineRule="auto"/>
        <w:ind w:left="993" w:right="-2" w:hanging="709"/>
        <w:rPr>
          <w:color w:val="000000"/>
          <w:sz w:val="22"/>
        </w:rPr>
      </w:pPr>
      <w:r w:rsidRPr="004B39A1">
        <w:rPr>
          <w:color w:val="000000"/>
          <w:sz w:val="22"/>
        </w:rPr>
        <w:t xml:space="preserve">Name, position, and </w:t>
      </w:r>
      <w:r>
        <w:rPr>
          <w:color w:val="000000"/>
          <w:sz w:val="22"/>
        </w:rPr>
        <w:t xml:space="preserve">government </w:t>
      </w:r>
      <w:r w:rsidRPr="004B39A1">
        <w:rPr>
          <w:color w:val="000000"/>
          <w:sz w:val="22"/>
        </w:rPr>
        <w:t>department/organisation of the person</w:t>
      </w:r>
      <w:r w:rsidRPr="00704344">
        <w:rPr>
          <w:color w:val="000000"/>
          <w:sz w:val="22"/>
        </w:rPr>
        <w:t xml:space="preserve"> </w:t>
      </w:r>
      <w:r w:rsidRPr="004B39A1">
        <w:rPr>
          <w:color w:val="000000"/>
          <w:sz w:val="22"/>
        </w:rPr>
        <w:t>authorising</w:t>
      </w:r>
      <w:r>
        <w:rPr>
          <w:color w:val="000000"/>
          <w:sz w:val="22"/>
        </w:rPr>
        <w:t xml:space="preserve"> the notice</w:t>
      </w: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4C4DE5"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160" w:line="240" w:lineRule="auto"/>
        <w:rPr>
          <w:rFonts w:eastAsia="Times New Roman"/>
          <w:b/>
          <w:color w:val="000000"/>
          <w:sz w:val="24"/>
          <w:szCs w:val="24"/>
          <w:lang w:eastAsia="en-AU"/>
        </w:rPr>
      </w:pPr>
      <w:r w:rsidRPr="004C4DE5">
        <w:rPr>
          <w:rFonts w:eastAsia="Times New Roman"/>
          <w:b/>
          <w:color w:val="000000"/>
          <w:sz w:val="24"/>
          <w:szCs w:val="24"/>
          <w:lang w:eastAsia="en-AU"/>
        </w:rPr>
        <w:t>Please provide the following information in your email:</w:t>
      </w:r>
    </w:p>
    <w:p w:rsidR="00CD586C" w:rsidRPr="00C53FED" w:rsidRDefault="00CD586C" w:rsidP="00C03A6A">
      <w:pPr>
        <w:numPr>
          <w:ilvl w:val="0"/>
          <w:numId w:val="4"/>
        </w:numPr>
        <w:tabs>
          <w:tab w:val="left" w:pos="567"/>
          <w:tab w:val="left" w:pos="8754"/>
        </w:tabs>
        <w:spacing w:line="240" w:lineRule="auto"/>
        <w:ind w:left="993" w:right="-2" w:hanging="709"/>
        <w:rPr>
          <w:color w:val="000000"/>
          <w:sz w:val="22"/>
        </w:rPr>
      </w:pPr>
      <w:r w:rsidRPr="00C53FED">
        <w:rPr>
          <w:color w:val="000000"/>
          <w:sz w:val="22"/>
        </w:rPr>
        <w:t xml:space="preserve">Date </w:t>
      </w:r>
      <w:r>
        <w:rPr>
          <w:color w:val="000000"/>
          <w:sz w:val="22"/>
        </w:rPr>
        <w:t>of intended publication</w:t>
      </w:r>
    </w:p>
    <w:p w:rsidR="00CD586C" w:rsidRPr="00C53FED" w:rsidRDefault="00CD586C" w:rsidP="00C03A6A">
      <w:pPr>
        <w:numPr>
          <w:ilvl w:val="0"/>
          <w:numId w:val="4"/>
        </w:numPr>
        <w:tabs>
          <w:tab w:val="left" w:pos="567"/>
          <w:tab w:val="left" w:pos="8754"/>
        </w:tabs>
        <w:spacing w:line="240" w:lineRule="auto"/>
        <w:ind w:left="993" w:right="-2" w:hanging="709"/>
        <w:rPr>
          <w:color w:val="000000"/>
          <w:sz w:val="22"/>
        </w:rPr>
      </w:pPr>
      <w:r>
        <w:rPr>
          <w:color w:val="000000"/>
          <w:sz w:val="22"/>
        </w:rPr>
        <w:t>Contact details</w:t>
      </w:r>
      <w:r w:rsidRPr="00C53FED">
        <w:rPr>
          <w:color w:val="000000"/>
          <w:sz w:val="22"/>
        </w:rPr>
        <w:t xml:space="preserve"> of</w:t>
      </w:r>
      <w:r>
        <w:rPr>
          <w:color w:val="000000"/>
          <w:sz w:val="22"/>
        </w:rPr>
        <w:t xml:space="preserve"> at least two people responsible for</w:t>
      </w:r>
      <w:r w:rsidRPr="00C53FED">
        <w:rPr>
          <w:color w:val="000000"/>
          <w:sz w:val="22"/>
        </w:rPr>
        <w:t xml:space="preserve"> the </w:t>
      </w:r>
      <w:r>
        <w:rPr>
          <w:color w:val="000000"/>
          <w:sz w:val="22"/>
        </w:rPr>
        <w:t>notice content</w:t>
      </w:r>
    </w:p>
    <w:p w:rsidR="00CD586C" w:rsidRPr="000835E8" w:rsidRDefault="00CD586C" w:rsidP="00C03A6A">
      <w:pPr>
        <w:numPr>
          <w:ilvl w:val="0"/>
          <w:numId w:val="4"/>
        </w:numPr>
        <w:tabs>
          <w:tab w:val="left" w:pos="567"/>
          <w:tab w:val="left" w:pos="8754"/>
        </w:tabs>
        <w:spacing w:line="240" w:lineRule="auto"/>
        <w:ind w:left="993" w:right="-2" w:hanging="709"/>
        <w:rPr>
          <w:color w:val="000000"/>
          <w:spacing w:val="-5"/>
          <w:sz w:val="22"/>
        </w:rPr>
      </w:pPr>
      <w:r w:rsidRPr="000835E8">
        <w:rPr>
          <w:color w:val="000000"/>
          <w:spacing w:val="-5"/>
          <w:sz w:val="22"/>
        </w:rPr>
        <w:t>Name of the person and organisation to be charged for the publication (Local Council and Public notices)</w:t>
      </w:r>
    </w:p>
    <w:p w:rsidR="00CD586C" w:rsidRPr="00C53FED" w:rsidRDefault="00CD586C" w:rsidP="00C03A6A">
      <w:pPr>
        <w:numPr>
          <w:ilvl w:val="0"/>
          <w:numId w:val="4"/>
        </w:numPr>
        <w:tabs>
          <w:tab w:val="left" w:pos="567"/>
          <w:tab w:val="left" w:pos="8754"/>
        </w:tabs>
        <w:spacing w:line="240" w:lineRule="auto"/>
        <w:ind w:left="993" w:right="-2" w:hanging="709"/>
        <w:rPr>
          <w:color w:val="000000"/>
          <w:sz w:val="22"/>
        </w:rPr>
      </w:pPr>
      <w:r>
        <w:rPr>
          <w:color w:val="000000"/>
          <w:sz w:val="22"/>
        </w:rPr>
        <w:t>Request for</w:t>
      </w:r>
      <w:r w:rsidRPr="00C53FED">
        <w:rPr>
          <w:color w:val="000000"/>
          <w:sz w:val="22"/>
        </w:rPr>
        <w:t xml:space="preserve"> a quote</w:t>
      </w:r>
      <w:r>
        <w:rPr>
          <w:color w:val="000000"/>
          <w:sz w:val="22"/>
        </w:rPr>
        <w:t>,</w:t>
      </w:r>
      <w:r w:rsidRPr="00C53FED">
        <w:rPr>
          <w:color w:val="000000"/>
          <w:sz w:val="22"/>
        </w:rPr>
        <w:t xml:space="preserve"> i</w:t>
      </w:r>
      <w:r>
        <w:rPr>
          <w:color w:val="000000"/>
          <w:sz w:val="22"/>
        </w:rPr>
        <w:t>f</w:t>
      </w:r>
      <w:r w:rsidRPr="00C53FED">
        <w:rPr>
          <w:color w:val="000000"/>
          <w:sz w:val="22"/>
        </w:rPr>
        <w:t xml:space="preserve"> required</w:t>
      </w:r>
    </w:p>
    <w:p w:rsidR="00CD586C" w:rsidRPr="00C53FED" w:rsidRDefault="00CD586C" w:rsidP="00C03A6A">
      <w:pPr>
        <w:numPr>
          <w:ilvl w:val="0"/>
          <w:numId w:val="4"/>
        </w:numPr>
        <w:tabs>
          <w:tab w:val="left" w:pos="567"/>
          <w:tab w:val="left" w:pos="8754"/>
        </w:tabs>
        <w:spacing w:line="240" w:lineRule="auto"/>
        <w:ind w:left="993" w:right="-2" w:hanging="709"/>
        <w:rPr>
          <w:color w:val="000000"/>
          <w:sz w:val="22"/>
        </w:rPr>
      </w:pPr>
      <w:r>
        <w:rPr>
          <w:color w:val="000000"/>
          <w:sz w:val="22"/>
        </w:rPr>
        <w:t>P</w:t>
      </w:r>
      <w:r w:rsidRPr="00C53FED">
        <w:rPr>
          <w:color w:val="000000"/>
          <w:sz w:val="22"/>
        </w:rPr>
        <w:t>urchase order</w:t>
      </w:r>
      <w:r>
        <w:rPr>
          <w:color w:val="000000"/>
          <w:sz w:val="22"/>
        </w:rPr>
        <w:t>,</w:t>
      </w:r>
      <w:r w:rsidRPr="00C53FED">
        <w:rPr>
          <w:color w:val="000000"/>
          <w:sz w:val="22"/>
        </w:rPr>
        <w:t xml:space="preserve"> if required</w:t>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 w:val="left" w:pos="3969"/>
          <w:tab w:val="left" w:pos="7088"/>
          <w:tab w:val="left" w:pos="7230"/>
        </w:tabs>
        <w:spacing w:after="160" w:line="240" w:lineRule="auto"/>
        <w:ind w:left="2268" w:right="601"/>
        <w:jc w:val="left"/>
        <w:rPr>
          <w:rFonts w:eastAsia="Times New Roman"/>
          <w:color w:val="0000FF"/>
          <w:sz w:val="24"/>
          <w:u w:val="single"/>
          <w:lang w:eastAsia="en-AU"/>
        </w:rPr>
      </w:pPr>
      <w:r w:rsidRPr="00251FEE">
        <w:rPr>
          <w:smallCaps/>
          <w:color w:val="000000"/>
          <w:sz w:val="24"/>
        </w:rPr>
        <w:t>Email:</w:t>
      </w:r>
      <w:r>
        <w:rPr>
          <w:smallCaps/>
          <w:color w:val="000000"/>
          <w:sz w:val="24"/>
        </w:rPr>
        <w:tab/>
      </w:r>
      <w:hyperlink r:id="rId164" w:history="1">
        <w:r w:rsidRPr="006F0122">
          <w:rPr>
            <w:rStyle w:val="Hyperlink"/>
            <w:rFonts w:eastAsia="Times New Roman"/>
            <w:sz w:val="24"/>
            <w:lang w:eastAsia="en-AU"/>
          </w:rPr>
          <w:t>governmentgazettesa@sa.gov.au</w:t>
        </w:r>
      </w:hyperlink>
    </w:p>
    <w:p w:rsidR="00CD586C" w:rsidRPr="00251FEE" w:rsidRDefault="00CD586C" w:rsidP="00CD586C">
      <w:pPr>
        <w:tabs>
          <w:tab w:val="left" w:pos="960"/>
          <w:tab w:val="left" w:pos="1280"/>
          <w:tab w:val="left" w:pos="1600"/>
          <w:tab w:val="left" w:pos="3969"/>
          <w:tab w:val="left" w:pos="7088"/>
          <w:tab w:val="left" w:pos="7230"/>
        </w:tabs>
        <w:spacing w:after="160" w:line="240" w:lineRule="auto"/>
        <w:ind w:left="2268" w:right="601"/>
        <w:jc w:val="left"/>
        <w:rPr>
          <w:smallCaps/>
          <w:color w:val="000000"/>
          <w:sz w:val="24"/>
        </w:rPr>
      </w:pPr>
      <w:r w:rsidRPr="00251FEE">
        <w:rPr>
          <w:smallCaps/>
          <w:color w:val="000000"/>
          <w:sz w:val="24"/>
        </w:rPr>
        <w:t>Phone:</w:t>
      </w:r>
      <w:r>
        <w:rPr>
          <w:smallCaps/>
          <w:color w:val="000000"/>
          <w:sz w:val="24"/>
        </w:rPr>
        <w:tab/>
      </w:r>
      <w:r w:rsidRPr="00251FEE">
        <w:rPr>
          <w:smallCaps/>
          <w:color w:val="000000"/>
          <w:sz w:val="24"/>
        </w:rPr>
        <w:t>(08) </w:t>
      </w:r>
      <w:r>
        <w:rPr>
          <w:smallCaps/>
          <w:color w:val="000000"/>
          <w:sz w:val="24"/>
        </w:rPr>
        <w:t>7109</w:t>
      </w:r>
      <w:r w:rsidRPr="00251FEE">
        <w:rPr>
          <w:smallCaps/>
          <w:color w:val="000000"/>
          <w:sz w:val="24"/>
        </w:rPr>
        <w:t> </w:t>
      </w:r>
      <w:r>
        <w:rPr>
          <w:smallCaps/>
          <w:color w:val="000000"/>
          <w:sz w:val="24"/>
        </w:rPr>
        <w:t>7760</w:t>
      </w:r>
    </w:p>
    <w:p w:rsidR="00CD586C" w:rsidRPr="00251FEE" w:rsidRDefault="00CD586C" w:rsidP="00CD586C">
      <w:pPr>
        <w:tabs>
          <w:tab w:val="left" w:pos="960"/>
          <w:tab w:val="left" w:pos="1280"/>
          <w:tab w:val="left" w:pos="1600"/>
          <w:tab w:val="left" w:pos="3969"/>
          <w:tab w:val="left" w:pos="7088"/>
          <w:tab w:val="left" w:pos="7230"/>
        </w:tabs>
        <w:spacing w:line="240" w:lineRule="auto"/>
        <w:ind w:left="2268" w:right="601"/>
        <w:jc w:val="left"/>
        <w:rPr>
          <w:smallCaps/>
          <w:color w:val="000000"/>
          <w:sz w:val="24"/>
        </w:rPr>
      </w:pPr>
      <w:r w:rsidRPr="00251FEE">
        <w:rPr>
          <w:smallCaps/>
          <w:color w:val="000000"/>
          <w:sz w:val="24"/>
        </w:rPr>
        <w:t>Website:</w:t>
      </w:r>
      <w:r>
        <w:rPr>
          <w:smallCaps/>
          <w:color w:val="000000"/>
          <w:sz w:val="24"/>
        </w:rPr>
        <w:tab/>
      </w:r>
      <w:hyperlink r:id="rId165" w:history="1">
        <w:r w:rsidRPr="00251FEE">
          <w:rPr>
            <w:rFonts w:eastAsia="Times New Roman"/>
            <w:color w:val="0000FF"/>
            <w:sz w:val="24"/>
            <w:u w:val="single"/>
            <w:lang w:eastAsia="en-AU"/>
          </w:rPr>
          <w:t>www.governmentgazette.sa.gov.au</w:t>
        </w:r>
      </w:hyperlink>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144772" w:rsidRDefault="00CD586C" w:rsidP="00CD586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rsidR="00CD586C" w:rsidRPr="00144772" w:rsidRDefault="00CD586C" w:rsidP="00CD586C">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CD586C" w:rsidRPr="00777F88" w:rsidRDefault="00CD586C" w:rsidP="00CD586C">
      <w:pPr>
        <w:pStyle w:val="Footer"/>
        <w:spacing w:before="180" w:line="170" w:lineRule="exact"/>
        <w:jc w:val="center"/>
        <w:rPr>
          <w:szCs w:val="17"/>
        </w:rPr>
      </w:pPr>
      <w:r w:rsidRPr="00777F88">
        <w:rPr>
          <w:szCs w:val="17"/>
        </w:rPr>
        <w:t xml:space="preserve">Printed and published weekly by authority of </w:t>
      </w:r>
      <w:r>
        <w:rPr>
          <w:szCs w:val="17"/>
        </w:rPr>
        <w:t xml:space="preserve">S. </w:t>
      </w:r>
      <w:r w:rsidRPr="00121D2F">
        <w:rPr>
          <w:smallCaps/>
          <w:szCs w:val="17"/>
        </w:rPr>
        <w:t>Smith</w:t>
      </w:r>
      <w:r w:rsidRPr="00732A1E">
        <w:rPr>
          <w:szCs w:val="17"/>
        </w:rPr>
        <w:t xml:space="preserve">, </w:t>
      </w:r>
      <w:r w:rsidRPr="00B33677">
        <w:rPr>
          <w:szCs w:val="17"/>
        </w:rPr>
        <w:t>Government</w:t>
      </w:r>
      <w:r w:rsidRPr="00777F88">
        <w:rPr>
          <w:szCs w:val="17"/>
        </w:rPr>
        <w:t xml:space="preserve"> Printer, South Australia</w:t>
      </w:r>
    </w:p>
    <w:p w:rsidR="00CD586C" w:rsidRPr="00777F88" w:rsidRDefault="00CD586C" w:rsidP="00CD586C">
      <w:pPr>
        <w:pStyle w:val="Footer"/>
        <w:spacing w:line="170" w:lineRule="exact"/>
        <w:jc w:val="center"/>
        <w:rPr>
          <w:szCs w:val="17"/>
        </w:rPr>
      </w:pPr>
      <w:r>
        <w:rPr>
          <w:szCs w:val="17"/>
        </w:rPr>
        <w:t>$7.</w:t>
      </w:r>
      <w:r w:rsidR="00795CE4">
        <w:rPr>
          <w:szCs w:val="17"/>
        </w:rPr>
        <w:t>85</w:t>
      </w:r>
      <w:r w:rsidRPr="00777F88">
        <w:rPr>
          <w:szCs w:val="17"/>
        </w:rPr>
        <w:t xml:space="preserve"> </w:t>
      </w:r>
      <w:r>
        <w:rPr>
          <w:szCs w:val="17"/>
        </w:rPr>
        <w:t>per issue (plus postage), $3</w:t>
      </w:r>
      <w:r w:rsidR="00795CE4">
        <w:rPr>
          <w:szCs w:val="17"/>
        </w:rPr>
        <w:t>95</w:t>
      </w:r>
      <w:r w:rsidR="00E604FA">
        <w:rPr>
          <w:szCs w:val="17"/>
        </w:rPr>
        <w:t>.00</w:t>
      </w:r>
      <w:r w:rsidRPr="00777F88">
        <w:rPr>
          <w:szCs w:val="17"/>
        </w:rPr>
        <w:t xml:space="preserve"> per annual subscription—GST inclusive</w:t>
      </w:r>
    </w:p>
    <w:p w:rsidR="00D0446B" w:rsidRPr="00C77C39" w:rsidRDefault="00CD586C" w:rsidP="00CD586C">
      <w:pPr>
        <w:pStyle w:val="Footer"/>
        <w:spacing w:line="170" w:lineRule="exact"/>
        <w:jc w:val="center"/>
        <w:rPr>
          <w:szCs w:val="17"/>
        </w:rPr>
      </w:pPr>
      <w:r w:rsidRPr="00777F88">
        <w:rPr>
          <w:szCs w:val="17"/>
        </w:rPr>
        <w:t xml:space="preserve">Online publications: </w:t>
      </w:r>
      <w:hyperlink r:id="rId166" w:history="1">
        <w:r w:rsidRPr="000B6B42">
          <w:rPr>
            <w:rStyle w:val="Hyperlink"/>
            <w:szCs w:val="17"/>
          </w:rPr>
          <w:t>www.governmentgazette.sa.gov.au</w:t>
        </w:r>
      </w:hyperlink>
      <w:r>
        <w:rPr>
          <w:szCs w:val="17"/>
        </w:rPr>
        <w:t xml:space="preserve"> </w:t>
      </w:r>
    </w:p>
    <w:sectPr w:rsidR="00D0446B" w:rsidRPr="00C77C39" w:rsidSect="00821027">
      <w:headerReference w:type="even" r:id="rId167"/>
      <w:headerReference w:type="default" r:id="rId168"/>
      <w:pgSz w:w="11906" w:h="16838"/>
      <w:pgMar w:top="1673" w:right="1259" w:bottom="1134" w:left="1293" w:header="1134" w:footer="936" w:gutter="0"/>
      <w:cols w:space="2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69C7" w:rsidRDefault="008B69C7" w:rsidP="00777F88">
      <w:pPr>
        <w:spacing w:after="0" w:line="240" w:lineRule="auto"/>
      </w:pPr>
      <w:r>
        <w:separator/>
      </w:r>
    </w:p>
  </w:endnote>
  <w:endnote w:type="continuationSeparator" w:id="0">
    <w:p w:rsidR="008B69C7" w:rsidRDefault="008B69C7"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G Times">
    <w:charset w:val="00"/>
    <w:family w:val="roman"/>
    <w:pitch w:val="variable"/>
    <w:sig w:usb0="00000007" w:usb1="00000000" w:usb2="00000000" w:usb3="00000000" w:csb0="00000093" w:csb1="00000000"/>
  </w:font>
  <w:font w:name="Times-Roman">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AFHDL H+ Helvetica Neue">
    <w:altName w:val="Helvetica Neue"/>
    <w:panose1 w:val="00000000000000000000"/>
    <w:charset w:val="00"/>
    <w:family w:val="swiss"/>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Source Sans Pro">
    <w:altName w:val="Corbel"/>
    <w:charset w:val="00"/>
    <w:family w:val="swiss"/>
    <w:pitch w:val="variable"/>
    <w:sig w:usb0="20000007" w:usb1="00000001" w:usb2="00000000" w:usb3="00000000" w:csb0="00000193" w:csb1="00000000"/>
  </w:font>
  <w:font w:name="Calibri-Light">
    <w:altName w:val="Calibri Light"/>
    <w:panose1 w:val="00000000000000000000"/>
    <w:charset w:val="4D"/>
    <w:family w:val="auto"/>
    <w:notTrueType/>
    <w:pitch w:val="default"/>
    <w:sig w:usb0="00000003" w:usb1="00000000" w:usb2="00000000" w:usb3="00000000" w:csb0="00000001" w:csb1="00000000"/>
  </w:font>
  <w:font w:name="Vani">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9C7" w:rsidRPr="00D0446B" w:rsidRDefault="008B69C7" w:rsidP="00D0446B">
    <w:pPr>
      <w:pStyle w:val="Footer"/>
    </w:pPr>
    <w:r w:rsidRPr="00D0446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9C7" w:rsidRPr="00144772" w:rsidRDefault="008B69C7"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rsidR="008B69C7" w:rsidRPr="00144772" w:rsidRDefault="008B69C7"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8B69C7" w:rsidRPr="00777F88" w:rsidRDefault="008B69C7" w:rsidP="00D0446B">
    <w:pPr>
      <w:pStyle w:val="Footer"/>
      <w:spacing w:before="180" w:line="170" w:lineRule="exact"/>
      <w:jc w:val="center"/>
      <w:rPr>
        <w:szCs w:val="17"/>
      </w:rPr>
    </w:pPr>
    <w:r w:rsidRPr="00777F88">
      <w:rPr>
        <w:szCs w:val="17"/>
      </w:rPr>
      <w:t xml:space="preserve">Printed and published weekly by authority of </w:t>
    </w:r>
    <w:r>
      <w:rPr>
        <w:szCs w:val="17"/>
      </w:rPr>
      <w:t xml:space="preserve">S. </w:t>
    </w:r>
    <w:r w:rsidRPr="00121D2F">
      <w:rPr>
        <w:smallCaps/>
        <w:szCs w:val="17"/>
      </w:rPr>
      <w:t>Smith</w:t>
    </w:r>
    <w:r w:rsidRPr="00732A1E">
      <w:rPr>
        <w:szCs w:val="17"/>
      </w:rPr>
      <w:t xml:space="preserve">, </w:t>
    </w:r>
    <w:r w:rsidRPr="00B33677">
      <w:rPr>
        <w:szCs w:val="17"/>
      </w:rPr>
      <w:t>Government</w:t>
    </w:r>
    <w:r w:rsidRPr="00777F88">
      <w:rPr>
        <w:szCs w:val="17"/>
      </w:rPr>
      <w:t xml:space="preserve"> Printer, South Australia</w:t>
    </w:r>
  </w:p>
  <w:p w:rsidR="008B69C7" w:rsidRPr="00777F88" w:rsidRDefault="008B69C7" w:rsidP="00D0446B">
    <w:pPr>
      <w:pStyle w:val="Footer"/>
      <w:spacing w:line="170" w:lineRule="exact"/>
      <w:jc w:val="center"/>
      <w:rPr>
        <w:szCs w:val="17"/>
      </w:rPr>
    </w:pPr>
    <w:r w:rsidRPr="000C7EA3">
      <w:rPr>
        <w:szCs w:val="17"/>
      </w:rPr>
      <w:t>$7.</w:t>
    </w:r>
    <w:r>
      <w:rPr>
        <w:szCs w:val="17"/>
      </w:rPr>
      <w:t>85</w:t>
    </w:r>
    <w:r w:rsidRPr="000C7EA3">
      <w:rPr>
        <w:szCs w:val="17"/>
      </w:rPr>
      <w:t xml:space="preserve"> per issue (plus postage), $3</w:t>
    </w:r>
    <w:r>
      <w:rPr>
        <w:szCs w:val="17"/>
      </w:rPr>
      <w:t>95</w:t>
    </w:r>
    <w:r w:rsidRPr="000C7EA3">
      <w:rPr>
        <w:szCs w:val="17"/>
      </w:rPr>
      <w:t>.</w:t>
    </w:r>
    <w:r>
      <w:rPr>
        <w:szCs w:val="17"/>
      </w:rPr>
      <w:t>0</w:t>
    </w:r>
    <w:r w:rsidRPr="000C7EA3">
      <w:rPr>
        <w:szCs w:val="17"/>
      </w:rPr>
      <w:t>0 per annual subscription—GST inclusive</w:t>
    </w:r>
  </w:p>
  <w:p w:rsidR="008B69C7" w:rsidRPr="00D0446B" w:rsidRDefault="008B69C7"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9C7" w:rsidRPr="00D0446B" w:rsidRDefault="008B69C7" w:rsidP="00D0446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9C7" w:rsidRPr="00144772" w:rsidRDefault="008B69C7"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rsidR="008B69C7" w:rsidRPr="00144772" w:rsidRDefault="008B69C7"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8B69C7" w:rsidRPr="00777F88" w:rsidRDefault="008B69C7"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rsidR="008B69C7" w:rsidRPr="00777F88" w:rsidRDefault="008B69C7" w:rsidP="00D0446B">
    <w:pPr>
      <w:pStyle w:val="Footer"/>
      <w:spacing w:line="170" w:lineRule="exact"/>
      <w:jc w:val="center"/>
      <w:rPr>
        <w:szCs w:val="17"/>
      </w:rPr>
    </w:pPr>
    <w:r w:rsidRPr="00777F88">
      <w:rPr>
        <w:szCs w:val="17"/>
      </w:rPr>
      <w:t>$7.21 per issue (plus postage), $361.90 per annual subscription—GST inclusive</w:t>
    </w:r>
  </w:p>
  <w:p w:rsidR="008B69C7" w:rsidRPr="00D0446B" w:rsidRDefault="008B69C7"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69C7" w:rsidRDefault="008B69C7" w:rsidP="00777F88">
      <w:pPr>
        <w:spacing w:after="0" w:line="240" w:lineRule="auto"/>
      </w:pPr>
      <w:r>
        <w:separator/>
      </w:r>
    </w:p>
  </w:footnote>
  <w:footnote w:type="continuationSeparator" w:id="0">
    <w:p w:rsidR="008B69C7" w:rsidRDefault="008B69C7" w:rsidP="00777F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9C7" w:rsidRPr="0034074D" w:rsidRDefault="008B69C7"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rsidR="008B69C7" w:rsidRPr="0034074D" w:rsidRDefault="008B69C7" w:rsidP="0034074D">
    <w:pPr>
      <w:pStyle w:val="Header"/>
      <w:pBdr>
        <w:top w:val="single" w:sz="4" w:space="1" w:color="auto"/>
      </w:pBdr>
      <w:tabs>
        <w:tab w:val="clear" w:pos="9026"/>
        <w:tab w:val="right" w:pos="9360"/>
      </w:tabs>
      <w:spacing w:before="100" w:line="14" w:lineRule="exact"/>
      <w:jc w:val="center"/>
      <w:rPr>
        <w:sz w:val="20"/>
        <w:szCs w:val="20"/>
      </w:rPr>
    </w:pPr>
  </w:p>
  <w:p w:rsidR="008B69C7" w:rsidRPr="0034074D" w:rsidRDefault="008B69C7" w:rsidP="0034074D">
    <w:pPr>
      <w:pStyle w:val="Header"/>
      <w:spacing w:line="170" w:lineRule="exact"/>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9C7" w:rsidRPr="00DA30CF" w:rsidRDefault="008B69C7" w:rsidP="00DA30CF">
    <w:pPr>
      <w:pStyle w:val="Header"/>
      <w:spacing w:line="170" w:lineRule="exact"/>
      <w:rPr>
        <w:szCs w:val="17"/>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9C7" w:rsidRPr="00C25241" w:rsidRDefault="008B69C7" w:rsidP="007B4546">
    <w:pPr>
      <w:pStyle w:val="Header"/>
      <w:tabs>
        <w:tab w:val="clear" w:pos="9026"/>
        <w:tab w:val="right" w:pos="9354"/>
      </w:tabs>
      <w:spacing w:before="200"/>
      <w:rPr>
        <w:sz w:val="21"/>
        <w:szCs w:val="21"/>
      </w:rPr>
    </w:pPr>
    <w:r w:rsidRPr="00C25241">
      <w:rPr>
        <w:sz w:val="21"/>
        <w:szCs w:val="21"/>
      </w:rPr>
      <w:t xml:space="preserve">No. </w:t>
    </w:r>
    <w:r>
      <w:rPr>
        <w:sz w:val="21"/>
        <w:szCs w:val="21"/>
      </w:rPr>
      <w:t>97</w:t>
    </w:r>
    <w:r>
      <w:tab/>
    </w:r>
    <w:r>
      <w:tab/>
    </w:r>
    <w:r w:rsidRPr="00C77C39">
      <w:rPr>
        <w:sz w:val="21"/>
        <w:szCs w:val="21"/>
      </w:rPr>
      <w:t>p.</w:t>
    </w:r>
    <w:r>
      <w:t xml:space="preserve"> </w:t>
    </w:r>
    <w:r w:rsidRPr="00C25241">
      <w:rPr>
        <w:sz w:val="21"/>
        <w:szCs w:val="21"/>
      </w:rPr>
      <w:fldChar w:fldCharType="begin"/>
    </w:r>
    <w:r w:rsidRPr="00C25241">
      <w:rPr>
        <w:sz w:val="21"/>
        <w:szCs w:val="21"/>
      </w:rPr>
      <w:instrText xml:space="preserve"> PAGE   \* MERGEFORMAT </w:instrText>
    </w:r>
    <w:r w:rsidRPr="00C25241">
      <w:rPr>
        <w:sz w:val="21"/>
        <w:szCs w:val="21"/>
      </w:rPr>
      <w:fldChar w:fldCharType="separate"/>
    </w:r>
    <w:r w:rsidR="00607847">
      <w:rPr>
        <w:noProof/>
        <w:sz w:val="21"/>
        <w:szCs w:val="21"/>
      </w:rPr>
      <w:t>5739</w:t>
    </w:r>
    <w:r w:rsidRPr="00C25241">
      <w:rPr>
        <w:noProof/>
        <w:sz w:val="21"/>
        <w:szCs w:val="21"/>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9C7" w:rsidRPr="0034074D" w:rsidRDefault="008B69C7"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rsidR="008B69C7" w:rsidRPr="0034074D" w:rsidRDefault="008B69C7" w:rsidP="0034074D">
    <w:pPr>
      <w:pStyle w:val="Header"/>
      <w:pBdr>
        <w:top w:val="single" w:sz="4" w:space="1" w:color="auto"/>
      </w:pBdr>
      <w:tabs>
        <w:tab w:val="clear" w:pos="9026"/>
        <w:tab w:val="right" w:pos="9360"/>
      </w:tabs>
      <w:spacing w:before="100" w:line="14" w:lineRule="exact"/>
      <w:jc w:val="center"/>
      <w:rPr>
        <w:sz w:val="20"/>
        <w:szCs w:val="20"/>
      </w:rPr>
    </w:pPr>
  </w:p>
  <w:p w:rsidR="008B69C7" w:rsidRPr="0034074D" w:rsidRDefault="008B69C7" w:rsidP="0034074D">
    <w:pPr>
      <w:pStyle w:val="Header"/>
      <w:spacing w:line="170" w:lineRule="exact"/>
      <w:rPr>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9C7" w:rsidRPr="00DA30CF" w:rsidRDefault="008B69C7" w:rsidP="00DA30CF">
    <w:pPr>
      <w:pStyle w:val="Header"/>
      <w:spacing w:line="170" w:lineRule="exact"/>
      <w:rPr>
        <w:szCs w:val="17"/>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9C7" w:rsidRPr="00C25241" w:rsidRDefault="008B69C7" w:rsidP="00C25241">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97 p. </w:t>
    </w:r>
    <w:r w:rsidRPr="00C25241">
      <w:rPr>
        <w:rFonts w:eastAsia="Times New Roman"/>
        <w:sz w:val="21"/>
        <w:szCs w:val="21"/>
      </w:rPr>
      <w:fldChar w:fldCharType="begin"/>
    </w:r>
    <w:r w:rsidRPr="00C25241">
      <w:rPr>
        <w:rFonts w:eastAsia="Times New Roman"/>
        <w:sz w:val="21"/>
        <w:szCs w:val="21"/>
      </w:rPr>
      <w:instrText xml:space="preserve"> PAGE   \* MERGEFORMAT </w:instrText>
    </w:r>
    <w:r w:rsidRPr="00C25241">
      <w:rPr>
        <w:rFonts w:eastAsia="Times New Roman"/>
        <w:sz w:val="21"/>
        <w:szCs w:val="21"/>
      </w:rPr>
      <w:fldChar w:fldCharType="separate"/>
    </w:r>
    <w:r w:rsidR="00607847">
      <w:rPr>
        <w:rFonts w:eastAsia="Times New Roman"/>
        <w:noProof/>
        <w:sz w:val="21"/>
        <w:szCs w:val="21"/>
      </w:rPr>
      <w:t>6012</w:t>
    </w:r>
    <w:r w:rsidRPr="00C25241">
      <w:rPr>
        <w:rFonts w:eastAsia="Times New Roman"/>
        <w:noProof/>
        <w:sz w:val="21"/>
        <w:szCs w:val="21"/>
      </w:rPr>
      <w:fldChar w:fldCharType="end"/>
    </w:r>
    <w:r w:rsidRPr="00C25241">
      <w:rPr>
        <w:rFonts w:eastAsia="Times New Roman"/>
        <w:sz w:val="21"/>
        <w:szCs w:val="21"/>
      </w:rPr>
      <w:tab/>
    </w:r>
    <w:r w:rsidRPr="00AD71CC">
      <w:rPr>
        <w:rFonts w:eastAsia="Times New Roman"/>
        <w:smallCaps/>
        <w:sz w:val="21"/>
        <w:szCs w:val="21"/>
      </w:rPr>
      <w:t>The South Australian Government Gazette</w:t>
    </w:r>
    <w:r w:rsidRPr="00C25241">
      <w:rPr>
        <w:rFonts w:eastAsia="Times New Roman"/>
        <w:sz w:val="21"/>
        <w:szCs w:val="21"/>
      </w:rPr>
      <w:tab/>
    </w:r>
    <w:r>
      <w:rPr>
        <w:rFonts w:eastAsia="Times New Roman"/>
        <w:sz w:val="21"/>
        <w:szCs w:val="21"/>
      </w:rPr>
      <w:t>17 December</w:t>
    </w:r>
    <w:r w:rsidRPr="00C9018A">
      <w:rPr>
        <w:rFonts w:eastAsia="Times New Roman"/>
        <w:sz w:val="21"/>
        <w:szCs w:val="21"/>
      </w:rPr>
      <w:t xml:space="preserve"> 20</w:t>
    </w:r>
    <w:r>
      <w:rPr>
        <w:rFonts w:eastAsia="Times New Roman"/>
        <w:sz w:val="21"/>
        <w:szCs w:val="21"/>
      </w:rPr>
      <w:t>20</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9C7" w:rsidRPr="00C25241" w:rsidRDefault="008B69C7" w:rsidP="00C25241">
    <w:pPr>
      <w:pBdr>
        <w:bottom w:val="single" w:sz="6"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17</w:t>
    </w:r>
    <w:r w:rsidRPr="00A55207">
      <w:rPr>
        <w:rFonts w:eastAsia="Times New Roman"/>
        <w:sz w:val="21"/>
        <w:szCs w:val="21"/>
      </w:rPr>
      <w:t xml:space="preserve"> </w:t>
    </w:r>
    <w:r>
      <w:rPr>
        <w:rFonts w:eastAsia="Times New Roman"/>
        <w:sz w:val="21"/>
        <w:szCs w:val="21"/>
      </w:rPr>
      <w:t>December</w:t>
    </w:r>
    <w:r w:rsidRPr="00A55207">
      <w:rPr>
        <w:rFonts w:eastAsia="Times New Roman"/>
        <w:sz w:val="21"/>
        <w:szCs w:val="21"/>
      </w:rPr>
      <w:t xml:space="preserve"> 20</w:t>
    </w:r>
    <w:r>
      <w:rPr>
        <w:rFonts w:eastAsia="Times New Roman"/>
        <w:sz w:val="21"/>
        <w:szCs w:val="21"/>
      </w:rPr>
      <w:t>20</w:t>
    </w:r>
    <w:r w:rsidRPr="00C25241">
      <w:rPr>
        <w:rFonts w:eastAsia="Times New Roman"/>
        <w:sz w:val="21"/>
        <w:szCs w:val="21"/>
      </w:rPr>
      <w:tab/>
    </w:r>
    <w:r w:rsidRPr="00AD71CC">
      <w:rPr>
        <w:rFonts w:eastAsia="Times New Roman"/>
        <w:smallCaps/>
        <w:sz w:val="21"/>
        <w:szCs w:val="21"/>
      </w:rPr>
      <w:t>The South Australian Government Gazette</w:t>
    </w:r>
    <w:r w:rsidRPr="00C25241">
      <w:rPr>
        <w:rFonts w:eastAsia="Times New Roman"/>
        <w:sz w:val="21"/>
        <w:szCs w:val="21"/>
      </w:rPr>
      <w:tab/>
    </w:r>
    <w:r>
      <w:rPr>
        <w:rFonts w:eastAsia="Times New Roman"/>
        <w:sz w:val="21"/>
        <w:szCs w:val="21"/>
      </w:rPr>
      <w:t xml:space="preserve">No. 97 p. </w:t>
    </w:r>
    <w:r w:rsidRPr="00C25241">
      <w:rPr>
        <w:rFonts w:eastAsia="Times New Roman"/>
        <w:sz w:val="21"/>
        <w:szCs w:val="21"/>
      </w:rPr>
      <w:fldChar w:fldCharType="begin"/>
    </w:r>
    <w:r w:rsidRPr="00C25241">
      <w:rPr>
        <w:rFonts w:eastAsia="Times New Roman"/>
        <w:sz w:val="21"/>
        <w:szCs w:val="21"/>
      </w:rPr>
      <w:instrText xml:space="preserve"> PAGE   \* MERGEFORMAT </w:instrText>
    </w:r>
    <w:r w:rsidRPr="00C25241">
      <w:rPr>
        <w:rFonts w:eastAsia="Times New Roman"/>
        <w:sz w:val="21"/>
        <w:szCs w:val="21"/>
      </w:rPr>
      <w:fldChar w:fldCharType="separate"/>
    </w:r>
    <w:r w:rsidR="00607847">
      <w:rPr>
        <w:rFonts w:eastAsia="Times New Roman"/>
        <w:noProof/>
        <w:sz w:val="21"/>
        <w:szCs w:val="21"/>
      </w:rPr>
      <w:t>6011</w:t>
    </w:r>
    <w:r w:rsidRPr="00C25241">
      <w:rPr>
        <w:rFonts w:eastAsia="Times New Roman"/>
        <w:noProof/>
        <w:sz w:val="21"/>
        <w:szCs w:val="21"/>
      </w:rPr>
      <w:fldChar w:fldCharType="end"/>
    </w:r>
  </w:p>
  <w:p w:rsidR="008B69C7" w:rsidRPr="00C25241" w:rsidRDefault="008B69C7">
    <w:pPr>
      <w:pStyle w:val="Header"/>
      <w:rPr>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BBDC9BFE"/>
    <w:lvl w:ilvl="0">
      <w:start w:val="1"/>
      <w:numFmt w:val="decimal"/>
      <w:lvlText w:val="%1."/>
      <w:lvlJc w:val="left"/>
      <w:pPr>
        <w:tabs>
          <w:tab w:val="num" w:pos="926"/>
        </w:tabs>
        <w:ind w:left="926" w:hanging="360"/>
      </w:pPr>
    </w:lvl>
  </w:abstractNum>
  <w:abstractNum w:abstractNumId="1" w15:restartNumberingAfterBreak="0">
    <w:nsid w:val="06CC6CBF"/>
    <w:multiLevelType w:val="hybridMultilevel"/>
    <w:tmpl w:val="43FA44F0"/>
    <w:lvl w:ilvl="0" w:tplc="729C4930">
      <w:start w:val="99"/>
      <w:numFmt w:val="decimal"/>
      <w:lvlText w:val="%1."/>
      <w:lvlJc w:val="left"/>
      <w:pPr>
        <w:tabs>
          <w:tab w:val="num" w:pos="360"/>
        </w:tabs>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496106"/>
    <w:multiLevelType w:val="hybridMultilevel"/>
    <w:tmpl w:val="1D0CCF54"/>
    <w:lvl w:ilvl="0" w:tplc="27BA5DE4">
      <w:start w:val="1"/>
      <w:numFmt w:val="decimal"/>
      <w:pStyle w:val="BulletNumber"/>
      <w:lvlText w:val="%1."/>
      <w:lvlJc w:val="left"/>
      <w:pPr>
        <w:tabs>
          <w:tab w:val="num" w:pos="36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C56762B"/>
    <w:multiLevelType w:val="multilevel"/>
    <w:tmpl w:val="9EC694AE"/>
    <w:lvl w:ilvl="0">
      <w:start w:val="1"/>
      <w:numFmt w:val="upperLetter"/>
      <w:pStyle w:val="Recitals"/>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4" w15:restartNumberingAfterBreak="0">
    <w:nsid w:val="11DF54CD"/>
    <w:multiLevelType w:val="singleLevel"/>
    <w:tmpl w:val="9A7ADCFE"/>
    <w:lvl w:ilvl="0">
      <w:start w:val="1"/>
      <w:numFmt w:val="bullet"/>
      <w:pStyle w:val="LetterBullet2"/>
      <w:lvlText w:val=""/>
      <w:lvlJc w:val="left"/>
      <w:pPr>
        <w:tabs>
          <w:tab w:val="num" w:pos="360"/>
        </w:tabs>
        <w:ind w:left="360" w:hanging="360"/>
      </w:pPr>
      <w:rPr>
        <w:rFonts w:ascii="Symbol" w:hAnsi="Symbol" w:hint="default"/>
      </w:rPr>
    </w:lvl>
  </w:abstractNum>
  <w:abstractNum w:abstractNumId="5" w15:restartNumberingAfterBreak="0">
    <w:nsid w:val="158F3348"/>
    <w:multiLevelType w:val="singleLevel"/>
    <w:tmpl w:val="426CBD98"/>
    <w:lvl w:ilvl="0">
      <w:start w:val="1"/>
      <w:numFmt w:val="bullet"/>
      <w:pStyle w:val="GSAMinuteBullet2"/>
      <w:lvlText w:val=""/>
      <w:lvlJc w:val="left"/>
      <w:pPr>
        <w:tabs>
          <w:tab w:val="num" w:pos="360"/>
        </w:tabs>
        <w:ind w:left="360" w:hanging="360"/>
      </w:pPr>
      <w:rPr>
        <w:rFonts w:ascii="Symbol" w:hAnsi="Symbol" w:hint="default"/>
      </w:rPr>
    </w:lvl>
  </w:abstractNum>
  <w:abstractNum w:abstractNumId="6" w15:restartNumberingAfterBreak="0">
    <w:nsid w:val="2AF5305F"/>
    <w:multiLevelType w:val="hybridMultilevel"/>
    <w:tmpl w:val="B6F212EA"/>
    <w:lvl w:ilvl="0" w:tplc="FD565D4A">
      <w:start w:val="100"/>
      <w:numFmt w:val="decimal"/>
      <w:lvlText w:val="%1."/>
      <w:lvlJc w:val="left"/>
      <w:pPr>
        <w:tabs>
          <w:tab w:val="num" w:pos="360"/>
        </w:tabs>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D844CA6"/>
    <w:multiLevelType w:val="singleLevel"/>
    <w:tmpl w:val="0CAC8680"/>
    <w:lvl w:ilvl="0">
      <w:start w:val="1"/>
      <w:numFmt w:val="bullet"/>
      <w:pStyle w:val="GSALegEXMemMainBullet"/>
      <w:lvlText w:val=""/>
      <w:lvlJc w:val="left"/>
      <w:pPr>
        <w:tabs>
          <w:tab w:val="num" w:pos="360"/>
        </w:tabs>
        <w:ind w:left="360" w:hanging="360"/>
      </w:pPr>
      <w:rPr>
        <w:rFonts w:ascii="Symbol" w:hAnsi="Symbol" w:hint="default"/>
      </w:rPr>
    </w:lvl>
  </w:abstractNum>
  <w:abstractNum w:abstractNumId="8" w15:restartNumberingAfterBreak="0">
    <w:nsid w:val="30D110F9"/>
    <w:multiLevelType w:val="hybridMultilevel"/>
    <w:tmpl w:val="6312192C"/>
    <w:lvl w:ilvl="0" w:tplc="2D00D98E">
      <w:start w:val="3"/>
      <w:numFmt w:val="bullet"/>
      <w:pStyle w:val="Listbulletcommodity"/>
      <w:lvlText w:val="-"/>
      <w:lvlJc w:val="left"/>
      <w:pPr>
        <w:ind w:left="1004" w:hanging="360"/>
      </w:pPr>
      <w:rPr>
        <w:rFonts w:ascii="Arial" w:eastAsia="Times New Roman" w:hAnsi="Arial" w:cs="Aria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30D35E3C"/>
    <w:multiLevelType w:val="hybridMultilevel"/>
    <w:tmpl w:val="96DC0A50"/>
    <w:lvl w:ilvl="0" w:tplc="F3DAA5B8">
      <w:start w:val="1"/>
      <w:numFmt w:val="bullet"/>
      <w:pStyle w:val="Bullets"/>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E3F4AE1"/>
    <w:multiLevelType w:val="singleLevel"/>
    <w:tmpl w:val="5E8A415E"/>
    <w:lvl w:ilvl="0">
      <w:start w:val="1"/>
      <w:numFmt w:val="bullet"/>
      <w:pStyle w:val="GSAPaperBullet1"/>
      <w:lvlText w:val=""/>
      <w:lvlJc w:val="left"/>
      <w:pPr>
        <w:tabs>
          <w:tab w:val="num" w:pos="360"/>
        </w:tabs>
        <w:ind w:left="360" w:hanging="360"/>
      </w:pPr>
      <w:rPr>
        <w:rFonts w:ascii="Symbol" w:hAnsi="Symbol" w:hint="default"/>
      </w:rPr>
    </w:lvl>
  </w:abstractNum>
  <w:abstractNum w:abstractNumId="11"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pStyle w:val="Style3"/>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13" w15:restartNumberingAfterBreak="0">
    <w:nsid w:val="514F79AF"/>
    <w:multiLevelType w:val="hybridMultilevel"/>
    <w:tmpl w:val="2112F3D0"/>
    <w:lvl w:ilvl="0" w:tplc="7060802E">
      <w:start w:val="1"/>
      <w:numFmt w:val="bullet"/>
      <w:pStyle w:val="TableBullet"/>
      <w:lvlText w:val=""/>
      <w:lvlJc w:val="left"/>
      <w:pPr>
        <w:ind w:left="720" w:hanging="360"/>
      </w:pPr>
      <w:rPr>
        <w:rFonts w:ascii="Symbol" w:hAnsi="Symbol" w:hint="default"/>
        <w:sz w:val="16"/>
      </w:rPr>
    </w:lvl>
    <w:lvl w:ilvl="1" w:tplc="F7CA8DD0" w:tentative="1">
      <w:start w:val="1"/>
      <w:numFmt w:val="bullet"/>
      <w:lvlText w:val="o"/>
      <w:lvlJc w:val="left"/>
      <w:pPr>
        <w:ind w:left="1440" w:hanging="360"/>
      </w:pPr>
      <w:rPr>
        <w:rFonts w:ascii="Courier New" w:hAnsi="Courier New" w:cs="Courier New" w:hint="default"/>
      </w:rPr>
    </w:lvl>
    <w:lvl w:ilvl="2" w:tplc="D098FE6A" w:tentative="1">
      <w:start w:val="1"/>
      <w:numFmt w:val="bullet"/>
      <w:lvlText w:val=""/>
      <w:lvlJc w:val="left"/>
      <w:pPr>
        <w:ind w:left="2160" w:hanging="360"/>
      </w:pPr>
      <w:rPr>
        <w:rFonts w:ascii="Wingdings" w:hAnsi="Wingdings" w:hint="default"/>
      </w:rPr>
    </w:lvl>
    <w:lvl w:ilvl="3" w:tplc="C0448936" w:tentative="1">
      <w:start w:val="1"/>
      <w:numFmt w:val="bullet"/>
      <w:lvlText w:val=""/>
      <w:lvlJc w:val="left"/>
      <w:pPr>
        <w:ind w:left="2880" w:hanging="360"/>
      </w:pPr>
      <w:rPr>
        <w:rFonts w:ascii="Symbol" w:hAnsi="Symbol" w:hint="default"/>
      </w:rPr>
    </w:lvl>
    <w:lvl w:ilvl="4" w:tplc="5C34D276" w:tentative="1">
      <w:start w:val="1"/>
      <w:numFmt w:val="bullet"/>
      <w:lvlText w:val="o"/>
      <w:lvlJc w:val="left"/>
      <w:pPr>
        <w:ind w:left="3600" w:hanging="360"/>
      </w:pPr>
      <w:rPr>
        <w:rFonts w:ascii="Courier New" w:hAnsi="Courier New" w:cs="Courier New" w:hint="default"/>
      </w:rPr>
    </w:lvl>
    <w:lvl w:ilvl="5" w:tplc="8E584808" w:tentative="1">
      <w:start w:val="1"/>
      <w:numFmt w:val="bullet"/>
      <w:lvlText w:val=""/>
      <w:lvlJc w:val="left"/>
      <w:pPr>
        <w:ind w:left="4320" w:hanging="360"/>
      </w:pPr>
      <w:rPr>
        <w:rFonts w:ascii="Wingdings" w:hAnsi="Wingdings" w:hint="default"/>
      </w:rPr>
    </w:lvl>
    <w:lvl w:ilvl="6" w:tplc="AA305EC6" w:tentative="1">
      <w:start w:val="1"/>
      <w:numFmt w:val="bullet"/>
      <w:lvlText w:val=""/>
      <w:lvlJc w:val="left"/>
      <w:pPr>
        <w:ind w:left="5040" w:hanging="360"/>
      </w:pPr>
      <w:rPr>
        <w:rFonts w:ascii="Symbol" w:hAnsi="Symbol" w:hint="default"/>
      </w:rPr>
    </w:lvl>
    <w:lvl w:ilvl="7" w:tplc="3A76340E" w:tentative="1">
      <w:start w:val="1"/>
      <w:numFmt w:val="bullet"/>
      <w:lvlText w:val="o"/>
      <w:lvlJc w:val="left"/>
      <w:pPr>
        <w:ind w:left="5760" w:hanging="360"/>
      </w:pPr>
      <w:rPr>
        <w:rFonts w:ascii="Courier New" w:hAnsi="Courier New" w:cs="Courier New" w:hint="default"/>
      </w:rPr>
    </w:lvl>
    <w:lvl w:ilvl="8" w:tplc="71A06F28" w:tentative="1">
      <w:start w:val="1"/>
      <w:numFmt w:val="bullet"/>
      <w:lvlText w:val=""/>
      <w:lvlJc w:val="left"/>
      <w:pPr>
        <w:ind w:left="6480" w:hanging="360"/>
      </w:pPr>
      <w:rPr>
        <w:rFonts w:ascii="Wingdings" w:hAnsi="Wingdings" w:hint="default"/>
      </w:rPr>
    </w:lvl>
  </w:abstractNum>
  <w:abstractNum w:abstractNumId="14" w15:restartNumberingAfterBreak="0">
    <w:nsid w:val="524B437A"/>
    <w:multiLevelType w:val="multilevel"/>
    <w:tmpl w:val="555C1792"/>
    <w:lvl w:ilvl="0">
      <w:start w:val="1"/>
      <w:numFmt w:val="decimal"/>
      <w:pStyle w:val="LetterBullet1"/>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15" w15:restartNumberingAfterBreak="0">
    <w:nsid w:val="56983C17"/>
    <w:multiLevelType w:val="hybridMultilevel"/>
    <w:tmpl w:val="462EB51A"/>
    <w:lvl w:ilvl="0" w:tplc="2F0E98FC">
      <w:start w:val="1"/>
      <w:numFmt w:val="bullet"/>
      <w:pStyle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D80343E"/>
    <w:multiLevelType w:val="singleLevel"/>
    <w:tmpl w:val="22A46DA4"/>
    <w:lvl w:ilvl="0">
      <w:start w:val="1"/>
      <w:numFmt w:val="bullet"/>
      <w:pStyle w:val="GSAActionBullet1"/>
      <w:lvlText w:val=""/>
      <w:lvlJc w:val="left"/>
      <w:pPr>
        <w:tabs>
          <w:tab w:val="num" w:pos="360"/>
        </w:tabs>
        <w:ind w:left="360" w:hanging="360"/>
      </w:pPr>
      <w:rPr>
        <w:rFonts w:ascii="Symbol" w:hAnsi="Symbol" w:hint="default"/>
      </w:rPr>
    </w:lvl>
  </w:abstractNum>
  <w:abstractNum w:abstractNumId="17"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7880A83"/>
    <w:multiLevelType w:val="multilevel"/>
    <w:tmpl w:val="0C09001D"/>
    <w:styleLink w:val="GazetteList"/>
    <w:lvl w:ilvl="0">
      <w:start w:val="1"/>
      <w:numFmt w:val="decimal"/>
      <w:lvlText w:val="%1)"/>
      <w:lvlJc w:val="left"/>
      <w:pPr>
        <w:ind w:left="360" w:hanging="360"/>
      </w:pPr>
      <w:rPr>
        <w:rFonts w:ascii="Times New Roman" w:hAnsi="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69F94A09"/>
    <w:multiLevelType w:val="hybridMultilevel"/>
    <w:tmpl w:val="09CC3126"/>
    <w:lvl w:ilvl="0" w:tplc="5F6E95D2">
      <w:start w:val="1"/>
      <w:numFmt w:val="bullet"/>
      <w:lvlText w:val="•"/>
      <w:lvlJc w:val="left"/>
      <w:pPr>
        <w:tabs>
          <w:tab w:val="num" w:pos="360"/>
        </w:tabs>
        <w:ind w:left="360" w:hanging="360"/>
      </w:pPr>
      <w:rPr>
        <w:rFonts w:ascii="Times New Roman" w:hAnsi="Times New Roman" w:cs="Times New Roman" w:hint="default"/>
        <w:b w:val="0"/>
        <w:i w:val="0"/>
        <w:caps w:val="0"/>
        <w:strike w:val="0"/>
        <w:dstrike w:val="0"/>
        <w:vanish w:val="0"/>
        <w:color w:val="auto"/>
        <w:sz w:val="17"/>
        <w:vertAlign w:val="baseline"/>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741C1D91"/>
    <w:multiLevelType w:val="hybridMultilevel"/>
    <w:tmpl w:val="73AC2A3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758F4D8E"/>
    <w:multiLevelType w:val="hybridMultilevel"/>
    <w:tmpl w:val="997A6920"/>
    <w:lvl w:ilvl="0" w:tplc="6A28EA96">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24" w15:restartNumberingAfterBreak="0">
    <w:nsid w:val="7EF97A4A"/>
    <w:multiLevelType w:val="hybridMultilevel"/>
    <w:tmpl w:val="6DD63346"/>
    <w:lvl w:ilvl="0" w:tplc="FFFFFFFF">
      <w:start w:val="1"/>
      <w:numFmt w:val="bullet"/>
      <w:pStyle w:val="ARText1Bullet1"/>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7F2031CF"/>
    <w:multiLevelType w:val="hybridMultilevel"/>
    <w:tmpl w:val="DA8E0918"/>
    <w:lvl w:ilvl="0" w:tplc="070CCC1C">
      <w:start w:val="1"/>
      <w:numFmt w:val="bullet"/>
      <w:pStyle w:val="Bullet2"/>
      <w:lvlText w:val=""/>
      <w:lvlJc w:val="left"/>
      <w:pPr>
        <w:ind w:left="644"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23"/>
  </w:num>
  <w:num w:numId="3">
    <w:abstractNumId w:val="17"/>
  </w:num>
  <w:num w:numId="4">
    <w:abstractNumId w:val="12"/>
  </w:num>
  <w:num w:numId="5">
    <w:abstractNumId w:val="14"/>
  </w:num>
  <w:num w:numId="6">
    <w:abstractNumId w:val="3"/>
  </w:num>
  <w:num w:numId="7">
    <w:abstractNumId w:val="10"/>
  </w:num>
  <w:num w:numId="8">
    <w:abstractNumId w:val="16"/>
  </w:num>
  <w:num w:numId="9">
    <w:abstractNumId w:val="5"/>
  </w:num>
  <w:num w:numId="10">
    <w:abstractNumId w:val="7"/>
  </w:num>
  <w:num w:numId="11">
    <w:abstractNumId w:val="4"/>
  </w:num>
  <w:num w:numId="12">
    <w:abstractNumId w:val="24"/>
  </w:num>
  <w:num w:numId="13">
    <w:abstractNumId w:val="11"/>
  </w:num>
  <w:num w:numId="14">
    <w:abstractNumId w:val="9"/>
  </w:num>
  <w:num w:numId="15">
    <w:abstractNumId w:val="22"/>
  </w:num>
  <w:num w:numId="16">
    <w:abstractNumId w:val="0"/>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9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2"/>
  </w:num>
  <w:num w:numId="22">
    <w:abstractNumId w:val="25"/>
  </w:num>
  <w:num w:numId="23">
    <w:abstractNumId w:val="8"/>
  </w:num>
  <w:num w:numId="24">
    <w:abstractNumId w:val="13"/>
  </w:num>
  <w:num w:numId="25">
    <w:abstractNumId w:val="19"/>
  </w:num>
  <w:num w:numId="26">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160"/>
  <w:evenAndOddHeaders/>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AFA"/>
    <w:rsid w:val="000100A7"/>
    <w:rsid w:val="0001762C"/>
    <w:rsid w:val="000202A8"/>
    <w:rsid w:val="0002085F"/>
    <w:rsid w:val="00023155"/>
    <w:rsid w:val="000249AC"/>
    <w:rsid w:val="00030270"/>
    <w:rsid w:val="00046B75"/>
    <w:rsid w:val="00052A19"/>
    <w:rsid w:val="0005659C"/>
    <w:rsid w:val="00063D6D"/>
    <w:rsid w:val="00064C75"/>
    <w:rsid w:val="00066B0B"/>
    <w:rsid w:val="00070E37"/>
    <w:rsid w:val="000835E8"/>
    <w:rsid w:val="00083725"/>
    <w:rsid w:val="00092503"/>
    <w:rsid w:val="0009376E"/>
    <w:rsid w:val="000B0640"/>
    <w:rsid w:val="000C1F3D"/>
    <w:rsid w:val="000C5912"/>
    <w:rsid w:val="000D07D2"/>
    <w:rsid w:val="000D34A3"/>
    <w:rsid w:val="000D35A2"/>
    <w:rsid w:val="000D4E00"/>
    <w:rsid w:val="000D54A0"/>
    <w:rsid w:val="000E332A"/>
    <w:rsid w:val="000E58DF"/>
    <w:rsid w:val="000E655C"/>
    <w:rsid w:val="000F0B45"/>
    <w:rsid w:val="000F2CEA"/>
    <w:rsid w:val="000F44CF"/>
    <w:rsid w:val="00104BC5"/>
    <w:rsid w:val="00110167"/>
    <w:rsid w:val="001169F7"/>
    <w:rsid w:val="00116F04"/>
    <w:rsid w:val="00121D2F"/>
    <w:rsid w:val="00123302"/>
    <w:rsid w:val="001264C1"/>
    <w:rsid w:val="00131F1A"/>
    <w:rsid w:val="00133D99"/>
    <w:rsid w:val="00136E8D"/>
    <w:rsid w:val="001401AE"/>
    <w:rsid w:val="00147592"/>
    <w:rsid w:val="001509AE"/>
    <w:rsid w:val="00153708"/>
    <w:rsid w:val="001572AD"/>
    <w:rsid w:val="001576DB"/>
    <w:rsid w:val="001607F2"/>
    <w:rsid w:val="00160CDB"/>
    <w:rsid w:val="00161BC5"/>
    <w:rsid w:val="0016463B"/>
    <w:rsid w:val="0018198C"/>
    <w:rsid w:val="0018240B"/>
    <w:rsid w:val="00183633"/>
    <w:rsid w:val="00184056"/>
    <w:rsid w:val="001A6981"/>
    <w:rsid w:val="001A7A85"/>
    <w:rsid w:val="001B15E7"/>
    <w:rsid w:val="001B2310"/>
    <w:rsid w:val="001B2904"/>
    <w:rsid w:val="001B6A63"/>
    <w:rsid w:val="001B7138"/>
    <w:rsid w:val="001B79A6"/>
    <w:rsid w:val="001C09DA"/>
    <w:rsid w:val="001D101E"/>
    <w:rsid w:val="001D57E3"/>
    <w:rsid w:val="001D5A30"/>
    <w:rsid w:val="001E78FF"/>
    <w:rsid w:val="001E7A64"/>
    <w:rsid w:val="00203620"/>
    <w:rsid w:val="00204C2A"/>
    <w:rsid w:val="00211432"/>
    <w:rsid w:val="002130A5"/>
    <w:rsid w:val="00213154"/>
    <w:rsid w:val="002148EF"/>
    <w:rsid w:val="00222B67"/>
    <w:rsid w:val="00227163"/>
    <w:rsid w:val="0023144E"/>
    <w:rsid w:val="00235A63"/>
    <w:rsid w:val="00251266"/>
    <w:rsid w:val="00251FEE"/>
    <w:rsid w:val="002527A8"/>
    <w:rsid w:val="00256C71"/>
    <w:rsid w:val="00262F8F"/>
    <w:rsid w:val="0026731F"/>
    <w:rsid w:val="00275F32"/>
    <w:rsid w:val="00277EAD"/>
    <w:rsid w:val="00280A5D"/>
    <w:rsid w:val="00283443"/>
    <w:rsid w:val="00293061"/>
    <w:rsid w:val="0029410F"/>
    <w:rsid w:val="002977EE"/>
    <w:rsid w:val="002A0492"/>
    <w:rsid w:val="002A4530"/>
    <w:rsid w:val="002A7F4B"/>
    <w:rsid w:val="002B1AEF"/>
    <w:rsid w:val="002B5584"/>
    <w:rsid w:val="002C05CB"/>
    <w:rsid w:val="002C219B"/>
    <w:rsid w:val="002C2E97"/>
    <w:rsid w:val="002C751E"/>
    <w:rsid w:val="002D3EE3"/>
    <w:rsid w:val="002D4754"/>
    <w:rsid w:val="002D52CC"/>
    <w:rsid w:val="002D7735"/>
    <w:rsid w:val="002F080A"/>
    <w:rsid w:val="00304833"/>
    <w:rsid w:val="00314651"/>
    <w:rsid w:val="00322D71"/>
    <w:rsid w:val="00335D54"/>
    <w:rsid w:val="0034074D"/>
    <w:rsid w:val="00351EBD"/>
    <w:rsid w:val="0035604B"/>
    <w:rsid w:val="00362C85"/>
    <w:rsid w:val="00372CA3"/>
    <w:rsid w:val="00375085"/>
    <w:rsid w:val="00376590"/>
    <w:rsid w:val="00380942"/>
    <w:rsid w:val="00384F68"/>
    <w:rsid w:val="00384F98"/>
    <w:rsid w:val="003868F7"/>
    <w:rsid w:val="00386A66"/>
    <w:rsid w:val="00394510"/>
    <w:rsid w:val="00394788"/>
    <w:rsid w:val="003967FE"/>
    <w:rsid w:val="003A2D8D"/>
    <w:rsid w:val="003A362B"/>
    <w:rsid w:val="003A4FC3"/>
    <w:rsid w:val="003B43DE"/>
    <w:rsid w:val="003C2BF7"/>
    <w:rsid w:val="003D2332"/>
    <w:rsid w:val="003D5923"/>
    <w:rsid w:val="003E016D"/>
    <w:rsid w:val="003E0181"/>
    <w:rsid w:val="003E2F5F"/>
    <w:rsid w:val="003E3565"/>
    <w:rsid w:val="004120A4"/>
    <w:rsid w:val="0041374F"/>
    <w:rsid w:val="00416402"/>
    <w:rsid w:val="00416DE3"/>
    <w:rsid w:val="0041701B"/>
    <w:rsid w:val="00421804"/>
    <w:rsid w:val="00422D8D"/>
    <w:rsid w:val="0043387B"/>
    <w:rsid w:val="00435ECE"/>
    <w:rsid w:val="00441E8D"/>
    <w:rsid w:val="004530F1"/>
    <w:rsid w:val="004535E8"/>
    <w:rsid w:val="00456FBE"/>
    <w:rsid w:val="00457935"/>
    <w:rsid w:val="00463E96"/>
    <w:rsid w:val="00475212"/>
    <w:rsid w:val="00475677"/>
    <w:rsid w:val="00481663"/>
    <w:rsid w:val="004872C1"/>
    <w:rsid w:val="00487DCB"/>
    <w:rsid w:val="004A28DE"/>
    <w:rsid w:val="004A5341"/>
    <w:rsid w:val="004B1B9B"/>
    <w:rsid w:val="004B39A1"/>
    <w:rsid w:val="004C0654"/>
    <w:rsid w:val="004C06D5"/>
    <w:rsid w:val="004C1538"/>
    <w:rsid w:val="004C226B"/>
    <w:rsid w:val="004C4DE5"/>
    <w:rsid w:val="004C61AD"/>
    <w:rsid w:val="004C79E3"/>
    <w:rsid w:val="004D3D08"/>
    <w:rsid w:val="004D54A8"/>
    <w:rsid w:val="004E007F"/>
    <w:rsid w:val="004E545F"/>
    <w:rsid w:val="004E657B"/>
    <w:rsid w:val="004F01C3"/>
    <w:rsid w:val="004F1085"/>
    <w:rsid w:val="004F13B7"/>
    <w:rsid w:val="004F619A"/>
    <w:rsid w:val="004F7CCF"/>
    <w:rsid w:val="005115D3"/>
    <w:rsid w:val="00533412"/>
    <w:rsid w:val="00535963"/>
    <w:rsid w:val="00540347"/>
    <w:rsid w:val="00540423"/>
    <w:rsid w:val="0054338C"/>
    <w:rsid w:val="00543A79"/>
    <w:rsid w:val="00544893"/>
    <w:rsid w:val="005549E6"/>
    <w:rsid w:val="005622AC"/>
    <w:rsid w:val="005712C9"/>
    <w:rsid w:val="00593B23"/>
    <w:rsid w:val="005956F0"/>
    <w:rsid w:val="005A3A1B"/>
    <w:rsid w:val="005A69A9"/>
    <w:rsid w:val="005B4E55"/>
    <w:rsid w:val="005B5CBB"/>
    <w:rsid w:val="005B69B3"/>
    <w:rsid w:val="005C6C9D"/>
    <w:rsid w:val="005D24AC"/>
    <w:rsid w:val="005D3353"/>
    <w:rsid w:val="005D722B"/>
    <w:rsid w:val="005E7D95"/>
    <w:rsid w:val="005F4618"/>
    <w:rsid w:val="00601C8A"/>
    <w:rsid w:val="00602B9D"/>
    <w:rsid w:val="00607847"/>
    <w:rsid w:val="00612978"/>
    <w:rsid w:val="00615806"/>
    <w:rsid w:val="00632C11"/>
    <w:rsid w:val="006419CA"/>
    <w:rsid w:val="00645464"/>
    <w:rsid w:val="00645DC8"/>
    <w:rsid w:val="00662003"/>
    <w:rsid w:val="006671B7"/>
    <w:rsid w:val="00670706"/>
    <w:rsid w:val="00671C1C"/>
    <w:rsid w:val="00682532"/>
    <w:rsid w:val="006829D6"/>
    <w:rsid w:val="00682F0B"/>
    <w:rsid w:val="00683755"/>
    <w:rsid w:val="00683CF6"/>
    <w:rsid w:val="00685927"/>
    <w:rsid w:val="00694D0A"/>
    <w:rsid w:val="0069628C"/>
    <w:rsid w:val="006974D4"/>
    <w:rsid w:val="006A510F"/>
    <w:rsid w:val="006B561D"/>
    <w:rsid w:val="006B5B96"/>
    <w:rsid w:val="006C5BE8"/>
    <w:rsid w:val="006D00AD"/>
    <w:rsid w:val="006D3455"/>
    <w:rsid w:val="006E0C7D"/>
    <w:rsid w:val="006E46B9"/>
    <w:rsid w:val="006E6060"/>
    <w:rsid w:val="006F0351"/>
    <w:rsid w:val="006F66DB"/>
    <w:rsid w:val="00703060"/>
    <w:rsid w:val="00703D70"/>
    <w:rsid w:val="007129DF"/>
    <w:rsid w:val="0071453C"/>
    <w:rsid w:val="007159C2"/>
    <w:rsid w:val="00724B20"/>
    <w:rsid w:val="00725647"/>
    <w:rsid w:val="00730369"/>
    <w:rsid w:val="00731EA9"/>
    <w:rsid w:val="00732C68"/>
    <w:rsid w:val="00732FC9"/>
    <w:rsid w:val="00737523"/>
    <w:rsid w:val="0075022D"/>
    <w:rsid w:val="0076638C"/>
    <w:rsid w:val="00772E2B"/>
    <w:rsid w:val="00777F88"/>
    <w:rsid w:val="007850FA"/>
    <w:rsid w:val="0079069D"/>
    <w:rsid w:val="00795CE4"/>
    <w:rsid w:val="007A120B"/>
    <w:rsid w:val="007A37F9"/>
    <w:rsid w:val="007A4399"/>
    <w:rsid w:val="007A59F6"/>
    <w:rsid w:val="007B4546"/>
    <w:rsid w:val="007C16B0"/>
    <w:rsid w:val="007C3E7B"/>
    <w:rsid w:val="007D3592"/>
    <w:rsid w:val="007E16A4"/>
    <w:rsid w:val="007E2740"/>
    <w:rsid w:val="007E5D21"/>
    <w:rsid w:val="007E65D7"/>
    <w:rsid w:val="007F0667"/>
    <w:rsid w:val="007F1191"/>
    <w:rsid w:val="007F1F15"/>
    <w:rsid w:val="0080019C"/>
    <w:rsid w:val="008008DD"/>
    <w:rsid w:val="00802077"/>
    <w:rsid w:val="00821027"/>
    <w:rsid w:val="00822107"/>
    <w:rsid w:val="008226D4"/>
    <w:rsid w:val="008250FE"/>
    <w:rsid w:val="00831BDE"/>
    <w:rsid w:val="008408CB"/>
    <w:rsid w:val="00854962"/>
    <w:rsid w:val="00867EF2"/>
    <w:rsid w:val="0087395E"/>
    <w:rsid w:val="008822A7"/>
    <w:rsid w:val="00882767"/>
    <w:rsid w:val="008845EE"/>
    <w:rsid w:val="00885A62"/>
    <w:rsid w:val="00890CCC"/>
    <w:rsid w:val="00891067"/>
    <w:rsid w:val="008A405A"/>
    <w:rsid w:val="008B69C7"/>
    <w:rsid w:val="008E4F1E"/>
    <w:rsid w:val="008F57F4"/>
    <w:rsid w:val="00901E82"/>
    <w:rsid w:val="00902C46"/>
    <w:rsid w:val="0090520A"/>
    <w:rsid w:val="00907ED3"/>
    <w:rsid w:val="00913171"/>
    <w:rsid w:val="0091397C"/>
    <w:rsid w:val="00914649"/>
    <w:rsid w:val="00920880"/>
    <w:rsid w:val="00920FFF"/>
    <w:rsid w:val="00921240"/>
    <w:rsid w:val="00924ACD"/>
    <w:rsid w:val="0093079E"/>
    <w:rsid w:val="009433BF"/>
    <w:rsid w:val="009453D6"/>
    <w:rsid w:val="00947809"/>
    <w:rsid w:val="00955694"/>
    <w:rsid w:val="009562D8"/>
    <w:rsid w:val="00962B7D"/>
    <w:rsid w:val="00964B4D"/>
    <w:rsid w:val="009750C8"/>
    <w:rsid w:val="00977C9F"/>
    <w:rsid w:val="00985AEE"/>
    <w:rsid w:val="00995ACE"/>
    <w:rsid w:val="009A6661"/>
    <w:rsid w:val="009B2C75"/>
    <w:rsid w:val="009B6FFD"/>
    <w:rsid w:val="009C4945"/>
    <w:rsid w:val="009C6388"/>
    <w:rsid w:val="009D1E2E"/>
    <w:rsid w:val="009D586E"/>
    <w:rsid w:val="009D5EF7"/>
    <w:rsid w:val="009E2997"/>
    <w:rsid w:val="009F15D7"/>
    <w:rsid w:val="009F7976"/>
    <w:rsid w:val="00A00225"/>
    <w:rsid w:val="00A0211B"/>
    <w:rsid w:val="00A0284B"/>
    <w:rsid w:val="00A17458"/>
    <w:rsid w:val="00A23FF6"/>
    <w:rsid w:val="00A25F99"/>
    <w:rsid w:val="00A2611B"/>
    <w:rsid w:val="00A33023"/>
    <w:rsid w:val="00A37EF6"/>
    <w:rsid w:val="00A424A1"/>
    <w:rsid w:val="00A44FFB"/>
    <w:rsid w:val="00A504E5"/>
    <w:rsid w:val="00A50E6A"/>
    <w:rsid w:val="00A551D7"/>
    <w:rsid w:val="00A55207"/>
    <w:rsid w:val="00A578E8"/>
    <w:rsid w:val="00A631C3"/>
    <w:rsid w:val="00A63F1C"/>
    <w:rsid w:val="00A747D0"/>
    <w:rsid w:val="00A74915"/>
    <w:rsid w:val="00A756C0"/>
    <w:rsid w:val="00A773E8"/>
    <w:rsid w:val="00A907FC"/>
    <w:rsid w:val="00A92C4D"/>
    <w:rsid w:val="00A93B37"/>
    <w:rsid w:val="00A95E95"/>
    <w:rsid w:val="00A97608"/>
    <w:rsid w:val="00AD71CC"/>
    <w:rsid w:val="00AE498D"/>
    <w:rsid w:val="00AE7829"/>
    <w:rsid w:val="00AF46B8"/>
    <w:rsid w:val="00AF561A"/>
    <w:rsid w:val="00AF6919"/>
    <w:rsid w:val="00AF6998"/>
    <w:rsid w:val="00B00E17"/>
    <w:rsid w:val="00B0172F"/>
    <w:rsid w:val="00B01DE4"/>
    <w:rsid w:val="00B03057"/>
    <w:rsid w:val="00B07083"/>
    <w:rsid w:val="00B13C12"/>
    <w:rsid w:val="00B152A8"/>
    <w:rsid w:val="00B15AEC"/>
    <w:rsid w:val="00B16976"/>
    <w:rsid w:val="00B17B1A"/>
    <w:rsid w:val="00B21E57"/>
    <w:rsid w:val="00B22E26"/>
    <w:rsid w:val="00B27972"/>
    <w:rsid w:val="00B32C36"/>
    <w:rsid w:val="00B33677"/>
    <w:rsid w:val="00B33FB3"/>
    <w:rsid w:val="00B34F69"/>
    <w:rsid w:val="00B40542"/>
    <w:rsid w:val="00B422DF"/>
    <w:rsid w:val="00B46EAA"/>
    <w:rsid w:val="00B47884"/>
    <w:rsid w:val="00B51574"/>
    <w:rsid w:val="00B51AD8"/>
    <w:rsid w:val="00B53F6A"/>
    <w:rsid w:val="00B91501"/>
    <w:rsid w:val="00B97531"/>
    <w:rsid w:val="00BB0891"/>
    <w:rsid w:val="00BB446D"/>
    <w:rsid w:val="00BC0AA3"/>
    <w:rsid w:val="00BC1B76"/>
    <w:rsid w:val="00BC2F16"/>
    <w:rsid w:val="00BC4D92"/>
    <w:rsid w:val="00BC772D"/>
    <w:rsid w:val="00BE137F"/>
    <w:rsid w:val="00BF1895"/>
    <w:rsid w:val="00BF1D35"/>
    <w:rsid w:val="00BF6670"/>
    <w:rsid w:val="00BF723C"/>
    <w:rsid w:val="00C00001"/>
    <w:rsid w:val="00C0094C"/>
    <w:rsid w:val="00C032B2"/>
    <w:rsid w:val="00C03A6A"/>
    <w:rsid w:val="00C03AE6"/>
    <w:rsid w:val="00C06ED8"/>
    <w:rsid w:val="00C07199"/>
    <w:rsid w:val="00C12AFA"/>
    <w:rsid w:val="00C17168"/>
    <w:rsid w:val="00C24CD2"/>
    <w:rsid w:val="00C25241"/>
    <w:rsid w:val="00C4023C"/>
    <w:rsid w:val="00C53FED"/>
    <w:rsid w:val="00C62FCE"/>
    <w:rsid w:val="00C77C39"/>
    <w:rsid w:val="00C77ED4"/>
    <w:rsid w:val="00C83D8C"/>
    <w:rsid w:val="00C87E14"/>
    <w:rsid w:val="00C9018A"/>
    <w:rsid w:val="00C965BF"/>
    <w:rsid w:val="00C971BF"/>
    <w:rsid w:val="00CB0790"/>
    <w:rsid w:val="00CD586C"/>
    <w:rsid w:val="00CE581E"/>
    <w:rsid w:val="00D0446B"/>
    <w:rsid w:val="00D04AD0"/>
    <w:rsid w:val="00D04E71"/>
    <w:rsid w:val="00D14EFE"/>
    <w:rsid w:val="00D14F34"/>
    <w:rsid w:val="00D15B81"/>
    <w:rsid w:val="00D161AC"/>
    <w:rsid w:val="00D166C4"/>
    <w:rsid w:val="00D21B2E"/>
    <w:rsid w:val="00D23AB5"/>
    <w:rsid w:val="00D256F7"/>
    <w:rsid w:val="00D33DB5"/>
    <w:rsid w:val="00D35830"/>
    <w:rsid w:val="00D35BBC"/>
    <w:rsid w:val="00D415EC"/>
    <w:rsid w:val="00D51B65"/>
    <w:rsid w:val="00D5517F"/>
    <w:rsid w:val="00D66290"/>
    <w:rsid w:val="00D71C91"/>
    <w:rsid w:val="00D730EB"/>
    <w:rsid w:val="00D73B65"/>
    <w:rsid w:val="00D75219"/>
    <w:rsid w:val="00D817E6"/>
    <w:rsid w:val="00D828EA"/>
    <w:rsid w:val="00D83C2C"/>
    <w:rsid w:val="00D84631"/>
    <w:rsid w:val="00D84CB2"/>
    <w:rsid w:val="00D90D1F"/>
    <w:rsid w:val="00DA08BE"/>
    <w:rsid w:val="00DA30CF"/>
    <w:rsid w:val="00DA6921"/>
    <w:rsid w:val="00DB328E"/>
    <w:rsid w:val="00DB5A8F"/>
    <w:rsid w:val="00DB6A8B"/>
    <w:rsid w:val="00DC2219"/>
    <w:rsid w:val="00DC4181"/>
    <w:rsid w:val="00DC7AC3"/>
    <w:rsid w:val="00DD483A"/>
    <w:rsid w:val="00DD4EE4"/>
    <w:rsid w:val="00DD670D"/>
    <w:rsid w:val="00DE347D"/>
    <w:rsid w:val="00DF632D"/>
    <w:rsid w:val="00E0205C"/>
    <w:rsid w:val="00E04581"/>
    <w:rsid w:val="00E21999"/>
    <w:rsid w:val="00E2228C"/>
    <w:rsid w:val="00E222C6"/>
    <w:rsid w:val="00E26C8E"/>
    <w:rsid w:val="00E27CBD"/>
    <w:rsid w:val="00E4308C"/>
    <w:rsid w:val="00E440BE"/>
    <w:rsid w:val="00E50B26"/>
    <w:rsid w:val="00E519D3"/>
    <w:rsid w:val="00E525DE"/>
    <w:rsid w:val="00E53A0A"/>
    <w:rsid w:val="00E57D4E"/>
    <w:rsid w:val="00E604FA"/>
    <w:rsid w:val="00E60854"/>
    <w:rsid w:val="00E65A23"/>
    <w:rsid w:val="00E663DF"/>
    <w:rsid w:val="00E7069A"/>
    <w:rsid w:val="00E91216"/>
    <w:rsid w:val="00E92649"/>
    <w:rsid w:val="00E95550"/>
    <w:rsid w:val="00EA2CCE"/>
    <w:rsid w:val="00EC2419"/>
    <w:rsid w:val="00EC7029"/>
    <w:rsid w:val="00ED024C"/>
    <w:rsid w:val="00ED286C"/>
    <w:rsid w:val="00ED326B"/>
    <w:rsid w:val="00ED3955"/>
    <w:rsid w:val="00EE119B"/>
    <w:rsid w:val="00EE248B"/>
    <w:rsid w:val="00EE2A33"/>
    <w:rsid w:val="00EE5D8C"/>
    <w:rsid w:val="00EE7338"/>
    <w:rsid w:val="00EF509F"/>
    <w:rsid w:val="00EF586F"/>
    <w:rsid w:val="00EF6684"/>
    <w:rsid w:val="00EF7F2D"/>
    <w:rsid w:val="00F011AF"/>
    <w:rsid w:val="00F109DE"/>
    <w:rsid w:val="00F12687"/>
    <w:rsid w:val="00F21AFA"/>
    <w:rsid w:val="00F2577E"/>
    <w:rsid w:val="00F513CA"/>
    <w:rsid w:val="00F55C07"/>
    <w:rsid w:val="00F577DC"/>
    <w:rsid w:val="00F67DDE"/>
    <w:rsid w:val="00F75D11"/>
    <w:rsid w:val="00F75F4A"/>
    <w:rsid w:val="00F80EF5"/>
    <w:rsid w:val="00F8336F"/>
    <w:rsid w:val="00F85D9B"/>
    <w:rsid w:val="00F94AB3"/>
    <w:rsid w:val="00FA07AC"/>
    <w:rsid w:val="00FA78F0"/>
    <w:rsid w:val="00FB0EA1"/>
    <w:rsid w:val="00FB2D59"/>
    <w:rsid w:val="00FB387A"/>
    <w:rsid w:val="00FB5F67"/>
    <w:rsid w:val="00FB68BE"/>
    <w:rsid w:val="00FC7743"/>
    <w:rsid w:val="00FD0AC7"/>
    <w:rsid w:val="00FD21D5"/>
    <w:rsid w:val="00FE3648"/>
    <w:rsid w:val="00FE446B"/>
    <w:rsid w:val="00FF5340"/>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6D75E92E-7A1B-4CC3-8370-517C75EA0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240B"/>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F80EF5"/>
    <w:pPr>
      <w:outlineLvl w:val="0"/>
    </w:pPr>
  </w:style>
  <w:style w:type="paragraph" w:styleId="Heading2">
    <w:name w:val="heading 2"/>
    <w:basedOn w:val="GG-Title1"/>
    <w:next w:val="Normal"/>
    <w:link w:val="Heading2Char"/>
    <w:unhideWhenUsed/>
    <w:qFormat/>
    <w:rsid w:val="009562D8"/>
    <w:pPr>
      <w:outlineLvl w:val="1"/>
    </w:pPr>
    <w:rPr>
      <w:lang w:val="en-US"/>
    </w:rPr>
  </w:style>
  <w:style w:type="paragraph" w:styleId="Heading3">
    <w:name w:val="heading 3"/>
    <w:basedOn w:val="Normal"/>
    <w:next w:val="Normal"/>
    <w:link w:val="Heading3Char"/>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qFormat/>
    <w:rsid w:val="004872C1"/>
    <w:pPr>
      <w:spacing w:after="0" w:line="240" w:lineRule="auto"/>
    </w:pPr>
  </w:style>
  <w:style w:type="character" w:customStyle="1" w:styleId="Heading1Char">
    <w:name w:val="Heading 1 Char"/>
    <w:link w:val="Heading1"/>
    <w:rsid w:val="00F80EF5"/>
    <w:rPr>
      <w:rFonts w:ascii="Times New Roman" w:hAnsi="Times New Roman"/>
      <w:b/>
      <w:smallCaps/>
      <w:color w:val="000000"/>
      <w:sz w:val="36"/>
      <w:szCs w:val="22"/>
      <w:lang w:eastAsia="en-US"/>
    </w:rPr>
  </w:style>
  <w:style w:type="character" w:customStyle="1" w:styleId="Heading2Char">
    <w:name w:val="Heading 2 Char"/>
    <w:link w:val="Heading2"/>
    <w:rsid w:val="009562D8"/>
    <w:rPr>
      <w:rFonts w:ascii="Times New Roman" w:hAnsi="Times New Roman"/>
      <w:caps/>
      <w:sz w:val="17"/>
      <w:szCs w:val="17"/>
      <w:lang w:val="en-US" w:eastAsia="en-US"/>
    </w:rPr>
  </w:style>
  <w:style w:type="character" w:customStyle="1" w:styleId="Heading3Char">
    <w:name w:val="Heading 3 Char"/>
    <w:link w:val="Heading3"/>
    <w:rsid w:val="00694D0A"/>
    <w:rPr>
      <w:rFonts w:ascii="Times New Roman" w:hAnsi="Times New Roman"/>
      <w:b/>
      <w:bCs/>
      <w:color w:val="000000"/>
      <w:sz w:val="36"/>
      <w:szCs w:val="36"/>
      <w:lang w:eastAsia="en-US"/>
    </w:rPr>
  </w:style>
  <w:style w:type="character" w:customStyle="1" w:styleId="Heading4Char">
    <w:name w:val="Heading 4 Char"/>
    <w:link w:val="Heading4"/>
    <w:rsid w:val="00D75219"/>
    <w:rPr>
      <w:rFonts w:ascii="Times New Roman" w:hAnsi="Times New Roman"/>
      <w:color w:val="000000"/>
      <w:sz w:val="23"/>
      <w:szCs w:val="23"/>
      <w:lang w:eastAsia="en-US"/>
    </w:rPr>
  </w:style>
  <w:style w:type="character" w:customStyle="1" w:styleId="Heading5Char">
    <w:name w:val="Heading 5 Char"/>
    <w:link w:val="Heading5"/>
    <w:rsid w:val="0016463B"/>
    <w:rPr>
      <w:rFonts w:ascii="Times New Roman" w:eastAsia="Times New Roman" w:hAnsi="Times New Roman"/>
      <w:b/>
      <w:smallCaps/>
      <w:sz w:val="17"/>
      <w:lang w:eastAsia="en-US"/>
    </w:rPr>
  </w:style>
  <w:style w:type="character" w:customStyle="1" w:styleId="Heading6Char">
    <w:name w:val="Heading 6 Char"/>
    <w:link w:val="Heading6"/>
    <w:rsid w:val="0016463B"/>
    <w:rPr>
      <w:rFonts w:ascii="Times New Roman" w:eastAsia="Times New Roman" w:hAnsi="Times New Roman"/>
      <w:sz w:val="17"/>
      <w:lang w:eastAsia="en-US"/>
    </w:rPr>
  </w:style>
  <w:style w:type="character" w:customStyle="1" w:styleId="Heading7Char">
    <w:name w:val="Heading 7 Char"/>
    <w:link w:val="Heading7"/>
    <w:rsid w:val="0079069D"/>
    <w:rPr>
      <w:rFonts w:ascii="Times New Roman" w:eastAsia="Times New Roman" w:hAnsi="Times New Roman"/>
      <w:sz w:val="17"/>
      <w:lang w:eastAsia="en-US"/>
    </w:rPr>
  </w:style>
  <w:style w:type="character" w:customStyle="1" w:styleId="Heading8Char">
    <w:name w:val="Heading 8 Char"/>
    <w:link w:val="Heading8"/>
    <w:rsid w:val="004872C1"/>
    <w:rPr>
      <w:rFonts w:ascii="Cambria" w:eastAsia="Times New Roman" w:hAnsi="Cambria" w:cs="Times New Roman"/>
      <w:sz w:val="20"/>
      <w:szCs w:val="20"/>
    </w:rPr>
  </w:style>
  <w:style w:type="character" w:customStyle="1" w:styleId="Heading9Char">
    <w:name w:val="Heading 9 Char"/>
    <w:link w:val="Heading9"/>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qFormat/>
    <w:rsid w:val="004872C1"/>
    <w:rPr>
      <w:b/>
      <w:bCs/>
    </w:rPr>
  </w:style>
  <w:style w:type="character" w:styleId="Emphasis">
    <w:name w:val="Emphasis"/>
    <w:aliases w:val="ItalicEmphasis"/>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iPriority w:val="99"/>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rsid w:val="00777F88"/>
    <w:rPr>
      <w:rFonts w:ascii="Tahoma" w:hAnsi="Tahoma" w:cs="Tahoma"/>
      <w:sz w:val="16"/>
      <w:szCs w:val="16"/>
      <w:lang w:eastAsia="en-US"/>
    </w:rPr>
  </w:style>
  <w:style w:type="paragraph" w:styleId="Header">
    <w:name w:val="header"/>
    <w:aliases w:val="Header Odd"/>
    <w:basedOn w:val="Normal"/>
    <w:link w:val="HeaderChar"/>
    <w:unhideWhenUsed/>
    <w:rsid w:val="00777F88"/>
    <w:pPr>
      <w:tabs>
        <w:tab w:val="center" w:pos="4513"/>
        <w:tab w:val="right" w:pos="9026"/>
      </w:tabs>
      <w:spacing w:after="0" w:line="240" w:lineRule="auto"/>
    </w:pPr>
  </w:style>
  <w:style w:type="character" w:customStyle="1" w:styleId="HeaderChar">
    <w:name w:val="Header Char"/>
    <w:aliases w:val="Header Odd Char"/>
    <w:link w:val="Header"/>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A37EF6"/>
    <w:pPr>
      <w:keepLines/>
      <w:autoSpaceDE w:val="0"/>
      <w:autoSpaceDN w:val="0"/>
      <w:adjustRightInd w:val="0"/>
      <w:jc w:val="left"/>
    </w:pPr>
    <w:rPr>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39"/>
    <w:qFormat/>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qFormat/>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qFormat/>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qFormat/>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numbering" w:customStyle="1" w:styleId="NoList2">
    <w:name w:val="No List2"/>
    <w:next w:val="NoList"/>
    <w:uiPriority w:val="99"/>
    <w:semiHidden/>
    <w:unhideWhenUsed/>
    <w:rsid w:val="00A95E95"/>
  </w:style>
  <w:style w:type="numbering" w:customStyle="1" w:styleId="NoList3">
    <w:name w:val="No List3"/>
    <w:next w:val="NoList"/>
    <w:uiPriority w:val="99"/>
    <w:semiHidden/>
    <w:unhideWhenUsed/>
    <w:rsid w:val="00C03A6A"/>
  </w:style>
  <w:style w:type="paragraph" w:customStyle="1" w:styleId="Style1">
    <w:name w:val="Style1"/>
    <w:basedOn w:val="Normal"/>
    <w:rsid w:val="00C03A6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Cs w:val="20"/>
    </w:rPr>
  </w:style>
  <w:style w:type="character" w:styleId="FollowedHyperlink">
    <w:name w:val="FollowedHyperlink"/>
    <w:uiPriority w:val="99"/>
    <w:rsid w:val="00C03A6A"/>
    <w:rPr>
      <w:color w:val="800080"/>
      <w:u w:val="single"/>
    </w:rPr>
  </w:style>
  <w:style w:type="paragraph" w:customStyle="1" w:styleId="Number7">
    <w:name w:val="Number 7"/>
    <w:basedOn w:val="Heading7"/>
    <w:rsid w:val="00C03A6A"/>
    <w:pPr>
      <w:numPr>
        <w:ilvl w:val="6"/>
      </w:numPr>
      <w:tabs>
        <w:tab w:val="clear" w:pos="160"/>
        <w:tab w:val="clear" w:pos="320"/>
        <w:tab w:val="clear" w:pos="480"/>
        <w:tab w:val="clear" w:pos="4560"/>
        <w:tab w:val="num" w:pos="4820"/>
      </w:tabs>
      <w:spacing w:after="240"/>
      <w:ind w:left="4820" w:hanging="567"/>
      <w:jc w:val="both"/>
      <w:outlineLvl w:val="9"/>
    </w:pPr>
  </w:style>
  <w:style w:type="paragraph" w:customStyle="1" w:styleId="Number1">
    <w:name w:val="Number 1"/>
    <w:basedOn w:val="Heading1"/>
    <w:rsid w:val="00C03A6A"/>
    <w:pPr>
      <w:tabs>
        <w:tab w:val="num" w:pos="567"/>
      </w:tabs>
      <w:spacing w:before="0" w:line="170" w:lineRule="exact"/>
      <w:ind w:left="567" w:hanging="567"/>
      <w:jc w:val="both"/>
      <w:outlineLvl w:val="9"/>
    </w:pPr>
    <w:rPr>
      <w:rFonts w:eastAsia="Times New Roman"/>
      <w:b w:val="0"/>
      <w:smallCaps w:val="0"/>
      <w:color w:val="auto"/>
      <w:kern w:val="28"/>
      <w:sz w:val="17"/>
      <w:szCs w:val="20"/>
    </w:rPr>
  </w:style>
  <w:style w:type="paragraph" w:customStyle="1" w:styleId="Number2">
    <w:name w:val="Number 2"/>
    <w:basedOn w:val="Heading2"/>
    <w:rsid w:val="00C03A6A"/>
    <w:pPr>
      <w:numPr>
        <w:ilvl w:val="1"/>
      </w:numPr>
      <w:tabs>
        <w:tab w:val="num" w:pos="1276"/>
      </w:tabs>
      <w:spacing w:after="240"/>
      <w:ind w:left="1276" w:hanging="709"/>
      <w:jc w:val="both"/>
      <w:outlineLvl w:val="9"/>
    </w:pPr>
    <w:rPr>
      <w:rFonts w:eastAsia="Times New Roman"/>
      <w:caps w:val="0"/>
      <w:szCs w:val="20"/>
      <w:lang w:val="en-AU"/>
    </w:rPr>
  </w:style>
  <w:style w:type="paragraph" w:customStyle="1" w:styleId="Number3">
    <w:name w:val="Number 3"/>
    <w:basedOn w:val="Heading3"/>
    <w:rsid w:val="00C03A6A"/>
    <w:pPr>
      <w:keepLines w:val="0"/>
      <w:numPr>
        <w:ilvl w:val="2"/>
      </w:numPr>
      <w:tabs>
        <w:tab w:val="num" w:pos="2127"/>
      </w:tabs>
      <w:autoSpaceDE/>
      <w:autoSpaceDN/>
      <w:adjustRightInd/>
      <w:spacing w:before="0" w:after="240" w:line="170" w:lineRule="exact"/>
      <w:ind w:left="2127" w:hanging="851"/>
      <w:jc w:val="both"/>
      <w:outlineLvl w:val="9"/>
    </w:pPr>
    <w:rPr>
      <w:rFonts w:eastAsia="Times New Roman"/>
      <w:b w:val="0"/>
      <w:bCs w:val="0"/>
      <w:color w:val="auto"/>
      <w:sz w:val="17"/>
      <w:szCs w:val="20"/>
    </w:rPr>
  </w:style>
  <w:style w:type="paragraph" w:customStyle="1" w:styleId="Number4">
    <w:name w:val="Number 4"/>
    <w:basedOn w:val="Heading4"/>
    <w:rsid w:val="00C03A6A"/>
    <w:pPr>
      <w:keepNext w:val="0"/>
      <w:keepLines w:val="0"/>
      <w:numPr>
        <w:ilvl w:val="3"/>
      </w:numPr>
      <w:tabs>
        <w:tab w:val="num" w:pos="3119"/>
      </w:tabs>
      <w:autoSpaceDE/>
      <w:autoSpaceDN/>
      <w:adjustRightInd/>
      <w:spacing w:before="0" w:after="240" w:line="170" w:lineRule="exact"/>
      <w:ind w:left="3118" w:hanging="993"/>
      <w:outlineLvl w:val="9"/>
    </w:pPr>
    <w:rPr>
      <w:rFonts w:eastAsia="Times New Roman"/>
      <w:color w:val="auto"/>
      <w:sz w:val="17"/>
      <w:szCs w:val="20"/>
    </w:rPr>
  </w:style>
  <w:style w:type="paragraph" w:customStyle="1" w:styleId="Number5">
    <w:name w:val="Number 5"/>
    <w:basedOn w:val="Heading5"/>
    <w:rsid w:val="00C03A6A"/>
    <w:pPr>
      <w:numPr>
        <w:ilvl w:val="4"/>
      </w:numPr>
      <w:tabs>
        <w:tab w:val="clear" w:pos="160"/>
        <w:tab w:val="clear" w:pos="320"/>
        <w:tab w:val="clear" w:pos="480"/>
        <w:tab w:val="clear" w:pos="4560"/>
        <w:tab w:val="num" w:pos="3686"/>
      </w:tabs>
      <w:spacing w:after="240"/>
      <w:ind w:left="3686" w:hanging="567"/>
      <w:jc w:val="both"/>
      <w:outlineLvl w:val="9"/>
    </w:pPr>
    <w:rPr>
      <w:b w:val="0"/>
      <w:smallCaps w:val="0"/>
    </w:rPr>
  </w:style>
  <w:style w:type="paragraph" w:customStyle="1" w:styleId="Number6">
    <w:name w:val="Number 6"/>
    <w:basedOn w:val="Heading6"/>
    <w:rsid w:val="00C03A6A"/>
    <w:pPr>
      <w:numPr>
        <w:ilvl w:val="5"/>
      </w:numPr>
      <w:tabs>
        <w:tab w:val="clear" w:pos="160"/>
        <w:tab w:val="clear" w:pos="320"/>
        <w:tab w:val="clear" w:pos="480"/>
        <w:tab w:val="clear" w:pos="4560"/>
        <w:tab w:val="left" w:pos="4253"/>
        <w:tab w:val="num" w:pos="4406"/>
      </w:tabs>
      <w:spacing w:after="240"/>
      <w:ind w:left="4253" w:hanging="567"/>
      <w:jc w:val="both"/>
      <w:outlineLvl w:val="9"/>
    </w:pPr>
  </w:style>
  <w:style w:type="paragraph" w:customStyle="1" w:styleId="Recitals">
    <w:name w:val="Recitals"/>
    <w:basedOn w:val="Normal"/>
    <w:rsid w:val="00C03A6A"/>
    <w:pPr>
      <w:numPr>
        <w:numId w:val="6"/>
      </w:numPr>
      <w:spacing w:after="240"/>
    </w:pPr>
    <w:rPr>
      <w:rFonts w:eastAsia="Times New Roman"/>
      <w:szCs w:val="20"/>
    </w:rPr>
  </w:style>
  <w:style w:type="paragraph" w:customStyle="1" w:styleId="Level2">
    <w:name w:val="Level 2"/>
    <w:basedOn w:val="Normal"/>
    <w:rsid w:val="00C03A6A"/>
    <w:pPr>
      <w:spacing w:after="240"/>
      <w:ind w:left="1276"/>
    </w:pPr>
    <w:rPr>
      <w:rFonts w:eastAsia="Times New Roman"/>
      <w:szCs w:val="20"/>
    </w:rPr>
  </w:style>
  <w:style w:type="paragraph" w:customStyle="1" w:styleId="Level3">
    <w:name w:val="Level 3"/>
    <w:basedOn w:val="Normal"/>
    <w:rsid w:val="00C03A6A"/>
    <w:pPr>
      <w:tabs>
        <w:tab w:val="left" w:pos="2127"/>
      </w:tabs>
      <w:spacing w:after="240"/>
      <w:ind w:left="2127"/>
    </w:pPr>
    <w:rPr>
      <w:rFonts w:eastAsia="Times New Roman"/>
      <w:szCs w:val="20"/>
    </w:rPr>
  </w:style>
  <w:style w:type="paragraph" w:customStyle="1" w:styleId="Level1">
    <w:name w:val="Level 1"/>
    <w:basedOn w:val="Normal"/>
    <w:rsid w:val="00C03A6A"/>
    <w:pPr>
      <w:spacing w:after="240"/>
      <w:ind w:left="567"/>
    </w:pPr>
    <w:rPr>
      <w:rFonts w:eastAsia="Times New Roman"/>
      <w:szCs w:val="20"/>
    </w:rPr>
  </w:style>
  <w:style w:type="paragraph" w:styleId="BodyTextIndent">
    <w:name w:val="Body Text Indent"/>
    <w:basedOn w:val="Normal"/>
    <w:link w:val="BodyTextIndentChar"/>
    <w:rsid w:val="00C03A6A"/>
    <w:pPr>
      <w:ind w:left="2160"/>
    </w:pPr>
    <w:rPr>
      <w:rFonts w:ascii="CG Times (W1)" w:eastAsia="Times New Roman" w:hAnsi="CG Times (W1)"/>
      <w:i/>
      <w:szCs w:val="20"/>
    </w:rPr>
  </w:style>
  <w:style w:type="character" w:customStyle="1" w:styleId="BodyTextIndentChar">
    <w:name w:val="Body Text Indent Char"/>
    <w:basedOn w:val="DefaultParagraphFont"/>
    <w:link w:val="BodyTextIndent"/>
    <w:rsid w:val="00C03A6A"/>
    <w:rPr>
      <w:rFonts w:ascii="CG Times (W1)" w:eastAsia="Times New Roman" w:hAnsi="CG Times (W1)"/>
      <w:i/>
      <w:sz w:val="17"/>
      <w:lang w:eastAsia="en-US"/>
    </w:rPr>
  </w:style>
  <w:style w:type="paragraph" w:styleId="BodyTextIndent2">
    <w:name w:val="Body Text Indent 2"/>
    <w:basedOn w:val="Normal"/>
    <w:link w:val="BodyTextIndent2Char"/>
    <w:rsid w:val="00C03A6A"/>
    <w:pPr>
      <w:spacing w:line="240" w:lineRule="exact"/>
      <w:ind w:left="2126"/>
    </w:pPr>
    <w:rPr>
      <w:rFonts w:ascii="CG Times (W1)" w:eastAsia="Times New Roman" w:hAnsi="CG Times (W1)"/>
      <w:i/>
      <w:iCs/>
      <w:szCs w:val="20"/>
    </w:rPr>
  </w:style>
  <w:style w:type="character" w:customStyle="1" w:styleId="BodyTextIndent2Char">
    <w:name w:val="Body Text Indent 2 Char"/>
    <w:basedOn w:val="DefaultParagraphFont"/>
    <w:link w:val="BodyTextIndent2"/>
    <w:rsid w:val="00C03A6A"/>
    <w:rPr>
      <w:rFonts w:ascii="CG Times (W1)" w:eastAsia="Times New Roman" w:hAnsi="CG Times (W1)"/>
      <w:i/>
      <w:iCs/>
      <w:sz w:val="17"/>
      <w:lang w:eastAsia="en-US"/>
    </w:rPr>
  </w:style>
  <w:style w:type="paragraph" w:customStyle="1" w:styleId="ScheduleAppendix">
    <w:name w:val="Schedule/Appendix"/>
    <w:basedOn w:val="Normal"/>
    <w:rsid w:val="00C03A6A"/>
    <w:pPr>
      <w:spacing w:after="240"/>
      <w:jc w:val="center"/>
    </w:pPr>
    <w:rPr>
      <w:rFonts w:eastAsia="Times New Roman"/>
      <w:b/>
      <w:caps/>
      <w:szCs w:val="20"/>
    </w:rPr>
  </w:style>
  <w:style w:type="paragraph" w:customStyle="1" w:styleId="GSAPaperBullet1">
    <w:name w:val="GSAPaperBullet1"/>
    <w:basedOn w:val="GSAPaperStd"/>
    <w:rsid w:val="00C03A6A"/>
    <w:pPr>
      <w:numPr>
        <w:numId w:val="7"/>
      </w:numPr>
      <w:tabs>
        <w:tab w:val="clear" w:pos="360"/>
        <w:tab w:val="left" w:pos="936"/>
      </w:tabs>
      <w:spacing w:before="0" w:line="240" w:lineRule="auto"/>
      <w:ind w:left="936"/>
    </w:pPr>
  </w:style>
  <w:style w:type="paragraph" w:customStyle="1" w:styleId="GSAPaperStd">
    <w:name w:val="GSAPaperStd"/>
    <w:basedOn w:val="GSAPaperCore"/>
    <w:rsid w:val="00C03A6A"/>
    <w:pPr>
      <w:spacing w:before="120" w:after="120"/>
      <w:ind w:left="576" w:hanging="576"/>
    </w:pPr>
  </w:style>
  <w:style w:type="paragraph" w:customStyle="1" w:styleId="GSAPaperCore">
    <w:name w:val="GSAPaperCore"/>
    <w:rsid w:val="00C03A6A"/>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C03A6A"/>
    <w:pPr>
      <w:numPr>
        <w:numId w:val="10"/>
      </w:numPr>
      <w:tabs>
        <w:tab w:val="clear" w:pos="360"/>
        <w:tab w:val="left" w:pos="936"/>
      </w:tabs>
      <w:spacing w:before="0"/>
      <w:ind w:left="936"/>
    </w:pPr>
  </w:style>
  <w:style w:type="paragraph" w:customStyle="1" w:styleId="GSALegExMemMain">
    <w:name w:val="GSALegExMemMain"/>
    <w:basedOn w:val="GSALegText"/>
    <w:rsid w:val="00C03A6A"/>
    <w:pPr>
      <w:spacing w:before="120" w:after="120"/>
      <w:ind w:left="576" w:hanging="576"/>
    </w:pPr>
  </w:style>
  <w:style w:type="paragraph" w:customStyle="1" w:styleId="GSALegText">
    <w:name w:val="GSALegText"/>
    <w:rsid w:val="00C03A6A"/>
    <w:rPr>
      <w:rFonts w:ascii="Times New Roman" w:eastAsia="Times New Roman" w:hAnsi="Times New Roman"/>
      <w:noProof/>
      <w:sz w:val="24"/>
      <w:lang w:eastAsia="en-US"/>
    </w:rPr>
  </w:style>
  <w:style w:type="paragraph" w:customStyle="1" w:styleId="GSAActionBullet1">
    <w:name w:val="GSAActionBullet1"/>
    <w:basedOn w:val="GSAActionDeadline"/>
    <w:rsid w:val="00C03A6A"/>
    <w:pPr>
      <w:numPr>
        <w:numId w:val="8"/>
      </w:numPr>
    </w:pPr>
  </w:style>
  <w:style w:type="paragraph" w:customStyle="1" w:styleId="GSAActionDeadline">
    <w:name w:val="GSAActionDeadline"/>
    <w:basedOn w:val="GSAActionCore"/>
    <w:rsid w:val="00C03A6A"/>
    <w:pPr>
      <w:spacing w:after="20"/>
    </w:pPr>
  </w:style>
  <w:style w:type="paragraph" w:customStyle="1" w:styleId="GSAActionCore">
    <w:name w:val="GSAActionCore"/>
    <w:rsid w:val="00C03A6A"/>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C03A6A"/>
    <w:pPr>
      <w:numPr>
        <w:numId w:val="9"/>
      </w:numPr>
      <w:tabs>
        <w:tab w:val="clear" w:pos="360"/>
        <w:tab w:val="num" w:pos="1296"/>
      </w:tabs>
      <w:ind w:left="1296"/>
    </w:pPr>
  </w:style>
  <w:style w:type="paragraph" w:customStyle="1" w:styleId="GSAMinuterBullet1">
    <w:name w:val="GSAMinuterBullet1"/>
    <w:basedOn w:val="GSAMinuteStd"/>
    <w:rsid w:val="00C03A6A"/>
    <w:pPr>
      <w:tabs>
        <w:tab w:val="left" w:pos="936"/>
      </w:tabs>
      <w:spacing w:before="0"/>
      <w:ind w:left="0"/>
    </w:pPr>
  </w:style>
  <w:style w:type="paragraph" w:customStyle="1" w:styleId="GSAMinuteStd">
    <w:name w:val="GSAMinuteStd"/>
    <w:basedOn w:val="GSAMinuteCore"/>
    <w:rsid w:val="00C03A6A"/>
    <w:pPr>
      <w:spacing w:before="120" w:after="120"/>
      <w:ind w:left="576"/>
    </w:pPr>
  </w:style>
  <w:style w:type="paragraph" w:customStyle="1" w:styleId="GSAMinuteCore">
    <w:name w:val="GSAMinuteCore"/>
    <w:rsid w:val="00C03A6A"/>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C03A6A"/>
    <w:pPr>
      <w:numPr>
        <w:numId w:val="11"/>
      </w:numPr>
      <w:ind w:left="720"/>
    </w:pPr>
  </w:style>
  <w:style w:type="paragraph" w:customStyle="1" w:styleId="LetterBullet1">
    <w:name w:val="Letter Bullet1"/>
    <w:basedOn w:val="LetterStandard"/>
    <w:rsid w:val="00C03A6A"/>
    <w:pPr>
      <w:numPr>
        <w:numId w:val="5"/>
      </w:numPr>
      <w:spacing w:before="0"/>
    </w:pPr>
  </w:style>
  <w:style w:type="paragraph" w:customStyle="1" w:styleId="LetterStandard">
    <w:name w:val="Letter Standard"/>
    <w:rsid w:val="00C03A6A"/>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C03A6A"/>
    <w:pPr>
      <w:numPr>
        <w:numId w:val="12"/>
      </w:numPr>
      <w:spacing w:before="40"/>
    </w:pPr>
  </w:style>
  <w:style w:type="paragraph" w:customStyle="1" w:styleId="ARText1">
    <w:name w:val="ARText1"/>
    <w:basedOn w:val="ARBase"/>
    <w:rsid w:val="00C03A6A"/>
    <w:pPr>
      <w:spacing w:before="80" w:after="80"/>
      <w:ind w:left="720"/>
      <w:jc w:val="both"/>
    </w:pPr>
  </w:style>
  <w:style w:type="paragraph" w:customStyle="1" w:styleId="ARBase">
    <w:name w:val="ARBase"/>
    <w:rsid w:val="00C03A6A"/>
    <w:pPr>
      <w:spacing w:line="245" w:lineRule="auto"/>
    </w:pPr>
    <w:rPr>
      <w:rFonts w:ascii="Times New Roman" w:eastAsia="Times New Roman" w:hAnsi="Times New Roman"/>
      <w:sz w:val="24"/>
      <w:lang w:eastAsia="en-US"/>
    </w:rPr>
  </w:style>
  <w:style w:type="paragraph" w:styleId="ListBullet">
    <w:name w:val="List Bullet"/>
    <w:basedOn w:val="Normal"/>
    <w:autoRedefine/>
    <w:rsid w:val="00C03A6A"/>
    <w:pPr>
      <w:tabs>
        <w:tab w:val="num" w:pos="360"/>
      </w:tabs>
      <w:ind w:left="360" w:hanging="360"/>
    </w:pPr>
    <w:rPr>
      <w:rFonts w:eastAsia="Times New Roman"/>
      <w:szCs w:val="20"/>
    </w:rPr>
  </w:style>
  <w:style w:type="paragraph" w:styleId="ListBullet2">
    <w:name w:val="List Bullet 2"/>
    <w:basedOn w:val="Normal"/>
    <w:autoRedefine/>
    <w:rsid w:val="00C03A6A"/>
    <w:pPr>
      <w:tabs>
        <w:tab w:val="num" w:pos="643"/>
      </w:tabs>
      <w:ind w:left="643" w:hanging="360"/>
    </w:pPr>
    <w:rPr>
      <w:rFonts w:eastAsia="Times New Roman"/>
      <w:szCs w:val="20"/>
    </w:rPr>
  </w:style>
  <w:style w:type="paragraph" w:styleId="ListBullet3">
    <w:name w:val="List Bullet 3"/>
    <w:basedOn w:val="Normal"/>
    <w:autoRedefine/>
    <w:rsid w:val="00C03A6A"/>
    <w:pPr>
      <w:tabs>
        <w:tab w:val="num" w:pos="1080"/>
      </w:tabs>
      <w:ind w:left="1080" w:hanging="360"/>
    </w:pPr>
    <w:rPr>
      <w:rFonts w:eastAsia="Times New Roman"/>
      <w:szCs w:val="20"/>
    </w:rPr>
  </w:style>
  <w:style w:type="paragraph" w:styleId="ListBullet4">
    <w:name w:val="List Bullet 4"/>
    <w:basedOn w:val="Normal"/>
    <w:autoRedefine/>
    <w:rsid w:val="00C03A6A"/>
    <w:pPr>
      <w:tabs>
        <w:tab w:val="num" w:pos="1440"/>
      </w:tabs>
      <w:ind w:left="1440" w:hanging="360"/>
    </w:pPr>
    <w:rPr>
      <w:rFonts w:eastAsia="Times New Roman"/>
      <w:szCs w:val="20"/>
    </w:rPr>
  </w:style>
  <w:style w:type="paragraph" w:styleId="ListBullet5">
    <w:name w:val="List Bullet 5"/>
    <w:basedOn w:val="Normal"/>
    <w:autoRedefine/>
    <w:rsid w:val="00C03A6A"/>
    <w:pPr>
      <w:tabs>
        <w:tab w:val="num" w:pos="1492"/>
      </w:tabs>
      <w:ind w:left="1492" w:hanging="360"/>
    </w:pPr>
    <w:rPr>
      <w:rFonts w:eastAsia="Times New Roman"/>
      <w:szCs w:val="20"/>
    </w:rPr>
  </w:style>
  <w:style w:type="paragraph" w:styleId="ListNumber">
    <w:name w:val="List Number"/>
    <w:basedOn w:val="Normal"/>
    <w:rsid w:val="00C03A6A"/>
    <w:pPr>
      <w:tabs>
        <w:tab w:val="num" w:pos="360"/>
      </w:tabs>
      <w:ind w:left="360" w:hanging="360"/>
    </w:pPr>
    <w:rPr>
      <w:rFonts w:eastAsia="Times New Roman"/>
      <w:szCs w:val="20"/>
    </w:rPr>
  </w:style>
  <w:style w:type="paragraph" w:styleId="ListNumber2">
    <w:name w:val="List Number 2"/>
    <w:basedOn w:val="Normal"/>
    <w:rsid w:val="00C03A6A"/>
    <w:pPr>
      <w:tabs>
        <w:tab w:val="num" w:pos="643"/>
      </w:tabs>
      <w:ind w:left="643" w:hanging="360"/>
    </w:pPr>
    <w:rPr>
      <w:rFonts w:eastAsia="Times New Roman"/>
      <w:szCs w:val="20"/>
    </w:rPr>
  </w:style>
  <w:style w:type="paragraph" w:styleId="ListNumber3">
    <w:name w:val="List Number 3"/>
    <w:basedOn w:val="Normal"/>
    <w:rsid w:val="00C03A6A"/>
    <w:pPr>
      <w:tabs>
        <w:tab w:val="num" w:pos="1080"/>
      </w:tabs>
      <w:ind w:left="1080" w:hanging="360"/>
    </w:pPr>
    <w:rPr>
      <w:rFonts w:eastAsia="Times New Roman"/>
      <w:szCs w:val="20"/>
    </w:rPr>
  </w:style>
  <w:style w:type="paragraph" w:styleId="ListNumber4">
    <w:name w:val="List Number 4"/>
    <w:basedOn w:val="Normal"/>
    <w:rsid w:val="00C03A6A"/>
    <w:pPr>
      <w:tabs>
        <w:tab w:val="num" w:pos="1440"/>
      </w:tabs>
      <w:ind w:left="1440" w:hanging="360"/>
    </w:pPr>
    <w:rPr>
      <w:rFonts w:eastAsia="Times New Roman"/>
      <w:szCs w:val="20"/>
    </w:rPr>
  </w:style>
  <w:style w:type="paragraph" w:styleId="ListNumber5">
    <w:name w:val="List Number 5"/>
    <w:basedOn w:val="Normal"/>
    <w:rsid w:val="00C03A6A"/>
    <w:pPr>
      <w:tabs>
        <w:tab w:val="num" w:pos="1800"/>
      </w:tabs>
      <w:ind w:left="1800" w:hanging="360"/>
    </w:pPr>
    <w:rPr>
      <w:rFonts w:eastAsia="Times New Roman"/>
      <w:szCs w:val="20"/>
    </w:rPr>
  </w:style>
  <w:style w:type="character" w:styleId="FootnoteReference">
    <w:name w:val="footnote reference"/>
    <w:rsid w:val="00C03A6A"/>
    <w:rPr>
      <w:vertAlign w:val="superscript"/>
    </w:rPr>
  </w:style>
  <w:style w:type="paragraph" w:styleId="NormalWeb">
    <w:name w:val="Normal (Web)"/>
    <w:basedOn w:val="Normal"/>
    <w:rsid w:val="00C03A6A"/>
    <w:pPr>
      <w:spacing w:after="120"/>
    </w:pPr>
    <w:rPr>
      <w:rFonts w:ascii="Arial Unicode MS" w:eastAsia="Arial Unicode MS" w:hAnsi="Arial Unicode MS" w:cs="Arial Unicode MS"/>
      <w:szCs w:val="24"/>
    </w:rPr>
  </w:style>
  <w:style w:type="paragraph" w:styleId="PlainText">
    <w:name w:val="Plain Text"/>
    <w:basedOn w:val="Normal"/>
    <w:link w:val="PlainTextChar"/>
    <w:rsid w:val="00C03A6A"/>
    <w:rPr>
      <w:rFonts w:ascii="Courier New" w:eastAsia="Times New Roman" w:hAnsi="Courier New" w:cs="Courier New"/>
      <w:sz w:val="20"/>
      <w:szCs w:val="20"/>
    </w:rPr>
  </w:style>
  <w:style w:type="character" w:customStyle="1" w:styleId="PlainTextChar">
    <w:name w:val="Plain Text Char"/>
    <w:basedOn w:val="DefaultParagraphFont"/>
    <w:link w:val="PlainText"/>
    <w:rsid w:val="00C03A6A"/>
    <w:rPr>
      <w:rFonts w:ascii="Courier New" w:eastAsia="Times New Roman" w:hAnsi="Courier New" w:cs="Courier New"/>
      <w:lang w:eastAsia="en-US"/>
    </w:rPr>
  </w:style>
  <w:style w:type="table" w:styleId="TableGrid">
    <w:name w:val="Table Grid"/>
    <w:basedOn w:val="TableNormal"/>
    <w:uiPriority w:val="59"/>
    <w:rsid w:val="00C03A6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C03A6A"/>
    <w:pPr>
      <w:spacing w:after="120" w:line="480" w:lineRule="auto"/>
    </w:pPr>
    <w:rPr>
      <w:rFonts w:eastAsia="Times New Roman"/>
      <w:szCs w:val="24"/>
    </w:rPr>
  </w:style>
  <w:style w:type="character" w:customStyle="1" w:styleId="BodyText2Char">
    <w:name w:val="Body Text 2 Char"/>
    <w:basedOn w:val="DefaultParagraphFont"/>
    <w:link w:val="BodyText2"/>
    <w:rsid w:val="00C03A6A"/>
    <w:rPr>
      <w:rFonts w:ascii="Times New Roman" w:eastAsia="Times New Roman" w:hAnsi="Times New Roman"/>
      <w:sz w:val="17"/>
      <w:szCs w:val="24"/>
      <w:lang w:eastAsia="en-US"/>
    </w:rPr>
  </w:style>
  <w:style w:type="paragraph" w:customStyle="1" w:styleId="WCbodycopy">
    <w:name w:val="WC body copy"/>
    <w:basedOn w:val="Normal"/>
    <w:rsid w:val="00C03A6A"/>
    <w:pPr>
      <w:spacing w:line="280" w:lineRule="exact"/>
    </w:pPr>
    <w:rPr>
      <w:rFonts w:ascii="Arial" w:eastAsia="Times" w:hAnsi="Arial"/>
      <w:sz w:val="18"/>
      <w:szCs w:val="20"/>
    </w:rPr>
  </w:style>
  <w:style w:type="numbering" w:customStyle="1" w:styleId="NoList11">
    <w:name w:val="No List11"/>
    <w:next w:val="NoList"/>
    <w:uiPriority w:val="99"/>
    <w:semiHidden/>
    <w:unhideWhenUsed/>
    <w:rsid w:val="00C03A6A"/>
  </w:style>
  <w:style w:type="numbering" w:customStyle="1" w:styleId="NoList111">
    <w:name w:val="No List111"/>
    <w:next w:val="NoList"/>
    <w:uiPriority w:val="99"/>
    <w:semiHidden/>
    <w:unhideWhenUsed/>
    <w:rsid w:val="00C03A6A"/>
  </w:style>
  <w:style w:type="table" w:customStyle="1" w:styleId="TableGrid1">
    <w:name w:val="Table Grid1"/>
    <w:basedOn w:val="TableNormal"/>
    <w:next w:val="TableGrid"/>
    <w:uiPriority w:val="59"/>
    <w:rsid w:val="00C03A6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1">
    <w:name w:val="src1"/>
    <w:rsid w:val="00C03A6A"/>
    <w:rPr>
      <w:i/>
      <w:iCs/>
      <w:color w:val="666666"/>
      <w:sz w:val="22"/>
      <w:szCs w:val="22"/>
    </w:rPr>
  </w:style>
  <w:style w:type="character" w:styleId="HTMLCite">
    <w:name w:val="HTML Cite"/>
    <w:rsid w:val="00C03A6A"/>
    <w:rPr>
      <w:i/>
      <w:iCs/>
    </w:rPr>
  </w:style>
  <w:style w:type="character" w:customStyle="1" w:styleId="section">
    <w:name w:val="section"/>
    <w:rsid w:val="00C03A6A"/>
  </w:style>
  <w:style w:type="paragraph" w:customStyle="1" w:styleId="GSALegTextHeadSection">
    <w:name w:val="GSALegTextHeadSection"/>
    <w:basedOn w:val="GSALegText"/>
    <w:next w:val="GSALegText1"/>
    <w:rsid w:val="00C03A6A"/>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C03A6A"/>
    <w:pPr>
      <w:tabs>
        <w:tab w:val="right" w:pos="1296"/>
        <w:tab w:val="left" w:pos="1440"/>
      </w:tabs>
      <w:spacing w:before="120" w:after="120"/>
      <w:ind w:left="1440" w:hanging="1440"/>
      <w:jc w:val="both"/>
    </w:pPr>
  </w:style>
  <w:style w:type="paragraph" w:customStyle="1" w:styleId="GSALegText1D">
    <w:name w:val="GSALegText1D"/>
    <w:basedOn w:val="GSALegText1"/>
    <w:rsid w:val="00C03A6A"/>
    <w:pPr>
      <w:ind w:left="2016" w:hanging="2016"/>
    </w:pPr>
  </w:style>
  <w:style w:type="paragraph" w:customStyle="1" w:styleId="GSALegTextHeadSectionIns">
    <w:name w:val="GSALegTextHeadSectionIns"/>
    <w:basedOn w:val="GSALegTextHeadSection"/>
    <w:rsid w:val="00C03A6A"/>
  </w:style>
  <w:style w:type="paragraph" w:customStyle="1" w:styleId="GSALegText2">
    <w:name w:val="GSALegText2"/>
    <w:basedOn w:val="GSALegText1"/>
    <w:rsid w:val="00C03A6A"/>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C03A6A"/>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C03A6A"/>
    <w:pPr>
      <w:tabs>
        <w:tab w:val="right" w:pos="144"/>
        <w:tab w:val="left" w:pos="288"/>
      </w:tabs>
      <w:spacing w:before="60" w:after="60"/>
      <w:ind w:left="288" w:hanging="288"/>
    </w:pPr>
    <w:rPr>
      <w:sz w:val="20"/>
    </w:rPr>
  </w:style>
  <w:style w:type="character" w:customStyle="1" w:styleId="Paranumbers">
    <w:name w:val="Para numbers"/>
    <w:rsid w:val="00C03A6A"/>
    <w:rPr>
      <w:rFonts w:ascii="CG Times" w:hAnsi="CG Times"/>
      <w:noProof w:val="0"/>
      <w:sz w:val="22"/>
      <w:lang w:val="en-US"/>
    </w:rPr>
  </w:style>
  <w:style w:type="paragraph" w:customStyle="1" w:styleId="general2">
    <w:name w:val="general 2"/>
    <w:rsid w:val="00C03A6A"/>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C03A6A"/>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C03A6A"/>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C03A6A"/>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C03A6A"/>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C03A6A"/>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C03A6A"/>
    <w:pPr>
      <w:tabs>
        <w:tab w:val="left" w:pos="-720"/>
      </w:tabs>
      <w:suppressAutoHyphens/>
    </w:pPr>
    <w:rPr>
      <w:rFonts w:ascii="CG Times" w:eastAsia="Times New Roman" w:hAnsi="CG Times"/>
      <w:sz w:val="22"/>
      <w:lang w:val="en-US" w:eastAsia="en-US"/>
    </w:rPr>
  </w:style>
  <w:style w:type="paragraph" w:customStyle="1" w:styleId="general6">
    <w:name w:val="general 6"/>
    <w:rsid w:val="00C03A6A"/>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C03A6A"/>
  </w:style>
  <w:style w:type="paragraph" w:customStyle="1" w:styleId="RightPar1">
    <w:name w:val="Right Par 1"/>
    <w:rsid w:val="00C03A6A"/>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C03A6A"/>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C03A6A"/>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C03A6A"/>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C03A6A"/>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C03A6A"/>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C03A6A"/>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C03A6A"/>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C03A6A"/>
    <w:rPr>
      <w:rFonts w:ascii="CG Times" w:hAnsi="CG Times"/>
      <w:noProof w:val="0"/>
      <w:sz w:val="22"/>
      <w:lang w:val="en-US"/>
    </w:rPr>
  </w:style>
  <w:style w:type="paragraph" w:customStyle="1" w:styleId="Technical5">
    <w:name w:val="Technical 5"/>
    <w:rsid w:val="00C03A6A"/>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C03A6A"/>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C03A6A"/>
    <w:rPr>
      <w:rFonts w:ascii="CG Times" w:hAnsi="CG Times"/>
      <w:noProof w:val="0"/>
      <w:sz w:val="22"/>
      <w:lang w:val="en-US"/>
    </w:rPr>
  </w:style>
  <w:style w:type="character" w:customStyle="1" w:styleId="Technical3">
    <w:name w:val="Technical 3"/>
    <w:rsid w:val="00C03A6A"/>
    <w:rPr>
      <w:rFonts w:ascii="CG Times" w:hAnsi="CG Times"/>
      <w:noProof w:val="0"/>
      <w:sz w:val="22"/>
      <w:lang w:val="en-US"/>
    </w:rPr>
  </w:style>
  <w:style w:type="paragraph" w:customStyle="1" w:styleId="Technical4">
    <w:name w:val="Technical 4"/>
    <w:rsid w:val="00C03A6A"/>
    <w:pPr>
      <w:tabs>
        <w:tab w:val="left" w:pos="-720"/>
      </w:tabs>
      <w:suppressAutoHyphens/>
    </w:pPr>
    <w:rPr>
      <w:rFonts w:ascii="CG Times" w:eastAsia="Times New Roman" w:hAnsi="CG Times"/>
      <w:b/>
      <w:sz w:val="22"/>
      <w:lang w:val="en-US" w:eastAsia="en-US"/>
    </w:rPr>
  </w:style>
  <w:style w:type="character" w:customStyle="1" w:styleId="Technical1">
    <w:name w:val="Technical 1"/>
    <w:rsid w:val="00C03A6A"/>
    <w:rPr>
      <w:rFonts w:ascii="CG Times" w:hAnsi="CG Times"/>
      <w:noProof w:val="0"/>
      <w:sz w:val="22"/>
      <w:lang w:val="en-US"/>
    </w:rPr>
  </w:style>
  <w:style w:type="paragraph" w:customStyle="1" w:styleId="Technical7">
    <w:name w:val="Technical 7"/>
    <w:rsid w:val="00C03A6A"/>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C03A6A"/>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C03A6A"/>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C03A6A"/>
  </w:style>
  <w:style w:type="character" w:customStyle="1" w:styleId="EquationCaption">
    <w:name w:val="_Equation Caption"/>
    <w:rsid w:val="00C03A6A"/>
  </w:style>
  <w:style w:type="paragraph" w:customStyle="1" w:styleId="galley0">
    <w:name w:val="galley"/>
    <w:basedOn w:val="Normal"/>
    <w:rsid w:val="00C03A6A"/>
    <w:pPr>
      <w:spacing w:line="170" w:lineRule="atLeast"/>
    </w:pPr>
    <w:rPr>
      <w:rFonts w:ascii="CG Times (W1)" w:eastAsia="Times New Roman" w:hAnsi="CG Times (W1)"/>
      <w:szCs w:val="17"/>
      <w:lang w:eastAsia="en-AU"/>
    </w:rPr>
  </w:style>
  <w:style w:type="paragraph" w:customStyle="1" w:styleId="HR">
    <w:name w:val="HR"/>
    <w:aliases w:val="Regulation Heading,Regulatio"/>
    <w:basedOn w:val="Normal"/>
    <w:next w:val="Normal"/>
    <w:rsid w:val="00C03A6A"/>
    <w:pPr>
      <w:keepNext/>
      <w:tabs>
        <w:tab w:val="left" w:pos="960"/>
      </w:tabs>
      <w:spacing w:before="360"/>
      <w:ind w:left="964" w:hanging="964"/>
    </w:pPr>
    <w:rPr>
      <w:rFonts w:ascii="CG Times (W1)" w:eastAsia="Times New Roman" w:hAnsi="CG Times (W1)"/>
      <w:b/>
      <w:szCs w:val="20"/>
      <w:lang w:eastAsia="en-AU"/>
    </w:rPr>
  </w:style>
  <w:style w:type="paragraph" w:styleId="BodyText">
    <w:name w:val="Body Text"/>
    <w:basedOn w:val="Normal"/>
    <w:link w:val="BodyTextChar"/>
    <w:qFormat/>
    <w:rsid w:val="00C03A6A"/>
    <w:pPr>
      <w:spacing w:after="120"/>
    </w:pPr>
    <w:rPr>
      <w:rFonts w:eastAsia="Times New Roman"/>
      <w:szCs w:val="20"/>
    </w:rPr>
  </w:style>
  <w:style w:type="character" w:customStyle="1" w:styleId="BodyTextChar">
    <w:name w:val="Body Text Char"/>
    <w:basedOn w:val="DefaultParagraphFont"/>
    <w:link w:val="BodyText"/>
    <w:rsid w:val="00C03A6A"/>
    <w:rPr>
      <w:rFonts w:ascii="Times New Roman" w:eastAsia="Times New Roman" w:hAnsi="Times New Roman"/>
      <w:sz w:val="17"/>
      <w:lang w:eastAsia="en-US"/>
    </w:rPr>
  </w:style>
  <w:style w:type="numbering" w:customStyle="1" w:styleId="NoList21">
    <w:name w:val="No List21"/>
    <w:next w:val="NoList"/>
    <w:uiPriority w:val="99"/>
    <w:semiHidden/>
    <w:rsid w:val="00C03A6A"/>
  </w:style>
  <w:style w:type="paragraph" w:customStyle="1" w:styleId="GFirstWord">
    <w:name w:val="G First Word"/>
    <w:basedOn w:val="Galley"/>
    <w:link w:val="GFirstWordChar"/>
    <w:rsid w:val="00C03A6A"/>
    <w:pPr>
      <w:spacing w:after="0"/>
    </w:pPr>
    <w:rPr>
      <w:lang w:val="x-none" w:eastAsia="x-none"/>
    </w:rPr>
  </w:style>
  <w:style w:type="character" w:customStyle="1" w:styleId="GFirstWordChar">
    <w:name w:val="G First Word Char"/>
    <w:link w:val="GFirstWord"/>
    <w:rsid w:val="00C03A6A"/>
    <w:rPr>
      <w:rFonts w:ascii="Times New Roman" w:eastAsia="Times New Roman" w:hAnsi="Times New Roman"/>
      <w:sz w:val="17"/>
      <w:lang w:val="x-none" w:eastAsia="x-none"/>
    </w:rPr>
  </w:style>
  <w:style w:type="table" w:customStyle="1" w:styleId="TableGrid2">
    <w:name w:val="Table Grid2"/>
    <w:basedOn w:val="TableNormal"/>
    <w:next w:val="TableGrid"/>
    <w:rsid w:val="00C03A6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C03A6A"/>
    <w:pPr>
      <w:spacing w:after="120"/>
      <w:ind w:left="283"/>
    </w:pPr>
    <w:rPr>
      <w:rFonts w:eastAsia="Times New Roman"/>
      <w:sz w:val="16"/>
      <w:szCs w:val="16"/>
    </w:rPr>
  </w:style>
  <w:style w:type="character" w:customStyle="1" w:styleId="BodyTextIndent3Char">
    <w:name w:val="Body Text Indent 3 Char"/>
    <w:basedOn w:val="DefaultParagraphFont"/>
    <w:link w:val="BodyTextIndent3"/>
    <w:rsid w:val="00C03A6A"/>
    <w:rPr>
      <w:rFonts w:ascii="Times New Roman" w:eastAsia="Times New Roman" w:hAnsi="Times New Roman"/>
      <w:sz w:val="16"/>
      <w:szCs w:val="16"/>
      <w:lang w:eastAsia="en-US"/>
    </w:rPr>
  </w:style>
  <w:style w:type="character" w:styleId="CommentReference">
    <w:name w:val="annotation reference"/>
    <w:rsid w:val="00C03A6A"/>
    <w:rPr>
      <w:sz w:val="16"/>
      <w:szCs w:val="16"/>
    </w:rPr>
  </w:style>
  <w:style w:type="paragraph" w:styleId="CommentText">
    <w:name w:val="annotation text"/>
    <w:basedOn w:val="Normal"/>
    <w:link w:val="CommentTextChar"/>
    <w:rsid w:val="00C03A6A"/>
    <w:rPr>
      <w:rFonts w:eastAsia="Times New Roman"/>
      <w:sz w:val="20"/>
      <w:szCs w:val="20"/>
    </w:rPr>
  </w:style>
  <w:style w:type="character" w:customStyle="1" w:styleId="CommentTextChar">
    <w:name w:val="Comment Text Char"/>
    <w:basedOn w:val="DefaultParagraphFont"/>
    <w:link w:val="CommentText"/>
    <w:rsid w:val="00C03A6A"/>
    <w:rPr>
      <w:rFonts w:ascii="Times New Roman" w:eastAsia="Times New Roman" w:hAnsi="Times New Roman"/>
      <w:lang w:eastAsia="en-US"/>
    </w:rPr>
  </w:style>
  <w:style w:type="paragraph" w:customStyle="1" w:styleId="StyleHeading1Kernat18pt">
    <w:name w:val="Style Heading 1 + Kern at 18 pt"/>
    <w:basedOn w:val="Heading1"/>
    <w:link w:val="StyleHeading1Kernat18ptChar"/>
    <w:autoRedefine/>
    <w:rsid w:val="00C03A6A"/>
    <w:pPr>
      <w:keepNext/>
      <w:spacing w:before="240" w:after="120" w:line="170" w:lineRule="exact"/>
      <w:jc w:val="left"/>
    </w:pPr>
    <w:rPr>
      <w:rFonts w:eastAsia="Times New Roman"/>
      <w:bCs/>
      <w:caps/>
      <w:smallCaps w:val="0"/>
      <w:color w:val="auto"/>
      <w:kern w:val="36"/>
      <w:sz w:val="22"/>
      <w:szCs w:val="20"/>
    </w:rPr>
  </w:style>
  <w:style w:type="paragraph" w:customStyle="1" w:styleId="TableRow">
    <w:name w:val="Table Row"/>
    <w:basedOn w:val="Normal"/>
    <w:rsid w:val="00C03A6A"/>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C03A6A"/>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C03A6A"/>
    <w:pPr>
      <w:keepNext/>
      <w:keepLines w:val="0"/>
      <w:autoSpaceDE/>
      <w:autoSpaceDN/>
      <w:adjustRightInd/>
      <w:spacing w:before="0" w:after="40" w:line="170" w:lineRule="exact"/>
      <w:jc w:val="both"/>
    </w:pPr>
    <w:rPr>
      <w:rFonts w:eastAsia="Times New Roman"/>
      <w:iCs/>
      <w:color w:val="auto"/>
      <w:sz w:val="20"/>
      <w:szCs w:val="20"/>
    </w:rPr>
  </w:style>
  <w:style w:type="character" w:customStyle="1" w:styleId="StyleHeading1Kernat18ptChar">
    <w:name w:val="Style Heading 1 + Kern at 18 pt Char"/>
    <w:link w:val="StyleHeading1Kernat18pt"/>
    <w:rsid w:val="00C03A6A"/>
    <w:rPr>
      <w:rFonts w:ascii="Times New Roman" w:eastAsia="Times New Roman" w:hAnsi="Times New Roman"/>
      <w:b/>
      <w:bCs/>
      <w:caps/>
      <w:kern w:val="36"/>
      <w:sz w:val="22"/>
      <w:lang w:eastAsia="en-US"/>
    </w:rPr>
  </w:style>
  <w:style w:type="character" w:customStyle="1" w:styleId="Instruction">
    <w:name w:val="Instruction"/>
    <w:rsid w:val="00C03A6A"/>
    <w:rPr>
      <w:rFonts w:ascii="Times New Roman" w:hAnsi="Times New Roman" w:cs="Courier New"/>
      <w:i/>
      <w:sz w:val="22"/>
    </w:rPr>
  </w:style>
  <w:style w:type="paragraph" w:customStyle="1" w:styleId="CoverTitle">
    <w:name w:val="Cover Title"/>
    <w:next w:val="CoverSub-title"/>
    <w:rsid w:val="00C03A6A"/>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C03A6A"/>
    <w:pPr>
      <w:spacing w:before="60" w:after="0" w:line="312" w:lineRule="auto"/>
    </w:pPr>
    <w:rPr>
      <w:color w:val="auto"/>
      <w:sz w:val="24"/>
    </w:rPr>
  </w:style>
  <w:style w:type="paragraph" w:customStyle="1" w:styleId="CoverText">
    <w:name w:val="Cover Text"/>
    <w:basedOn w:val="CoverTitle"/>
    <w:next w:val="Normal"/>
    <w:rsid w:val="00C03A6A"/>
    <w:pPr>
      <w:spacing w:before="600" w:after="0" w:line="312" w:lineRule="auto"/>
    </w:pPr>
    <w:rPr>
      <w:color w:val="auto"/>
      <w:sz w:val="24"/>
    </w:rPr>
  </w:style>
  <w:style w:type="paragraph" w:customStyle="1" w:styleId="Noparagraphstyle">
    <w:name w:val="[No paragraph style]"/>
    <w:rsid w:val="00C03A6A"/>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C03A6A"/>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C03A6A"/>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table" w:customStyle="1" w:styleId="TableGrid11">
    <w:name w:val="Table Grid11"/>
    <w:basedOn w:val="TableNormal"/>
    <w:next w:val="TableGrid"/>
    <w:rsid w:val="00C03A6A"/>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2Left0cmFirstline0cm">
    <w:name w:val="Style TOC 2 + Left:  0 cm First line:  0 cm"/>
    <w:basedOn w:val="TOC1"/>
    <w:autoRedefine/>
    <w:rsid w:val="00C03A6A"/>
    <w:pPr>
      <w:keepLines w:val="0"/>
      <w:tabs>
        <w:tab w:val="right" w:leader="dot" w:pos="9360"/>
      </w:tabs>
      <w:autoSpaceDE/>
      <w:autoSpaceDN/>
      <w:adjustRightInd/>
      <w:spacing w:before="60" w:after="60" w:line="240" w:lineRule="auto"/>
      <w:ind w:right="1000"/>
      <w:jc w:val="both"/>
    </w:pPr>
    <w:rPr>
      <w:rFonts w:ascii="Arial" w:hAnsi="Arial" w:cs="Arial"/>
      <w:bCs/>
      <w:noProof/>
      <w:color w:val="auto"/>
      <w:sz w:val="20"/>
      <w:szCs w:val="20"/>
      <w:lang w:val="en-GB" w:eastAsia="en-US"/>
    </w:rPr>
  </w:style>
  <w:style w:type="paragraph" w:customStyle="1" w:styleId="Style10ptBoldBefore4ptAfter4pt">
    <w:name w:val="Style 10 pt Bold Before:  4 pt After:  4 pt"/>
    <w:basedOn w:val="Normal"/>
    <w:autoRedefine/>
    <w:rsid w:val="00C03A6A"/>
    <w:pPr>
      <w:spacing w:before="80"/>
    </w:pPr>
    <w:rPr>
      <w:rFonts w:ascii="Arial" w:eastAsia="Times New Roman" w:hAnsi="Arial"/>
      <w:b/>
      <w:bCs/>
      <w:caps/>
      <w:kern w:val="36"/>
      <w:sz w:val="22"/>
      <w:szCs w:val="20"/>
      <w:lang w:val="en-GB"/>
    </w:rPr>
  </w:style>
  <w:style w:type="paragraph" w:customStyle="1" w:styleId="StyleHeading210pt">
    <w:name w:val="Style Heading 2 + 10 pt"/>
    <w:basedOn w:val="Heading2"/>
    <w:autoRedefine/>
    <w:rsid w:val="00C03A6A"/>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C03A6A"/>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C03A6A"/>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C03A6A"/>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C03A6A"/>
    <w:pPr>
      <w:keepNext/>
      <w:numPr>
        <w:ilvl w:val="1"/>
        <w:numId w:val="13"/>
      </w:numPr>
      <w:tabs>
        <w:tab w:val="left" w:pos="0"/>
        <w:tab w:val="left" w:pos="543"/>
        <w:tab w:val="left" w:pos="997"/>
        <w:tab w:val="left" w:pos="1450"/>
        <w:tab w:val="left" w:pos="1960"/>
        <w:tab w:val="left" w:pos="2584"/>
        <w:tab w:val="left" w:pos="3600"/>
      </w:tabs>
      <w:outlineLvl w:val="1"/>
    </w:pPr>
    <w:rPr>
      <w:rFonts w:ascii="Arial" w:eastAsia="Times New Roman" w:hAnsi="Arial" w:cs="Arial"/>
      <w:b/>
      <w:bCs/>
      <w:i/>
      <w:iCs/>
      <w:color w:val="000000"/>
      <w:szCs w:val="20"/>
      <w:lang w:val="en-GB" w:eastAsia="en-AU"/>
    </w:rPr>
  </w:style>
  <w:style w:type="paragraph" w:customStyle="1" w:styleId="HStyle">
    <w:name w:val="H Style"/>
    <w:basedOn w:val="Heading2"/>
    <w:link w:val="HStyleChar"/>
    <w:autoRedefine/>
    <w:rsid w:val="00C03A6A"/>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C03A6A"/>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rsid w:val="00C03A6A"/>
    <w:rPr>
      <w:b/>
      <w:bCs/>
    </w:rPr>
  </w:style>
  <w:style w:type="character" w:customStyle="1" w:styleId="CommentSubjectChar">
    <w:name w:val="Comment Subject Char"/>
    <w:basedOn w:val="CommentTextChar"/>
    <w:link w:val="CommentSubject"/>
    <w:rsid w:val="00C03A6A"/>
    <w:rPr>
      <w:rFonts w:ascii="Times New Roman" w:eastAsia="Times New Roman" w:hAnsi="Times New Roman"/>
      <w:b/>
      <w:bCs/>
      <w:lang w:eastAsia="en-US"/>
    </w:rPr>
  </w:style>
  <w:style w:type="numbering" w:customStyle="1" w:styleId="NoList31">
    <w:name w:val="No List31"/>
    <w:next w:val="NoList"/>
    <w:uiPriority w:val="99"/>
    <w:semiHidden/>
    <w:unhideWhenUsed/>
    <w:rsid w:val="00C03A6A"/>
  </w:style>
  <w:style w:type="paragraph" w:customStyle="1" w:styleId="Style2">
    <w:name w:val="Style2"/>
    <w:basedOn w:val="Normal"/>
    <w:link w:val="Style2Char"/>
    <w:autoRedefine/>
    <w:qFormat/>
    <w:rsid w:val="00C03A6A"/>
    <w:pPr>
      <w:keepNext/>
      <w:spacing w:before="120"/>
      <w:ind w:left="-70"/>
      <w:outlineLvl w:val="0"/>
    </w:pPr>
    <w:rPr>
      <w:rFonts w:eastAsia="Times New Roman"/>
      <w:b/>
      <w:bCs/>
      <w:caps/>
      <w:kern w:val="36"/>
      <w:sz w:val="22"/>
      <w:szCs w:val="20"/>
      <w:lang w:eastAsia="en-AU"/>
    </w:rPr>
  </w:style>
  <w:style w:type="character" w:customStyle="1" w:styleId="Style2Char">
    <w:name w:val="Style2 Char"/>
    <w:link w:val="Style2"/>
    <w:rsid w:val="00C03A6A"/>
    <w:rPr>
      <w:rFonts w:ascii="Times New Roman" w:eastAsia="Times New Roman" w:hAnsi="Times New Roman"/>
      <w:b/>
      <w:bCs/>
      <w:caps/>
      <w:kern w:val="36"/>
      <w:sz w:val="22"/>
    </w:rPr>
  </w:style>
  <w:style w:type="paragraph" w:customStyle="1" w:styleId="Default">
    <w:name w:val="Default"/>
    <w:rsid w:val="00C03A6A"/>
    <w:pPr>
      <w:widowControl w:val="0"/>
      <w:autoSpaceDE w:val="0"/>
      <w:autoSpaceDN w:val="0"/>
      <w:adjustRightInd w:val="0"/>
    </w:pPr>
    <w:rPr>
      <w:rFonts w:ascii="AFHDL H+ Helvetica Neue" w:eastAsia="Times New Roman" w:hAnsi="AFHDL H+ Helvetica Neue" w:cs="AFHDL H+ Helvetica Neue"/>
      <w:color w:val="000000"/>
      <w:sz w:val="24"/>
      <w:szCs w:val="24"/>
    </w:rPr>
  </w:style>
  <w:style w:type="numbering" w:customStyle="1" w:styleId="NoList4">
    <w:name w:val="No List4"/>
    <w:next w:val="NoList"/>
    <w:uiPriority w:val="99"/>
    <w:semiHidden/>
    <w:unhideWhenUsed/>
    <w:rsid w:val="00C03A6A"/>
  </w:style>
  <w:style w:type="paragraph" w:customStyle="1" w:styleId="Groupheading">
    <w:name w:val="Group heading"/>
    <w:basedOn w:val="Normal"/>
    <w:link w:val="GroupheadingChar"/>
    <w:autoRedefine/>
    <w:rsid w:val="00C03A6A"/>
    <w:rPr>
      <w:rFonts w:eastAsia="Times New Roman"/>
      <w:b/>
      <w:bCs/>
      <w:caps/>
      <w:sz w:val="22"/>
      <w:szCs w:val="20"/>
      <w:lang w:eastAsia="en-AU"/>
    </w:rPr>
  </w:style>
  <w:style w:type="character" w:customStyle="1" w:styleId="GroupheadingChar">
    <w:name w:val="Group heading Char"/>
    <w:link w:val="Groupheading"/>
    <w:rsid w:val="00C03A6A"/>
    <w:rPr>
      <w:rFonts w:ascii="Times New Roman" w:eastAsia="Times New Roman" w:hAnsi="Times New Roman"/>
      <w:b/>
      <w:bCs/>
      <w:caps/>
      <w:sz w:val="22"/>
    </w:rPr>
  </w:style>
  <w:style w:type="numbering" w:customStyle="1" w:styleId="NoList5">
    <w:name w:val="No List5"/>
    <w:next w:val="NoList"/>
    <w:uiPriority w:val="99"/>
    <w:semiHidden/>
    <w:unhideWhenUsed/>
    <w:rsid w:val="00C03A6A"/>
  </w:style>
  <w:style w:type="paragraph" w:customStyle="1" w:styleId="font5">
    <w:name w:val="font5"/>
    <w:basedOn w:val="Normal"/>
    <w:rsid w:val="00C03A6A"/>
    <w:pPr>
      <w:spacing w:before="100" w:beforeAutospacing="1" w:after="100" w:afterAutospacing="1"/>
    </w:pPr>
    <w:rPr>
      <w:rFonts w:eastAsia="Times New Roman"/>
      <w:color w:val="000000"/>
      <w:sz w:val="20"/>
      <w:szCs w:val="20"/>
      <w:lang w:eastAsia="en-AU"/>
    </w:rPr>
  </w:style>
  <w:style w:type="paragraph" w:customStyle="1" w:styleId="font6">
    <w:name w:val="font6"/>
    <w:basedOn w:val="Normal"/>
    <w:rsid w:val="00C03A6A"/>
    <w:pPr>
      <w:spacing w:before="100" w:beforeAutospacing="1" w:after="100" w:afterAutospacing="1"/>
    </w:pPr>
    <w:rPr>
      <w:rFonts w:eastAsia="Times New Roman"/>
      <w:color w:val="000000"/>
      <w:sz w:val="20"/>
      <w:szCs w:val="20"/>
      <w:lang w:eastAsia="en-AU"/>
    </w:rPr>
  </w:style>
  <w:style w:type="paragraph" w:customStyle="1" w:styleId="MainHeader">
    <w:name w:val="Main Header"/>
    <w:basedOn w:val="Normal"/>
    <w:uiPriority w:val="99"/>
    <w:rsid w:val="00C03A6A"/>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Bodycopy">
    <w:name w:val="Body copy"/>
    <w:basedOn w:val="Normal"/>
    <w:uiPriority w:val="1"/>
    <w:qFormat/>
    <w:rsid w:val="00C03A6A"/>
    <w:pPr>
      <w:widowControl w:val="0"/>
      <w:suppressAutoHyphens/>
      <w:autoSpaceDE w:val="0"/>
      <w:autoSpaceDN w:val="0"/>
      <w:adjustRightInd w:val="0"/>
      <w:spacing w:line="360" w:lineRule="atLeast"/>
      <w:textAlignment w:val="center"/>
    </w:pPr>
    <w:rPr>
      <w:rFonts w:ascii="Source Sans Pro" w:eastAsia="MS Mincho" w:hAnsi="Source Sans Pro" w:cs="SourceSansPro-Light"/>
      <w:color w:val="000000"/>
      <w:sz w:val="22"/>
      <w:szCs w:val="20"/>
      <w:lang w:val="en-US"/>
    </w:rPr>
  </w:style>
  <w:style w:type="paragraph" w:customStyle="1" w:styleId="Numbers">
    <w:name w:val="Numbers"/>
    <w:basedOn w:val="Bodycopy"/>
    <w:uiPriority w:val="1"/>
    <w:qFormat/>
    <w:rsid w:val="00C03A6A"/>
    <w:pPr>
      <w:numPr>
        <w:numId w:val="15"/>
      </w:numPr>
      <w:tabs>
        <w:tab w:val="num" w:pos="2007"/>
      </w:tabs>
      <w:ind w:left="426" w:hanging="426"/>
    </w:pPr>
  </w:style>
  <w:style w:type="paragraph" w:customStyle="1" w:styleId="MainHeadingCover">
    <w:name w:val="Main Heading Cover"/>
    <w:basedOn w:val="Normal"/>
    <w:uiPriority w:val="1"/>
    <w:rsid w:val="00C03A6A"/>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C03A6A"/>
    <w:pPr>
      <w:spacing w:line="720" w:lineRule="exact"/>
    </w:pPr>
    <w:rPr>
      <w:rFonts w:ascii="Source Sans Pro" w:eastAsia="MS Mincho" w:hAnsi="Source Sans Pro"/>
      <w:color w:val="56565A"/>
      <w:sz w:val="22"/>
      <w:szCs w:val="24"/>
    </w:rPr>
  </w:style>
  <w:style w:type="paragraph" w:customStyle="1" w:styleId="Bullets">
    <w:name w:val="Bullets"/>
    <w:basedOn w:val="Bodycopy"/>
    <w:uiPriority w:val="1"/>
    <w:qFormat/>
    <w:rsid w:val="00C03A6A"/>
    <w:pPr>
      <w:numPr>
        <w:numId w:val="14"/>
      </w:numPr>
      <w:tabs>
        <w:tab w:val="num" w:pos="567"/>
      </w:tabs>
      <w:ind w:left="567" w:hanging="567"/>
    </w:pPr>
  </w:style>
  <w:style w:type="paragraph" w:customStyle="1" w:styleId="TOCHeader">
    <w:name w:val="TOC Header"/>
    <w:basedOn w:val="Normal"/>
    <w:uiPriority w:val="1"/>
    <w:rsid w:val="00C03A6A"/>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table" w:customStyle="1" w:styleId="RTWSATable">
    <w:name w:val="RTWSA Table"/>
    <w:basedOn w:val="TableNormal"/>
    <w:uiPriority w:val="99"/>
    <w:rsid w:val="00C03A6A"/>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C03A6A"/>
    <w:rPr>
      <w:rFonts w:ascii="Source Sans Pro" w:eastAsia="MS Mincho" w:hAnsi="Source Sans Pro"/>
      <w:sz w:val="22"/>
      <w:szCs w:val="24"/>
      <w:lang w:eastAsia="en-US"/>
    </w:rPr>
    <w:tblPr/>
    <w:tcPr>
      <w:shd w:val="clear" w:color="auto" w:fill="auto"/>
    </w:tcPr>
  </w:style>
  <w:style w:type="paragraph" w:customStyle="1" w:styleId="TableHeading">
    <w:name w:val="Table Heading"/>
    <w:basedOn w:val="Bodycopy"/>
    <w:uiPriority w:val="1"/>
    <w:rsid w:val="00C03A6A"/>
    <w:rPr>
      <w:color w:val="FFFFFF"/>
    </w:rPr>
  </w:style>
  <w:style w:type="paragraph" w:customStyle="1" w:styleId="Hangindent">
    <w:name w:val="Hang indent"/>
    <w:basedOn w:val="Normal"/>
    <w:qFormat/>
    <w:rsid w:val="00C03A6A"/>
    <w:pPr>
      <w:widowControl w:val="0"/>
      <w:overflowPunct w:val="0"/>
      <w:autoSpaceDE w:val="0"/>
      <w:autoSpaceDN w:val="0"/>
      <w:adjustRightInd w:val="0"/>
      <w:spacing w:after="120"/>
      <w:ind w:left="1418" w:hanging="567"/>
      <w:textAlignment w:val="baseline"/>
    </w:pPr>
    <w:rPr>
      <w:rFonts w:eastAsia="Times New Roman"/>
      <w:szCs w:val="23"/>
    </w:rPr>
  </w:style>
  <w:style w:type="paragraph" w:customStyle="1" w:styleId="IndentedPara">
    <w:name w:val="IndentedPara"/>
    <w:basedOn w:val="Normal"/>
    <w:next w:val="Hangindent"/>
    <w:qFormat/>
    <w:rsid w:val="00C03A6A"/>
    <w:pPr>
      <w:widowControl w:val="0"/>
      <w:tabs>
        <w:tab w:val="left" w:pos="851"/>
      </w:tabs>
      <w:overflowPunct w:val="0"/>
      <w:autoSpaceDE w:val="0"/>
      <w:autoSpaceDN w:val="0"/>
      <w:adjustRightInd w:val="0"/>
      <w:spacing w:before="120" w:after="120"/>
      <w:ind w:left="851"/>
      <w:textAlignment w:val="baseline"/>
    </w:pPr>
    <w:rPr>
      <w:rFonts w:eastAsia="Times New Roman"/>
      <w:color w:val="000000"/>
      <w:szCs w:val="23"/>
      <w:lang w:val="en-US"/>
    </w:rPr>
  </w:style>
  <w:style w:type="paragraph" w:customStyle="1" w:styleId="Numbers1">
    <w:name w:val="Numbers1"/>
    <w:basedOn w:val="ListParagraph"/>
    <w:link w:val="Numbers1Char"/>
    <w:qFormat/>
    <w:rsid w:val="00C03A6A"/>
    <w:pPr>
      <w:ind w:left="0"/>
    </w:pPr>
    <w:rPr>
      <w:rFonts w:eastAsia="Times New Roman"/>
      <w:szCs w:val="17"/>
    </w:rPr>
  </w:style>
  <w:style w:type="character" w:customStyle="1" w:styleId="Numbers1Char">
    <w:name w:val="Numbers1 Char"/>
    <w:basedOn w:val="DefaultParagraphFont"/>
    <w:link w:val="Numbers1"/>
    <w:rsid w:val="00C03A6A"/>
    <w:rPr>
      <w:rFonts w:ascii="Times New Roman" w:eastAsia="Times New Roman" w:hAnsi="Times New Roman"/>
      <w:sz w:val="17"/>
      <w:szCs w:val="17"/>
      <w:lang w:eastAsia="en-US"/>
    </w:rPr>
  </w:style>
  <w:style w:type="paragraph" w:customStyle="1" w:styleId="NormalRight">
    <w:name w:val="NormalRight"/>
    <w:basedOn w:val="Normal"/>
    <w:link w:val="NormalRightChar"/>
    <w:qFormat/>
    <w:rsid w:val="00C03A6A"/>
    <w:pPr>
      <w:jc w:val="right"/>
    </w:pPr>
    <w:rPr>
      <w:rFonts w:eastAsia="Times New Roman"/>
      <w:szCs w:val="17"/>
    </w:rPr>
  </w:style>
  <w:style w:type="character" w:customStyle="1" w:styleId="NormalRightChar">
    <w:name w:val="NormalRight Char"/>
    <w:basedOn w:val="DefaultParagraphFont"/>
    <w:link w:val="NormalRight"/>
    <w:rsid w:val="00C03A6A"/>
    <w:rPr>
      <w:rFonts w:ascii="Times New Roman" w:eastAsia="Times New Roman" w:hAnsi="Times New Roman"/>
      <w:sz w:val="17"/>
      <w:szCs w:val="17"/>
      <w:lang w:eastAsia="en-US"/>
    </w:rPr>
  </w:style>
  <w:style w:type="character" w:customStyle="1" w:styleId="SmallCaps">
    <w:name w:val="SmallCaps"/>
    <w:basedOn w:val="DefaultParagraphFont"/>
    <w:uiPriority w:val="1"/>
    <w:qFormat/>
    <w:rsid w:val="00C03A6A"/>
    <w:rPr>
      <w:smallCaps/>
    </w:rPr>
  </w:style>
  <w:style w:type="numbering" w:customStyle="1" w:styleId="NoList6">
    <w:name w:val="No List6"/>
    <w:next w:val="NoList"/>
    <w:uiPriority w:val="99"/>
    <w:semiHidden/>
    <w:unhideWhenUsed/>
    <w:rsid w:val="00C03A6A"/>
  </w:style>
  <w:style w:type="table" w:customStyle="1" w:styleId="TableGrid3">
    <w:name w:val="Table Grid3"/>
    <w:basedOn w:val="TableNormal"/>
    <w:next w:val="TableGrid"/>
    <w:uiPriority w:val="59"/>
    <w:rsid w:val="00C03A6A"/>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A78F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jc w:val="both"/>
    </w:pPr>
    <w:rPr>
      <w:rFonts w:ascii="Times New Roman" w:eastAsia="Times New Roman" w:hAnsi="Times New Roman"/>
      <w:sz w:val="17"/>
      <w:szCs w:val="17"/>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E26C8E"/>
  </w:style>
  <w:style w:type="table" w:customStyle="1" w:styleId="TableGrid5">
    <w:name w:val="Table Grid5"/>
    <w:basedOn w:val="TableNormal"/>
    <w:next w:val="TableGrid"/>
    <w:uiPriority w:val="59"/>
    <w:rsid w:val="00E26C8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E26C8E"/>
  </w:style>
  <w:style w:type="numbering" w:customStyle="1" w:styleId="NoList112">
    <w:name w:val="No List112"/>
    <w:next w:val="NoList"/>
    <w:uiPriority w:val="99"/>
    <w:semiHidden/>
    <w:unhideWhenUsed/>
    <w:rsid w:val="00E26C8E"/>
  </w:style>
  <w:style w:type="table" w:customStyle="1" w:styleId="TableGrid12">
    <w:name w:val="Table Grid12"/>
    <w:basedOn w:val="TableNormal"/>
    <w:next w:val="TableGrid"/>
    <w:uiPriority w:val="59"/>
    <w:rsid w:val="00E26C8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E26C8E"/>
  </w:style>
  <w:style w:type="table" w:customStyle="1" w:styleId="TableGrid21">
    <w:name w:val="Table Grid21"/>
    <w:basedOn w:val="TableNormal"/>
    <w:next w:val="TableGrid"/>
    <w:rsid w:val="00E26C8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E26C8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E26C8E"/>
  </w:style>
  <w:style w:type="numbering" w:customStyle="1" w:styleId="NoList41">
    <w:name w:val="No List41"/>
    <w:next w:val="NoList"/>
    <w:uiPriority w:val="99"/>
    <w:semiHidden/>
    <w:unhideWhenUsed/>
    <w:rsid w:val="00E26C8E"/>
  </w:style>
  <w:style w:type="numbering" w:customStyle="1" w:styleId="NoList51">
    <w:name w:val="No List51"/>
    <w:next w:val="NoList"/>
    <w:uiPriority w:val="99"/>
    <w:semiHidden/>
    <w:unhideWhenUsed/>
    <w:rsid w:val="00E26C8E"/>
  </w:style>
  <w:style w:type="table" w:customStyle="1" w:styleId="RTWSATable1">
    <w:name w:val="RTWSA Table1"/>
    <w:basedOn w:val="TableNormal"/>
    <w:uiPriority w:val="99"/>
    <w:rsid w:val="00E26C8E"/>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E26C8E"/>
    <w:rPr>
      <w:rFonts w:ascii="Source Sans Pro" w:eastAsia="MS Mincho" w:hAnsi="Source Sans Pro"/>
      <w:sz w:val="22"/>
      <w:szCs w:val="24"/>
      <w:lang w:eastAsia="en-US"/>
    </w:rPr>
    <w:tblPr/>
    <w:tcPr>
      <w:shd w:val="clear" w:color="auto" w:fill="auto"/>
    </w:tcPr>
  </w:style>
  <w:style w:type="character" w:customStyle="1" w:styleId="xnormaltextrun">
    <w:name w:val="x_normaltextrun"/>
    <w:basedOn w:val="DefaultParagraphFont"/>
    <w:rsid w:val="00E26C8E"/>
  </w:style>
  <w:style w:type="table" w:customStyle="1" w:styleId="TableGrid121">
    <w:name w:val="Table Grid121"/>
    <w:basedOn w:val="TableNormal"/>
    <w:next w:val="TableGrid"/>
    <w:rsid w:val="00E26C8E"/>
    <w:rPr>
      <w:rFonts w:eastAsia="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rsid w:val="00E26C8E"/>
    <w:rPr>
      <w:rFonts w:eastAsia="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E26C8E"/>
  </w:style>
  <w:style w:type="paragraph" w:customStyle="1" w:styleId="paragraph">
    <w:name w:val="paragraph"/>
    <w:basedOn w:val="Normal"/>
    <w:rsid w:val="00E26C8E"/>
    <w:pPr>
      <w:spacing w:before="100" w:beforeAutospacing="1" w:after="100" w:afterAutospacing="1" w:line="240" w:lineRule="auto"/>
      <w:jc w:val="left"/>
    </w:pPr>
    <w:rPr>
      <w:rFonts w:eastAsia="Times New Roman"/>
      <w:sz w:val="24"/>
      <w:szCs w:val="24"/>
      <w:lang w:eastAsia="en-AU"/>
    </w:rPr>
  </w:style>
  <w:style w:type="character" w:customStyle="1" w:styleId="normaltextrun">
    <w:name w:val="normaltextrun"/>
    <w:basedOn w:val="DefaultParagraphFont"/>
    <w:rsid w:val="00E26C8E"/>
  </w:style>
  <w:style w:type="character" w:customStyle="1" w:styleId="eop">
    <w:name w:val="eop"/>
    <w:basedOn w:val="DefaultParagraphFont"/>
    <w:rsid w:val="00E26C8E"/>
  </w:style>
  <w:style w:type="character" w:customStyle="1" w:styleId="pagebreaktextspan">
    <w:name w:val="pagebreaktextspan"/>
    <w:basedOn w:val="DefaultParagraphFont"/>
    <w:rsid w:val="00E26C8E"/>
  </w:style>
  <w:style w:type="paragraph" w:customStyle="1" w:styleId="msonormal0">
    <w:name w:val="msonormal"/>
    <w:basedOn w:val="Normal"/>
    <w:rsid w:val="00E26C8E"/>
    <w:pPr>
      <w:spacing w:before="100" w:beforeAutospacing="1" w:after="100" w:afterAutospacing="1" w:line="240" w:lineRule="auto"/>
      <w:jc w:val="left"/>
    </w:pPr>
    <w:rPr>
      <w:rFonts w:eastAsia="Times New Roman"/>
      <w:sz w:val="24"/>
      <w:szCs w:val="24"/>
      <w:lang w:eastAsia="en-AU"/>
    </w:rPr>
  </w:style>
  <w:style w:type="character" w:customStyle="1" w:styleId="textrun">
    <w:name w:val="textrun"/>
    <w:basedOn w:val="DefaultParagraphFont"/>
    <w:rsid w:val="00E26C8E"/>
  </w:style>
  <w:style w:type="character" w:customStyle="1" w:styleId="scxw199622027">
    <w:name w:val="scxw199622027"/>
    <w:basedOn w:val="DefaultParagraphFont"/>
    <w:rsid w:val="00E26C8E"/>
  </w:style>
  <w:style w:type="character" w:customStyle="1" w:styleId="scxw12072295">
    <w:name w:val="scxw12072295"/>
    <w:basedOn w:val="DefaultParagraphFont"/>
    <w:rsid w:val="00E26C8E"/>
  </w:style>
  <w:style w:type="character" w:customStyle="1" w:styleId="bcx9">
    <w:name w:val="bcx9"/>
    <w:basedOn w:val="DefaultParagraphFont"/>
    <w:rsid w:val="00E26C8E"/>
  </w:style>
  <w:style w:type="character" w:customStyle="1" w:styleId="fieldrange">
    <w:name w:val="fieldrange"/>
    <w:basedOn w:val="DefaultParagraphFont"/>
    <w:rsid w:val="00E26C8E"/>
  </w:style>
  <w:style w:type="paragraph" w:customStyle="1" w:styleId="Heading21">
    <w:name w:val="Heading 21"/>
    <w:basedOn w:val="Normal"/>
    <w:next w:val="Normal"/>
    <w:uiPriority w:val="9"/>
    <w:unhideWhenUsed/>
    <w:qFormat/>
    <w:rsid w:val="00E26C8E"/>
    <w:pPr>
      <w:keepNext/>
      <w:keepLines/>
      <w:widowControl w:val="0"/>
      <w:autoSpaceDE w:val="0"/>
      <w:autoSpaceDN w:val="0"/>
      <w:spacing w:before="40" w:after="0" w:line="240" w:lineRule="auto"/>
      <w:ind w:left="576" w:hanging="576"/>
      <w:jc w:val="left"/>
      <w:outlineLvl w:val="1"/>
    </w:pPr>
    <w:rPr>
      <w:rFonts w:ascii="Cambria" w:eastAsia="Times New Roman" w:hAnsi="Cambria"/>
      <w:color w:val="365F91"/>
      <w:sz w:val="26"/>
      <w:szCs w:val="26"/>
      <w:lang w:val="en-US"/>
    </w:rPr>
  </w:style>
  <w:style w:type="paragraph" w:customStyle="1" w:styleId="Heading51">
    <w:name w:val="Heading 51"/>
    <w:basedOn w:val="Normal"/>
    <w:next w:val="Normal"/>
    <w:uiPriority w:val="9"/>
    <w:semiHidden/>
    <w:unhideWhenUsed/>
    <w:qFormat/>
    <w:rsid w:val="00E26C8E"/>
    <w:pPr>
      <w:keepNext/>
      <w:keepLines/>
      <w:widowControl w:val="0"/>
      <w:autoSpaceDE w:val="0"/>
      <w:autoSpaceDN w:val="0"/>
      <w:spacing w:before="40" w:after="0" w:line="240" w:lineRule="auto"/>
      <w:ind w:left="1008" w:hanging="1008"/>
      <w:jc w:val="left"/>
      <w:outlineLvl w:val="4"/>
    </w:pPr>
    <w:rPr>
      <w:rFonts w:ascii="Cambria" w:eastAsia="Times New Roman" w:hAnsi="Cambria"/>
      <w:color w:val="365F91"/>
      <w:sz w:val="22"/>
      <w:lang w:val="en-US"/>
    </w:rPr>
  </w:style>
  <w:style w:type="paragraph" w:customStyle="1" w:styleId="Heading61">
    <w:name w:val="Heading 61"/>
    <w:basedOn w:val="Normal"/>
    <w:next w:val="Normal"/>
    <w:uiPriority w:val="9"/>
    <w:semiHidden/>
    <w:unhideWhenUsed/>
    <w:qFormat/>
    <w:rsid w:val="00E26C8E"/>
    <w:pPr>
      <w:keepNext/>
      <w:keepLines/>
      <w:widowControl w:val="0"/>
      <w:autoSpaceDE w:val="0"/>
      <w:autoSpaceDN w:val="0"/>
      <w:spacing w:before="40" w:after="0" w:line="240" w:lineRule="auto"/>
      <w:ind w:left="1152" w:hanging="1152"/>
      <w:jc w:val="left"/>
      <w:outlineLvl w:val="5"/>
    </w:pPr>
    <w:rPr>
      <w:rFonts w:ascii="Cambria" w:eastAsia="Times New Roman" w:hAnsi="Cambria"/>
      <w:color w:val="243F60"/>
      <w:sz w:val="22"/>
      <w:lang w:val="en-US"/>
    </w:rPr>
  </w:style>
  <w:style w:type="paragraph" w:customStyle="1" w:styleId="Heading71">
    <w:name w:val="Heading 71"/>
    <w:basedOn w:val="Normal"/>
    <w:next w:val="Normal"/>
    <w:uiPriority w:val="9"/>
    <w:semiHidden/>
    <w:unhideWhenUsed/>
    <w:qFormat/>
    <w:rsid w:val="00E26C8E"/>
    <w:pPr>
      <w:keepNext/>
      <w:keepLines/>
      <w:widowControl w:val="0"/>
      <w:autoSpaceDE w:val="0"/>
      <w:autoSpaceDN w:val="0"/>
      <w:spacing w:before="40" w:after="0" w:line="240" w:lineRule="auto"/>
      <w:ind w:left="1296" w:hanging="1296"/>
      <w:jc w:val="left"/>
      <w:outlineLvl w:val="6"/>
    </w:pPr>
    <w:rPr>
      <w:rFonts w:ascii="Cambria" w:eastAsia="Times New Roman" w:hAnsi="Cambria"/>
      <w:i/>
      <w:iCs/>
      <w:color w:val="243F60"/>
      <w:sz w:val="22"/>
      <w:lang w:val="en-US"/>
    </w:rPr>
  </w:style>
  <w:style w:type="paragraph" w:customStyle="1" w:styleId="Heading81">
    <w:name w:val="Heading 81"/>
    <w:basedOn w:val="Normal"/>
    <w:next w:val="Normal"/>
    <w:uiPriority w:val="9"/>
    <w:semiHidden/>
    <w:unhideWhenUsed/>
    <w:qFormat/>
    <w:rsid w:val="00E26C8E"/>
    <w:pPr>
      <w:keepNext/>
      <w:keepLines/>
      <w:widowControl w:val="0"/>
      <w:autoSpaceDE w:val="0"/>
      <w:autoSpaceDN w:val="0"/>
      <w:spacing w:before="40" w:after="0" w:line="240" w:lineRule="auto"/>
      <w:ind w:left="1440" w:hanging="1440"/>
      <w:jc w:val="left"/>
      <w:outlineLvl w:val="7"/>
    </w:pPr>
    <w:rPr>
      <w:rFonts w:ascii="Cambria" w:eastAsia="Times New Roman" w:hAnsi="Cambria"/>
      <w:color w:val="272727"/>
      <w:sz w:val="21"/>
      <w:szCs w:val="21"/>
      <w:lang w:val="en-US"/>
    </w:rPr>
  </w:style>
  <w:style w:type="paragraph" w:customStyle="1" w:styleId="Heading91">
    <w:name w:val="Heading 91"/>
    <w:basedOn w:val="Normal"/>
    <w:next w:val="Normal"/>
    <w:uiPriority w:val="9"/>
    <w:semiHidden/>
    <w:unhideWhenUsed/>
    <w:qFormat/>
    <w:rsid w:val="00E26C8E"/>
    <w:pPr>
      <w:keepNext/>
      <w:keepLines/>
      <w:widowControl w:val="0"/>
      <w:autoSpaceDE w:val="0"/>
      <w:autoSpaceDN w:val="0"/>
      <w:spacing w:before="40" w:after="0" w:line="240" w:lineRule="auto"/>
      <w:ind w:left="1584" w:hanging="1584"/>
      <w:jc w:val="left"/>
      <w:outlineLvl w:val="8"/>
    </w:pPr>
    <w:rPr>
      <w:rFonts w:ascii="Cambria" w:eastAsia="Times New Roman" w:hAnsi="Cambria"/>
      <w:i/>
      <w:iCs/>
      <w:color w:val="272727"/>
      <w:sz w:val="21"/>
      <w:szCs w:val="21"/>
      <w:lang w:val="en-US"/>
    </w:rPr>
  </w:style>
  <w:style w:type="numbering" w:customStyle="1" w:styleId="NoList121">
    <w:name w:val="No List121"/>
    <w:next w:val="NoList"/>
    <w:uiPriority w:val="99"/>
    <w:semiHidden/>
    <w:unhideWhenUsed/>
    <w:rsid w:val="00E26C8E"/>
  </w:style>
  <w:style w:type="paragraph" w:customStyle="1" w:styleId="TableParagraph">
    <w:name w:val="Table Paragraph"/>
    <w:basedOn w:val="Normal"/>
    <w:uiPriority w:val="1"/>
    <w:qFormat/>
    <w:rsid w:val="00E26C8E"/>
    <w:pPr>
      <w:widowControl w:val="0"/>
      <w:autoSpaceDE w:val="0"/>
      <w:autoSpaceDN w:val="0"/>
      <w:spacing w:after="0" w:line="240" w:lineRule="auto"/>
      <w:jc w:val="left"/>
    </w:pPr>
    <w:rPr>
      <w:rFonts w:eastAsia="Times New Roman"/>
      <w:sz w:val="22"/>
      <w:lang w:val="en-US"/>
    </w:rPr>
  </w:style>
  <w:style w:type="paragraph" w:customStyle="1" w:styleId="Bullet">
    <w:name w:val="Bullet"/>
    <w:basedOn w:val="Normal"/>
    <w:rsid w:val="00E26C8E"/>
    <w:pPr>
      <w:numPr>
        <w:numId w:val="20"/>
      </w:numPr>
      <w:spacing w:after="20" w:line="240" w:lineRule="auto"/>
      <w:jc w:val="left"/>
    </w:pPr>
    <w:rPr>
      <w:rFonts w:eastAsia="Times New Roman"/>
      <w:szCs w:val="24"/>
    </w:rPr>
  </w:style>
  <w:style w:type="paragraph" w:styleId="Revision">
    <w:name w:val="Revision"/>
    <w:hidden/>
    <w:uiPriority w:val="99"/>
    <w:semiHidden/>
    <w:rsid w:val="00E26C8E"/>
    <w:rPr>
      <w:rFonts w:ascii="Times New Roman" w:eastAsia="Times New Roman" w:hAnsi="Times New Roman"/>
      <w:sz w:val="22"/>
      <w:szCs w:val="22"/>
      <w:lang w:val="en-US" w:eastAsia="en-US"/>
    </w:rPr>
  </w:style>
  <w:style w:type="character" w:customStyle="1" w:styleId="Mention">
    <w:name w:val="Mention"/>
    <w:basedOn w:val="DefaultParagraphFont"/>
    <w:uiPriority w:val="99"/>
    <w:unhideWhenUsed/>
    <w:rsid w:val="00E26C8E"/>
    <w:rPr>
      <w:color w:val="2B579A"/>
      <w:shd w:val="clear" w:color="auto" w:fill="E6E6E6"/>
    </w:rPr>
  </w:style>
  <w:style w:type="character" w:customStyle="1" w:styleId="Heading2Char1">
    <w:name w:val="Heading 2 Char1"/>
    <w:basedOn w:val="DefaultParagraphFont"/>
    <w:uiPriority w:val="9"/>
    <w:semiHidden/>
    <w:rsid w:val="00E26C8E"/>
    <w:rPr>
      <w:rFonts w:ascii="Calibri Light" w:eastAsia="Times New Roman" w:hAnsi="Calibri Light" w:cs="Times New Roman"/>
      <w:color w:val="2E74B5"/>
      <w:sz w:val="26"/>
      <w:szCs w:val="26"/>
    </w:rPr>
  </w:style>
  <w:style w:type="character" w:customStyle="1" w:styleId="Heading5Char1">
    <w:name w:val="Heading 5 Char1"/>
    <w:basedOn w:val="DefaultParagraphFont"/>
    <w:uiPriority w:val="9"/>
    <w:semiHidden/>
    <w:rsid w:val="00E26C8E"/>
    <w:rPr>
      <w:rFonts w:ascii="Calibri Light" w:eastAsia="Times New Roman" w:hAnsi="Calibri Light" w:cs="Times New Roman"/>
      <w:color w:val="2E74B5"/>
    </w:rPr>
  </w:style>
  <w:style w:type="character" w:customStyle="1" w:styleId="Heading6Char1">
    <w:name w:val="Heading 6 Char1"/>
    <w:basedOn w:val="DefaultParagraphFont"/>
    <w:uiPriority w:val="9"/>
    <w:semiHidden/>
    <w:rsid w:val="00E26C8E"/>
    <w:rPr>
      <w:rFonts w:ascii="Calibri Light" w:eastAsia="Times New Roman" w:hAnsi="Calibri Light" w:cs="Times New Roman"/>
      <w:color w:val="1F4D78"/>
    </w:rPr>
  </w:style>
  <w:style w:type="character" w:customStyle="1" w:styleId="Heading7Char1">
    <w:name w:val="Heading 7 Char1"/>
    <w:basedOn w:val="DefaultParagraphFont"/>
    <w:uiPriority w:val="9"/>
    <w:semiHidden/>
    <w:rsid w:val="00E26C8E"/>
    <w:rPr>
      <w:rFonts w:ascii="Calibri Light" w:eastAsia="Times New Roman" w:hAnsi="Calibri Light" w:cs="Times New Roman"/>
      <w:i/>
      <w:iCs/>
      <w:color w:val="1F4D78"/>
    </w:rPr>
  </w:style>
  <w:style w:type="character" w:customStyle="1" w:styleId="Heading8Char1">
    <w:name w:val="Heading 8 Char1"/>
    <w:basedOn w:val="DefaultParagraphFont"/>
    <w:uiPriority w:val="9"/>
    <w:semiHidden/>
    <w:rsid w:val="00E26C8E"/>
    <w:rPr>
      <w:rFonts w:ascii="Calibri Light" w:eastAsia="Times New Roman" w:hAnsi="Calibri Light" w:cs="Times New Roman"/>
      <w:color w:val="272727"/>
      <w:sz w:val="21"/>
      <w:szCs w:val="21"/>
    </w:rPr>
  </w:style>
  <w:style w:type="character" w:customStyle="1" w:styleId="Heading9Char1">
    <w:name w:val="Heading 9 Char1"/>
    <w:basedOn w:val="DefaultParagraphFont"/>
    <w:uiPriority w:val="9"/>
    <w:semiHidden/>
    <w:rsid w:val="00E26C8E"/>
    <w:rPr>
      <w:rFonts w:ascii="Calibri Light" w:eastAsia="Times New Roman" w:hAnsi="Calibri Light" w:cs="Times New Roman"/>
      <w:i/>
      <w:iCs/>
      <w:color w:val="272727"/>
      <w:sz w:val="21"/>
      <w:szCs w:val="21"/>
    </w:rPr>
  </w:style>
  <w:style w:type="numbering" w:customStyle="1" w:styleId="NoList211">
    <w:name w:val="No List211"/>
    <w:next w:val="NoList"/>
    <w:uiPriority w:val="99"/>
    <w:semiHidden/>
    <w:unhideWhenUsed/>
    <w:rsid w:val="00E26C8E"/>
  </w:style>
  <w:style w:type="character" w:customStyle="1" w:styleId="UnresolvedMention">
    <w:name w:val="Unresolved Mention"/>
    <w:basedOn w:val="DefaultParagraphFont"/>
    <w:uiPriority w:val="99"/>
    <w:unhideWhenUsed/>
    <w:rsid w:val="00E26C8E"/>
    <w:rPr>
      <w:color w:val="605E5C"/>
      <w:shd w:val="clear" w:color="auto" w:fill="E1DFDD"/>
    </w:rPr>
  </w:style>
  <w:style w:type="numbering" w:customStyle="1" w:styleId="NoList311">
    <w:name w:val="No List311"/>
    <w:next w:val="NoList"/>
    <w:uiPriority w:val="99"/>
    <w:semiHidden/>
    <w:unhideWhenUsed/>
    <w:rsid w:val="00E26C8E"/>
  </w:style>
  <w:style w:type="numbering" w:customStyle="1" w:styleId="NoList411">
    <w:name w:val="No List411"/>
    <w:next w:val="NoList"/>
    <w:uiPriority w:val="99"/>
    <w:semiHidden/>
    <w:unhideWhenUsed/>
    <w:rsid w:val="00E26C8E"/>
  </w:style>
  <w:style w:type="numbering" w:customStyle="1" w:styleId="NoList511">
    <w:name w:val="No List511"/>
    <w:next w:val="NoList"/>
    <w:uiPriority w:val="99"/>
    <w:semiHidden/>
    <w:unhideWhenUsed/>
    <w:rsid w:val="00E26C8E"/>
  </w:style>
  <w:style w:type="numbering" w:customStyle="1" w:styleId="NoList611">
    <w:name w:val="No List611"/>
    <w:next w:val="NoList"/>
    <w:uiPriority w:val="99"/>
    <w:semiHidden/>
    <w:unhideWhenUsed/>
    <w:rsid w:val="00E26C8E"/>
  </w:style>
  <w:style w:type="numbering" w:customStyle="1" w:styleId="NoList71">
    <w:name w:val="No List71"/>
    <w:next w:val="NoList"/>
    <w:uiPriority w:val="99"/>
    <w:semiHidden/>
    <w:unhideWhenUsed/>
    <w:rsid w:val="00E26C8E"/>
  </w:style>
  <w:style w:type="paragraph" w:customStyle="1" w:styleId="Heading1Appendix">
    <w:name w:val="Heading 1 Appendix"/>
    <w:basedOn w:val="Heading1"/>
    <w:rsid w:val="00E26C8E"/>
    <w:pPr>
      <w:keepNext/>
      <w:spacing w:before="180" w:after="100" w:line="280" w:lineRule="exact"/>
      <w:ind w:left="432" w:hanging="432"/>
      <w:jc w:val="left"/>
    </w:pPr>
    <w:rPr>
      <w:rFonts w:eastAsia="Times New Roman" w:cs="Arial"/>
      <w:bCs/>
      <w:smallCaps w:val="0"/>
      <w:color w:val="auto"/>
      <w:sz w:val="20"/>
      <w:szCs w:val="24"/>
    </w:rPr>
  </w:style>
  <w:style w:type="paragraph" w:customStyle="1" w:styleId="Heading1Feedback">
    <w:name w:val="Heading 1 Feedback"/>
    <w:basedOn w:val="Heading1"/>
    <w:rsid w:val="00E26C8E"/>
    <w:pPr>
      <w:keepNext/>
      <w:spacing w:before="180" w:after="100" w:line="280" w:lineRule="exact"/>
      <w:ind w:left="432" w:hanging="432"/>
      <w:jc w:val="left"/>
    </w:pPr>
    <w:rPr>
      <w:rFonts w:eastAsia="Times New Roman" w:cs="Arial"/>
      <w:bCs/>
      <w:smallCaps w:val="0"/>
      <w:color w:val="auto"/>
      <w:sz w:val="20"/>
      <w:szCs w:val="24"/>
    </w:rPr>
  </w:style>
  <w:style w:type="paragraph" w:styleId="TOAHeading">
    <w:name w:val="toa heading"/>
    <w:basedOn w:val="Normal"/>
    <w:next w:val="Normal"/>
    <w:rsid w:val="00E26C8E"/>
    <w:pPr>
      <w:spacing w:before="120" w:after="0" w:line="276" w:lineRule="auto"/>
      <w:jc w:val="left"/>
    </w:pPr>
    <w:rPr>
      <w:rFonts w:ascii="Arial" w:eastAsia="Times New Roman" w:hAnsi="Arial"/>
      <w:b/>
      <w:sz w:val="22"/>
      <w:szCs w:val="20"/>
    </w:rPr>
  </w:style>
  <w:style w:type="paragraph" w:customStyle="1" w:styleId="Title20">
    <w:name w:val="Title 2"/>
    <w:basedOn w:val="Normal"/>
    <w:rsid w:val="00E26C8E"/>
    <w:pPr>
      <w:spacing w:before="120" w:after="720" w:line="240" w:lineRule="auto"/>
      <w:jc w:val="center"/>
    </w:pPr>
    <w:rPr>
      <w:rFonts w:ascii="Arial" w:eastAsia="Times New Roman" w:hAnsi="Arial"/>
      <w:b/>
      <w:sz w:val="28"/>
      <w:szCs w:val="28"/>
    </w:rPr>
  </w:style>
  <w:style w:type="paragraph" w:customStyle="1" w:styleId="Reversetitlepage">
    <w:name w:val="Reverse title page"/>
    <w:basedOn w:val="Normal"/>
    <w:rsid w:val="00E26C8E"/>
    <w:pPr>
      <w:spacing w:after="0" w:line="240" w:lineRule="exact"/>
      <w:jc w:val="left"/>
    </w:pPr>
    <w:rPr>
      <w:rFonts w:ascii="Arial" w:eastAsia="Times New Roman" w:hAnsi="Arial"/>
      <w:sz w:val="16"/>
      <w:szCs w:val="16"/>
    </w:rPr>
  </w:style>
  <w:style w:type="paragraph" w:customStyle="1" w:styleId="Contentsheading">
    <w:name w:val="Contents heading"/>
    <w:basedOn w:val="Heading1"/>
    <w:rsid w:val="00E26C8E"/>
    <w:pPr>
      <w:keepNext/>
      <w:spacing w:before="180" w:after="100" w:line="280" w:lineRule="exact"/>
      <w:ind w:left="432" w:hanging="432"/>
      <w:jc w:val="left"/>
    </w:pPr>
    <w:rPr>
      <w:rFonts w:eastAsia="Times New Roman" w:cs="Arial"/>
      <w:bCs/>
      <w:smallCaps w:val="0"/>
      <w:color w:val="auto"/>
      <w:sz w:val="20"/>
      <w:szCs w:val="24"/>
    </w:rPr>
  </w:style>
  <w:style w:type="paragraph" w:customStyle="1" w:styleId="Group">
    <w:name w:val="Group"/>
    <w:basedOn w:val="Title20"/>
    <w:rsid w:val="00E26C8E"/>
  </w:style>
  <w:style w:type="paragraph" w:customStyle="1" w:styleId="MonthYear">
    <w:name w:val="Month Year"/>
    <w:basedOn w:val="Title20"/>
    <w:rsid w:val="00E26C8E"/>
  </w:style>
  <w:style w:type="paragraph" w:customStyle="1" w:styleId="TxBrp1">
    <w:name w:val="TxBr_p1"/>
    <w:basedOn w:val="Normal"/>
    <w:rsid w:val="00E26C8E"/>
    <w:pPr>
      <w:tabs>
        <w:tab w:val="left" w:pos="204"/>
      </w:tabs>
      <w:spacing w:after="0" w:line="283" w:lineRule="atLeast"/>
    </w:pPr>
    <w:rPr>
      <w:rFonts w:ascii="Arial" w:eastAsia="Times New Roman" w:hAnsi="Arial"/>
      <w:snapToGrid w:val="0"/>
      <w:sz w:val="20"/>
      <w:szCs w:val="20"/>
    </w:rPr>
  </w:style>
  <w:style w:type="paragraph" w:styleId="FootnoteText">
    <w:name w:val="footnote text"/>
    <w:basedOn w:val="Normal"/>
    <w:link w:val="FootnoteTextChar"/>
    <w:rsid w:val="00E26C8E"/>
    <w:pPr>
      <w:spacing w:after="0" w:line="260" w:lineRule="exact"/>
      <w:jc w:val="left"/>
    </w:pPr>
    <w:rPr>
      <w:rFonts w:ascii="Arial" w:eastAsia="Times New Roman" w:hAnsi="Arial"/>
      <w:sz w:val="18"/>
      <w:szCs w:val="20"/>
      <w:lang w:val="x-none"/>
    </w:rPr>
  </w:style>
  <w:style w:type="character" w:customStyle="1" w:styleId="FootnoteTextChar">
    <w:name w:val="Footnote Text Char"/>
    <w:basedOn w:val="DefaultParagraphFont"/>
    <w:link w:val="FootnoteText"/>
    <w:rsid w:val="00E26C8E"/>
    <w:rPr>
      <w:rFonts w:ascii="Arial" w:eastAsia="Times New Roman" w:hAnsi="Arial"/>
      <w:sz w:val="18"/>
      <w:lang w:val="x-none" w:eastAsia="en-US"/>
    </w:rPr>
  </w:style>
  <w:style w:type="paragraph" w:customStyle="1" w:styleId="Caption1">
    <w:name w:val="Caption1"/>
    <w:basedOn w:val="Normal"/>
    <w:rsid w:val="00E26C8E"/>
    <w:pPr>
      <w:spacing w:after="0" w:line="280" w:lineRule="exact"/>
      <w:jc w:val="left"/>
    </w:pPr>
    <w:rPr>
      <w:rFonts w:ascii="Arial Bold" w:eastAsia="Times New Roman" w:hAnsi="Arial Bold"/>
      <w:b/>
      <w:sz w:val="20"/>
      <w:szCs w:val="20"/>
    </w:rPr>
  </w:style>
  <w:style w:type="paragraph" w:customStyle="1" w:styleId="Title30">
    <w:name w:val="Title 3"/>
    <w:basedOn w:val="Normal"/>
    <w:rsid w:val="00E26C8E"/>
    <w:pPr>
      <w:pBdr>
        <w:top w:val="single" w:sz="4" w:space="1" w:color="auto"/>
      </w:pBdr>
      <w:spacing w:after="0" w:line="280" w:lineRule="exact"/>
      <w:jc w:val="center"/>
    </w:pPr>
    <w:rPr>
      <w:rFonts w:ascii="Arial Bold" w:eastAsia="Times New Roman" w:hAnsi="Arial Bold"/>
      <w:b/>
      <w:i/>
      <w:spacing w:val="20"/>
      <w:sz w:val="24"/>
      <w:szCs w:val="20"/>
    </w:rPr>
  </w:style>
  <w:style w:type="paragraph" w:styleId="DocumentMap">
    <w:name w:val="Document Map"/>
    <w:basedOn w:val="Normal"/>
    <w:link w:val="DocumentMapChar"/>
    <w:rsid w:val="00E26C8E"/>
    <w:pPr>
      <w:shd w:val="clear" w:color="auto" w:fill="000080"/>
      <w:spacing w:after="0" w:line="280" w:lineRule="exact"/>
      <w:jc w:val="left"/>
    </w:pPr>
    <w:rPr>
      <w:rFonts w:ascii="Tahoma" w:eastAsia="Times New Roman" w:hAnsi="Tahoma" w:cs="Tahoma"/>
      <w:sz w:val="20"/>
      <w:szCs w:val="20"/>
    </w:rPr>
  </w:style>
  <w:style w:type="character" w:customStyle="1" w:styleId="DocumentMapChar">
    <w:name w:val="Document Map Char"/>
    <w:basedOn w:val="DefaultParagraphFont"/>
    <w:link w:val="DocumentMap"/>
    <w:rsid w:val="00E26C8E"/>
    <w:rPr>
      <w:rFonts w:ascii="Tahoma" w:eastAsia="Times New Roman" w:hAnsi="Tahoma" w:cs="Tahoma"/>
      <w:shd w:val="clear" w:color="auto" w:fill="000080"/>
      <w:lang w:eastAsia="en-US"/>
    </w:rPr>
  </w:style>
  <w:style w:type="paragraph" w:customStyle="1" w:styleId="BulletNumber">
    <w:name w:val="Bullet Number"/>
    <w:basedOn w:val="Normal"/>
    <w:rsid w:val="00E26C8E"/>
    <w:pPr>
      <w:numPr>
        <w:numId w:val="21"/>
      </w:numPr>
      <w:spacing w:before="60" w:after="0" w:line="280" w:lineRule="exact"/>
      <w:jc w:val="left"/>
    </w:pPr>
    <w:rPr>
      <w:rFonts w:ascii="Arial" w:eastAsia="Times New Roman" w:hAnsi="Arial"/>
      <w:sz w:val="20"/>
      <w:szCs w:val="20"/>
    </w:rPr>
  </w:style>
  <w:style w:type="paragraph" w:customStyle="1" w:styleId="Heading1part">
    <w:name w:val="Heading 1 part"/>
    <w:basedOn w:val="Heading1"/>
    <w:qFormat/>
    <w:rsid w:val="00E26C8E"/>
    <w:pPr>
      <w:keepNext/>
      <w:spacing w:before="180" w:line="280" w:lineRule="exact"/>
      <w:ind w:left="432" w:hanging="432"/>
      <w:jc w:val="left"/>
    </w:pPr>
    <w:rPr>
      <w:rFonts w:ascii="Arial Bold" w:eastAsia="Times New Roman" w:hAnsi="Arial Bold" w:cs="Arial"/>
      <w:bCs/>
      <w:caps/>
      <w:smallCaps w:val="0"/>
      <w:color w:val="auto"/>
      <w:sz w:val="20"/>
      <w:szCs w:val="24"/>
    </w:rPr>
  </w:style>
  <w:style w:type="paragraph" w:customStyle="1" w:styleId="Version">
    <w:name w:val="Version"/>
    <w:basedOn w:val="MonthYear"/>
    <w:qFormat/>
    <w:rsid w:val="00E26C8E"/>
  </w:style>
  <w:style w:type="paragraph" w:customStyle="1" w:styleId="Bullet2">
    <w:name w:val="Bullet 2"/>
    <w:basedOn w:val="Normal"/>
    <w:rsid w:val="00E26C8E"/>
    <w:pPr>
      <w:numPr>
        <w:numId w:val="22"/>
      </w:numPr>
      <w:tabs>
        <w:tab w:val="left" w:pos="782"/>
      </w:tabs>
      <w:spacing w:after="40" w:line="280" w:lineRule="exact"/>
      <w:ind w:left="714" w:hanging="357"/>
      <w:jc w:val="left"/>
    </w:pPr>
    <w:rPr>
      <w:rFonts w:ascii="Arial" w:eastAsia="Times New Roman" w:hAnsi="Arial"/>
      <w:sz w:val="20"/>
      <w:szCs w:val="20"/>
    </w:rPr>
  </w:style>
  <w:style w:type="paragraph" w:styleId="Index1">
    <w:name w:val="index 1"/>
    <w:basedOn w:val="Normal"/>
    <w:next w:val="Normal"/>
    <w:autoRedefine/>
    <w:rsid w:val="00E26C8E"/>
    <w:pPr>
      <w:spacing w:after="0" w:line="240" w:lineRule="auto"/>
      <w:ind w:left="200" w:hanging="200"/>
      <w:jc w:val="left"/>
    </w:pPr>
    <w:rPr>
      <w:rFonts w:ascii="Arial" w:eastAsia="Times New Roman" w:hAnsi="Arial"/>
      <w:sz w:val="20"/>
      <w:szCs w:val="20"/>
    </w:rPr>
  </w:style>
  <w:style w:type="paragraph" w:styleId="IndexHeading">
    <w:name w:val="index heading"/>
    <w:basedOn w:val="Normal"/>
    <w:next w:val="Index1"/>
    <w:rsid w:val="00E26C8E"/>
    <w:pPr>
      <w:spacing w:after="0" w:line="276" w:lineRule="auto"/>
      <w:jc w:val="left"/>
    </w:pPr>
    <w:rPr>
      <w:rFonts w:eastAsia="Times New Roman"/>
      <w:sz w:val="22"/>
      <w:szCs w:val="20"/>
    </w:rPr>
  </w:style>
  <w:style w:type="paragraph" w:customStyle="1" w:styleId="Normalsinglespacing">
    <w:name w:val="Normal single spacing"/>
    <w:basedOn w:val="Normal"/>
    <w:qFormat/>
    <w:rsid w:val="00E26C8E"/>
    <w:pPr>
      <w:spacing w:after="0" w:line="240" w:lineRule="auto"/>
      <w:jc w:val="left"/>
    </w:pPr>
    <w:rPr>
      <w:rFonts w:ascii="Arial" w:eastAsia="Times New Roman" w:hAnsi="Arial"/>
      <w:sz w:val="20"/>
      <w:szCs w:val="20"/>
    </w:rPr>
  </w:style>
  <w:style w:type="paragraph" w:customStyle="1" w:styleId="Normalspaceafter">
    <w:name w:val="Normal space after"/>
    <w:basedOn w:val="Normal"/>
    <w:qFormat/>
    <w:rsid w:val="00E26C8E"/>
    <w:pPr>
      <w:spacing w:after="40" w:line="280" w:lineRule="exact"/>
      <w:jc w:val="left"/>
    </w:pPr>
    <w:rPr>
      <w:rFonts w:ascii="Arial" w:eastAsia="Times New Roman" w:hAnsi="Arial"/>
      <w:sz w:val="20"/>
      <w:szCs w:val="20"/>
    </w:rPr>
  </w:style>
  <w:style w:type="paragraph" w:customStyle="1" w:styleId="ListNumber1">
    <w:name w:val="List Number1"/>
    <w:basedOn w:val="Normal"/>
    <w:rsid w:val="00E26C8E"/>
    <w:pPr>
      <w:spacing w:before="60" w:after="0" w:line="280" w:lineRule="exact"/>
      <w:ind w:left="360" w:hanging="360"/>
      <w:jc w:val="left"/>
    </w:pPr>
    <w:rPr>
      <w:rFonts w:ascii="Arial" w:eastAsia="Times New Roman" w:hAnsi="Arial"/>
      <w:sz w:val="20"/>
      <w:szCs w:val="20"/>
    </w:rPr>
  </w:style>
  <w:style w:type="paragraph" w:customStyle="1" w:styleId="Tablecaption">
    <w:name w:val="Table caption"/>
    <w:rsid w:val="00E26C8E"/>
    <w:pPr>
      <w:spacing w:after="60" w:line="280" w:lineRule="exact"/>
    </w:pPr>
    <w:rPr>
      <w:rFonts w:ascii="Arial Bold" w:eastAsia="Times New Roman" w:hAnsi="Arial Bold"/>
      <w:b/>
      <w:sz w:val="18"/>
      <w:lang w:eastAsia="en-US"/>
    </w:rPr>
  </w:style>
  <w:style w:type="paragraph" w:customStyle="1" w:styleId="Tabletext0">
    <w:name w:val="Table text"/>
    <w:link w:val="TabletextChar"/>
    <w:rsid w:val="00E26C8E"/>
    <w:pPr>
      <w:spacing w:before="40" w:after="40"/>
    </w:pPr>
    <w:rPr>
      <w:rFonts w:ascii="Arial" w:eastAsia="Times New Roman" w:hAnsi="Arial"/>
      <w:sz w:val="16"/>
      <w:lang w:eastAsia="en-US"/>
    </w:rPr>
  </w:style>
  <w:style w:type="paragraph" w:customStyle="1" w:styleId="Tableheading0">
    <w:name w:val="Table heading"/>
    <w:rsid w:val="00E26C8E"/>
    <w:pPr>
      <w:spacing w:before="40" w:after="40"/>
    </w:pPr>
    <w:rPr>
      <w:rFonts w:ascii="Arial Bold" w:eastAsia="Times New Roman" w:hAnsi="Arial Bold"/>
      <w:b/>
      <w:sz w:val="16"/>
      <w:lang w:eastAsia="en-US"/>
    </w:rPr>
  </w:style>
  <w:style w:type="paragraph" w:customStyle="1" w:styleId="Figurecaption">
    <w:name w:val="Figure caption"/>
    <w:basedOn w:val="Normal"/>
    <w:qFormat/>
    <w:rsid w:val="00E26C8E"/>
    <w:pPr>
      <w:spacing w:before="60" w:after="0" w:line="240" w:lineRule="auto"/>
      <w:jc w:val="left"/>
    </w:pPr>
    <w:rPr>
      <w:rFonts w:ascii="Arial" w:eastAsia="Times New Roman" w:hAnsi="Arial"/>
      <w:b/>
      <w:sz w:val="18"/>
      <w:szCs w:val="20"/>
    </w:rPr>
  </w:style>
  <w:style w:type="table" w:customStyle="1" w:styleId="TableGrid31">
    <w:name w:val="Table Grid31"/>
    <w:basedOn w:val="TableNormal"/>
    <w:next w:val="TableGrid"/>
    <w:rsid w:val="00E26C8E"/>
    <w:rPr>
      <w:rFonts w:ascii="Times New Roman" w:eastAsia="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link w:val="Tabletext0"/>
    <w:rsid w:val="00E26C8E"/>
    <w:rPr>
      <w:rFonts w:ascii="Arial" w:eastAsia="Times New Roman" w:hAnsi="Arial"/>
      <w:sz w:val="16"/>
      <w:lang w:eastAsia="en-US"/>
    </w:rPr>
  </w:style>
  <w:style w:type="paragraph" w:customStyle="1" w:styleId="Tableheading2">
    <w:name w:val="Table heading 2"/>
    <w:basedOn w:val="Tabletext0"/>
    <w:rsid w:val="00E26C8E"/>
    <w:rPr>
      <w:rFonts w:ascii="Arial Bold" w:hAnsi="Arial Bold"/>
      <w:b/>
      <w:i/>
    </w:rPr>
  </w:style>
  <w:style w:type="paragraph" w:customStyle="1" w:styleId="Heading2Appendix">
    <w:name w:val="Heading 2 Appendix"/>
    <w:basedOn w:val="Heading2"/>
    <w:link w:val="Heading2AppendixChar1"/>
    <w:qFormat/>
    <w:rsid w:val="00E26C8E"/>
    <w:pPr>
      <w:keepNext/>
      <w:numPr>
        <w:ilvl w:val="1"/>
      </w:numPr>
      <w:spacing w:before="140" w:after="60" w:line="280" w:lineRule="exact"/>
      <w:ind w:left="578" w:hanging="578"/>
      <w:jc w:val="left"/>
    </w:pPr>
    <w:rPr>
      <w:rFonts w:eastAsia="Times New Roman" w:cs="Arial"/>
      <w:bCs/>
      <w:iCs/>
      <w:caps w:val="0"/>
      <w:sz w:val="18"/>
      <w:szCs w:val="22"/>
      <w:lang w:val="en-AU"/>
    </w:rPr>
  </w:style>
  <w:style w:type="character" w:customStyle="1" w:styleId="Heading2AppendixChar">
    <w:name w:val="Heading 2 Appendix Char"/>
    <w:rsid w:val="00E26C8E"/>
    <w:rPr>
      <w:rFonts w:ascii="Arial" w:eastAsia="Times New Roman" w:hAnsi="Arial" w:cs="Arial"/>
      <w:b/>
      <w:bCs/>
      <w:i w:val="0"/>
      <w:iCs/>
      <w:snapToGrid/>
      <w:color w:val="D12329"/>
      <w:sz w:val="22"/>
      <w:szCs w:val="22"/>
      <w:lang w:val="x-none" w:eastAsia="en-US"/>
    </w:rPr>
  </w:style>
  <w:style w:type="character" w:customStyle="1" w:styleId="Heading2AppendixChar1">
    <w:name w:val="Heading 2 Appendix Char1"/>
    <w:link w:val="Heading2Appendix"/>
    <w:rsid w:val="00E26C8E"/>
    <w:rPr>
      <w:rFonts w:ascii="Times New Roman" w:eastAsia="Times New Roman" w:hAnsi="Times New Roman" w:cs="Arial"/>
      <w:bCs/>
      <w:iCs/>
      <w:sz w:val="18"/>
      <w:szCs w:val="22"/>
      <w:lang w:eastAsia="en-US"/>
    </w:rPr>
  </w:style>
  <w:style w:type="paragraph" w:customStyle="1" w:styleId="Heading3Appendix">
    <w:name w:val="Heading 3 Appendix"/>
    <w:basedOn w:val="Heading3"/>
    <w:link w:val="Heading3AppendixChar"/>
    <w:qFormat/>
    <w:rsid w:val="00E26C8E"/>
    <w:pPr>
      <w:keepNext/>
      <w:keepLines w:val="0"/>
      <w:numPr>
        <w:ilvl w:val="2"/>
      </w:numPr>
      <w:autoSpaceDE/>
      <w:autoSpaceDN/>
      <w:adjustRightInd/>
      <w:spacing w:before="140" w:after="40" w:line="280" w:lineRule="exact"/>
      <w:ind w:left="720" w:hanging="720"/>
    </w:pPr>
    <w:rPr>
      <w:rFonts w:eastAsia="Times New Roman" w:cs="Arial"/>
      <w:color w:val="auto"/>
      <w:sz w:val="17"/>
      <w:szCs w:val="20"/>
    </w:rPr>
  </w:style>
  <w:style w:type="character" w:customStyle="1" w:styleId="Heading3AppendixChar">
    <w:name w:val="Heading 3 Appendix Char"/>
    <w:link w:val="Heading3Appendix"/>
    <w:rsid w:val="00E26C8E"/>
    <w:rPr>
      <w:rFonts w:ascii="Times New Roman" w:eastAsia="Times New Roman" w:hAnsi="Times New Roman" w:cs="Arial"/>
      <w:b/>
      <w:bCs/>
      <w:sz w:val="17"/>
      <w:lang w:eastAsia="en-US"/>
    </w:rPr>
  </w:style>
  <w:style w:type="paragraph" w:customStyle="1" w:styleId="Listbulletcommodity">
    <w:name w:val="List bullet commodity"/>
    <w:basedOn w:val="Tabletext0"/>
    <w:link w:val="ListbulletcommodityChar"/>
    <w:qFormat/>
    <w:rsid w:val="00E26C8E"/>
    <w:pPr>
      <w:numPr>
        <w:numId w:val="23"/>
      </w:numPr>
      <w:ind w:left="709"/>
    </w:pPr>
    <w:rPr>
      <w:i/>
      <w:sz w:val="18"/>
      <w:szCs w:val="18"/>
    </w:rPr>
  </w:style>
  <w:style w:type="character" w:customStyle="1" w:styleId="ListbulletcommodityChar">
    <w:name w:val="List bullet commodity Char"/>
    <w:link w:val="Listbulletcommodity"/>
    <w:rsid w:val="00E26C8E"/>
    <w:rPr>
      <w:rFonts w:ascii="Arial" w:eastAsia="Times New Roman" w:hAnsi="Arial"/>
      <w:i/>
      <w:sz w:val="18"/>
      <w:szCs w:val="18"/>
      <w:lang w:eastAsia="en-US"/>
    </w:rPr>
  </w:style>
  <w:style w:type="character" w:customStyle="1" w:styleId="bold">
    <w:name w:val="bold"/>
    <w:uiPriority w:val="1"/>
    <w:rsid w:val="00E26C8E"/>
    <w:rPr>
      <w:b/>
    </w:rPr>
  </w:style>
  <w:style w:type="character" w:customStyle="1" w:styleId="italic">
    <w:name w:val="italic"/>
    <w:uiPriority w:val="1"/>
    <w:rsid w:val="00E26C8E"/>
    <w:rPr>
      <w:b w:val="0"/>
      <w:i/>
    </w:rPr>
  </w:style>
  <w:style w:type="paragraph" w:customStyle="1" w:styleId="Heading1contents">
    <w:name w:val="Heading 1 contents"/>
    <w:basedOn w:val="Normal"/>
    <w:qFormat/>
    <w:rsid w:val="00E26C8E"/>
    <w:pPr>
      <w:spacing w:after="100" w:line="280" w:lineRule="exact"/>
      <w:jc w:val="left"/>
    </w:pPr>
    <w:rPr>
      <w:rFonts w:ascii="Arial Black" w:eastAsia="Times New Roman" w:hAnsi="Arial Black"/>
      <w:color w:val="3DAF2C"/>
      <w:sz w:val="28"/>
      <w:szCs w:val="20"/>
    </w:rPr>
  </w:style>
  <w:style w:type="paragraph" w:customStyle="1" w:styleId="Heading1nonumber">
    <w:name w:val="Heading 1 no number"/>
    <w:basedOn w:val="Normal"/>
    <w:qFormat/>
    <w:rsid w:val="00E26C8E"/>
    <w:pPr>
      <w:spacing w:after="100" w:line="280" w:lineRule="exact"/>
      <w:jc w:val="left"/>
    </w:pPr>
    <w:rPr>
      <w:rFonts w:ascii="Arial Black" w:eastAsia="Times New Roman" w:hAnsi="Arial Black"/>
      <w:color w:val="3DAF2C"/>
      <w:sz w:val="28"/>
      <w:szCs w:val="20"/>
    </w:rPr>
  </w:style>
  <w:style w:type="paragraph" w:customStyle="1" w:styleId="ReverseTitle">
    <w:name w:val="Reverse Title"/>
    <w:rsid w:val="00E26C8E"/>
    <w:pPr>
      <w:jc w:val="both"/>
    </w:pPr>
    <w:rPr>
      <w:rFonts w:ascii="Arial" w:eastAsia="Times New Roman" w:hAnsi="Arial"/>
      <w:lang w:eastAsia="en-US"/>
    </w:rPr>
  </w:style>
  <w:style w:type="paragraph" w:customStyle="1" w:styleId="StyleHeading2TimesNewRoman85pt">
    <w:name w:val="Style Heading 2 + Times New Roman 8.5 pt"/>
    <w:basedOn w:val="Heading2"/>
    <w:rsid w:val="00E26C8E"/>
    <w:pPr>
      <w:keepNext/>
      <w:numPr>
        <w:ilvl w:val="1"/>
      </w:numPr>
      <w:spacing w:before="140" w:after="60" w:line="280" w:lineRule="exact"/>
      <w:ind w:left="578" w:hanging="578"/>
      <w:jc w:val="left"/>
    </w:pPr>
    <w:rPr>
      <w:rFonts w:eastAsia="Times New Roman" w:cs="Arial"/>
      <w:b/>
      <w:bCs/>
      <w:caps w:val="0"/>
      <w:szCs w:val="22"/>
      <w:lang w:val="en-AU"/>
    </w:rPr>
  </w:style>
  <w:style w:type="paragraph" w:customStyle="1" w:styleId="StyleHeading3TimesNewRoman85pt">
    <w:name w:val="Style Heading 3 + Times New Roman 8.5 pt"/>
    <w:basedOn w:val="Heading3"/>
    <w:rsid w:val="00E26C8E"/>
    <w:pPr>
      <w:keepNext/>
      <w:keepLines w:val="0"/>
      <w:numPr>
        <w:ilvl w:val="2"/>
      </w:numPr>
      <w:autoSpaceDE/>
      <w:autoSpaceDN/>
      <w:adjustRightInd/>
      <w:spacing w:before="140" w:after="40" w:line="280" w:lineRule="exact"/>
      <w:ind w:left="720" w:hanging="720"/>
    </w:pPr>
    <w:rPr>
      <w:rFonts w:eastAsia="Times New Roman" w:cs="Arial"/>
      <w:bCs w:val="0"/>
      <w:iCs/>
      <w:color w:val="auto"/>
      <w:sz w:val="17"/>
      <w:szCs w:val="20"/>
    </w:rPr>
  </w:style>
  <w:style w:type="paragraph" w:customStyle="1" w:styleId="StyleHeading2TimesNewRoman85pt1">
    <w:name w:val="Style Heading 2 + Times New Roman 8.5 pt1"/>
    <w:basedOn w:val="Heading2"/>
    <w:autoRedefine/>
    <w:rsid w:val="00E26C8E"/>
    <w:pPr>
      <w:keepNext/>
      <w:numPr>
        <w:ilvl w:val="1"/>
      </w:numPr>
      <w:spacing w:before="140" w:after="60" w:line="280" w:lineRule="exact"/>
      <w:ind w:left="578" w:hanging="578"/>
      <w:jc w:val="left"/>
    </w:pPr>
    <w:rPr>
      <w:rFonts w:eastAsia="Times New Roman" w:cs="Arial"/>
      <w:b/>
      <w:bCs/>
      <w:caps w:val="0"/>
      <w:szCs w:val="22"/>
      <w:lang w:val="en-AU"/>
    </w:rPr>
  </w:style>
  <w:style w:type="numbering" w:customStyle="1" w:styleId="NoList8">
    <w:name w:val="No List8"/>
    <w:next w:val="NoList"/>
    <w:uiPriority w:val="99"/>
    <w:semiHidden/>
    <w:unhideWhenUsed/>
    <w:rsid w:val="00E26C8E"/>
  </w:style>
  <w:style w:type="numbering" w:customStyle="1" w:styleId="NoList9">
    <w:name w:val="No List9"/>
    <w:next w:val="NoList"/>
    <w:uiPriority w:val="99"/>
    <w:semiHidden/>
    <w:unhideWhenUsed/>
    <w:rsid w:val="00E26C8E"/>
  </w:style>
  <w:style w:type="numbering" w:customStyle="1" w:styleId="NoList10">
    <w:name w:val="No List10"/>
    <w:next w:val="NoList"/>
    <w:uiPriority w:val="99"/>
    <w:semiHidden/>
    <w:unhideWhenUsed/>
    <w:rsid w:val="00E26C8E"/>
  </w:style>
  <w:style w:type="paragraph" w:customStyle="1" w:styleId="TableBullet">
    <w:name w:val="Table Bullet"/>
    <w:basedOn w:val="Normal"/>
    <w:qFormat/>
    <w:rsid w:val="00E26C8E"/>
    <w:pPr>
      <w:numPr>
        <w:numId w:val="24"/>
      </w:numPr>
      <w:spacing w:before="20" w:after="20" w:line="240" w:lineRule="auto"/>
      <w:ind w:left="284" w:hanging="284"/>
    </w:pPr>
    <w:rPr>
      <w:rFonts w:eastAsia="Times New Roman"/>
      <w:sz w:val="16"/>
      <w:szCs w:val="20"/>
    </w:rPr>
  </w:style>
  <w:style w:type="numbering" w:customStyle="1" w:styleId="NoList1111">
    <w:name w:val="No List1111"/>
    <w:next w:val="NoList"/>
    <w:uiPriority w:val="99"/>
    <w:semiHidden/>
    <w:unhideWhenUsed/>
    <w:rsid w:val="00E26C8E"/>
  </w:style>
  <w:style w:type="numbering" w:customStyle="1" w:styleId="NoList1211">
    <w:name w:val="No List1211"/>
    <w:next w:val="NoList"/>
    <w:uiPriority w:val="99"/>
    <w:semiHidden/>
    <w:unhideWhenUsed/>
    <w:rsid w:val="00E26C8E"/>
  </w:style>
  <w:style w:type="numbering" w:customStyle="1" w:styleId="NoList13">
    <w:name w:val="No List13"/>
    <w:next w:val="NoList"/>
    <w:uiPriority w:val="99"/>
    <w:semiHidden/>
    <w:unhideWhenUsed/>
    <w:rsid w:val="00E26C8E"/>
  </w:style>
  <w:style w:type="numbering" w:customStyle="1" w:styleId="NoList14">
    <w:name w:val="No List14"/>
    <w:next w:val="NoList"/>
    <w:uiPriority w:val="99"/>
    <w:semiHidden/>
    <w:unhideWhenUsed/>
    <w:rsid w:val="00E26C8E"/>
  </w:style>
  <w:style w:type="numbering" w:customStyle="1" w:styleId="GazetteList">
    <w:name w:val="Gazette List"/>
    <w:uiPriority w:val="99"/>
    <w:rsid w:val="00683CF6"/>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5090688">
      <w:bodyDiv w:val="1"/>
      <w:marLeft w:val="0"/>
      <w:marRight w:val="0"/>
      <w:marTop w:val="0"/>
      <w:marBottom w:val="0"/>
      <w:divBdr>
        <w:top w:val="none" w:sz="0" w:space="0" w:color="auto"/>
        <w:left w:val="none" w:sz="0" w:space="0" w:color="auto"/>
        <w:bottom w:val="none" w:sz="0" w:space="0" w:color="auto"/>
        <w:right w:val="none" w:sz="0" w:space="0" w:color="auto"/>
      </w:divBdr>
    </w:div>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legislation.sa.gov.au/index.aspx?action=legref&amp;type=act&amp;legtitle=Subordinate%20Legislation%20Act%201978" TargetMode="External"/><Relationship Id="rId117" Type="http://schemas.openxmlformats.org/officeDocument/2006/relationships/hyperlink" Target="http://www.legislation.sa.gov.au/index.aspx?action=legref&amp;type=subordleg&amp;legtitle=Mining%20Regulations%202020" TargetMode="External"/><Relationship Id="rId21" Type="http://schemas.openxmlformats.org/officeDocument/2006/relationships/hyperlink" Target="http://www.legislation.sa.gov.au/index.aspx?action=legref&amp;type=act&amp;legtitle=Statutes%20Amendment%20(Screening)%20Act%202019" TargetMode="External"/><Relationship Id="rId42" Type="http://schemas.openxmlformats.org/officeDocument/2006/relationships/hyperlink" Target="http://www.legislation.sa.gov.au/index.aspx?action=legref&amp;type=act&amp;legtitle=Summary%20Offences%20Act%201953" TargetMode="External"/><Relationship Id="rId47" Type="http://schemas.openxmlformats.org/officeDocument/2006/relationships/hyperlink" Target="http://www.legislation.sa.gov.au/index.aspx?action=legref&amp;type=act&amp;legtitle=Animal%20Welfare%20Act%201985" TargetMode="External"/><Relationship Id="rId63" Type="http://schemas.openxmlformats.org/officeDocument/2006/relationships/image" Target="media/image2.png"/><Relationship Id="rId68" Type="http://schemas.openxmlformats.org/officeDocument/2006/relationships/image" Target="media/image7.png"/><Relationship Id="rId84" Type="http://schemas.openxmlformats.org/officeDocument/2006/relationships/image" Target="media/image23.png"/><Relationship Id="rId89" Type="http://schemas.openxmlformats.org/officeDocument/2006/relationships/image" Target="media/image28.jpeg"/><Relationship Id="rId112" Type="http://schemas.openxmlformats.org/officeDocument/2006/relationships/hyperlink" Target="http://www.legislation.sa.gov.au/index.aspx?action=legref&amp;type=act&amp;legtitle=Crown%20Lands%20Act%201929" TargetMode="External"/><Relationship Id="rId133" Type="http://schemas.openxmlformats.org/officeDocument/2006/relationships/hyperlink" Target="https://taawika.sa.gov.au" TargetMode="External"/><Relationship Id="rId138" Type="http://schemas.openxmlformats.org/officeDocument/2006/relationships/hyperlink" Target="http://www.australiaminerals.gov.au/legislation-regulations-and-guidelines" TargetMode="External"/><Relationship Id="rId154" Type="http://schemas.openxmlformats.org/officeDocument/2006/relationships/hyperlink" Target="mailto:service@cityofpae.sa.gov.au" TargetMode="External"/><Relationship Id="rId159" Type="http://schemas.openxmlformats.org/officeDocument/2006/relationships/hyperlink" Target="mailto:admin@yorke.sa.gov.au" TargetMode="External"/><Relationship Id="rId170" Type="http://schemas.openxmlformats.org/officeDocument/2006/relationships/glossaryDocument" Target="glossary/document.xml"/><Relationship Id="rId16" Type="http://schemas.openxmlformats.org/officeDocument/2006/relationships/footer" Target="footer3.xml"/><Relationship Id="rId107" Type="http://schemas.openxmlformats.org/officeDocument/2006/relationships/image" Target="media/image34.png"/><Relationship Id="rId11" Type="http://schemas.openxmlformats.org/officeDocument/2006/relationships/footer" Target="footer1.xml"/><Relationship Id="rId32" Type="http://schemas.openxmlformats.org/officeDocument/2006/relationships/hyperlink" Target="http://www.legislation.sa.gov.au/index.aspx?action=legref&amp;type=act&amp;legtitle=Disability%20Inclusion%20Act%202018" TargetMode="External"/><Relationship Id="rId37" Type="http://schemas.openxmlformats.org/officeDocument/2006/relationships/hyperlink" Target="http://www.legislation.sa.gov.au/index.aspx?action=legref&amp;type=act&amp;legtitle=Children%20and%20Young%20People%20(Safety)%20Act%202017" TargetMode="External"/><Relationship Id="rId53" Type="http://schemas.openxmlformats.org/officeDocument/2006/relationships/hyperlink" Target="http://www.legislation.sa.gov.au/index.aspx?action=legref&amp;type=act&amp;legtitle=Subordinate%20Legislation%20Act%201978" TargetMode="External"/><Relationship Id="rId58" Type="http://schemas.openxmlformats.org/officeDocument/2006/relationships/hyperlink" Target="http://www.legislation.sa.gov.au/index.aspx?action=legref&amp;type=act&amp;legtitle=Subordinate%20Legislation%20Act%201978" TargetMode="External"/><Relationship Id="rId74" Type="http://schemas.openxmlformats.org/officeDocument/2006/relationships/image" Target="media/image13.png"/><Relationship Id="rId79" Type="http://schemas.openxmlformats.org/officeDocument/2006/relationships/image" Target="media/image18.png"/><Relationship Id="rId102" Type="http://schemas.openxmlformats.org/officeDocument/2006/relationships/hyperlink" Target="http://www.legislation.sa.gov.au/index.aspx?action=legref&amp;type=subordleg&amp;legtitle=Liquor%20Licensing%20(Dry%20Areas)%20Notice%202015" TargetMode="External"/><Relationship Id="rId123" Type="http://schemas.openxmlformats.org/officeDocument/2006/relationships/hyperlink" Target="http://www.legislation.sa.gov.au/index.aspx?action=legref&amp;type=act&amp;legtitle=National%20Parks%20and%20Wildlife%20Act%201972" TargetMode="External"/><Relationship Id="rId128" Type="http://schemas.openxmlformats.org/officeDocument/2006/relationships/hyperlink" Target="http://www.lbma.org.uk" TargetMode="External"/><Relationship Id="rId144" Type="http://schemas.openxmlformats.org/officeDocument/2006/relationships/hyperlink" Target="https://www.energymining.sa.gov.au/minerals/exploration/forms_and_fees" TargetMode="External"/><Relationship Id="rId149" Type="http://schemas.openxmlformats.org/officeDocument/2006/relationships/hyperlink" Target="https://ecat.ga.gov.au/geonetwork/srv/eng/catalog.search" TargetMode="External"/><Relationship Id="rId5" Type="http://schemas.openxmlformats.org/officeDocument/2006/relationships/webSettings" Target="webSettings.xml"/><Relationship Id="rId90" Type="http://schemas.openxmlformats.org/officeDocument/2006/relationships/hyperlink" Target="http://www.legislation.sa.gov.au/index.aspx?action=legref&amp;type=subordleg&amp;legtitle=Liquor%20Licensing%20(Dry%20Areas)%20Notice%202015" TargetMode="External"/><Relationship Id="rId95" Type="http://schemas.openxmlformats.org/officeDocument/2006/relationships/image" Target="media/image30.png"/><Relationship Id="rId160" Type="http://schemas.openxmlformats.org/officeDocument/2006/relationships/hyperlink" Target="http://www.aemc.gov.au" TargetMode="External"/><Relationship Id="rId165" Type="http://schemas.openxmlformats.org/officeDocument/2006/relationships/hyperlink" Target="http://www.governmentgazette.sa.gov.au" TargetMode="External"/><Relationship Id="rId22" Type="http://schemas.openxmlformats.org/officeDocument/2006/relationships/hyperlink" Target="http://www.legislation.sa.gov.au/index.aspx?action=legref&amp;type=act&amp;legtitle=Magistrates%20Act%201983" TargetMode="External"/><Relationship Id="rId27" Type="http://schemas.openxmlformats.org/officeDocument/2006/relationships/hyperlink" Target="http://www.legislation.sa.gov.au/index.aspx?action=legref&amp;type=act&amp;legtitle=Subordinate%20Legislation%20Act%201978" TargetMode="External"/><Relationship Id="rId43" Type="http://schemas.openxmlformats.org/officeDocument/2006/relationships/hyperlink" Target="http://www.legislation.sa.gov.au/index.aspx?action=legref&amp;type=act&amp;legtitle=Criminal%20Law%20Consolidation%20(Child%20Pornography)%20Amendment%20Act%202004" TargetMode="External"/><Relationship Id="rId48" Type="http://schemas.openxmlformats.org/officeDocument/2006/relationships/hyperlink" Target="http://www.legislation.sa.gov.au/index.aspx?action=legref&amp;type=act&amp;legtitle=Summary%20Offences%20Act%201953" TargetMode="External"/><Relationship Id="rId64" Type="http://schemas.openxmlformats.org/officeDocument/2006/relationships/image" Target="media/image3.png"/><Relationship Id="rId69" Type="http://schemas.openxmlformats.org/officeDocument/2006/relationships/image" Target="media/image8.png"/><Relationship Id="rId113" Type="http://schemas.openxmlformats.org/officeDocument/2006/relationships/hyperlink" Target="http://www.legislation.sa.gov.au/index.aspx?action=legref&amp;type=act&amp;legtitle=Crown%20Land%20Management%20Act%202009" TargetMode="External"/><Relationship Id="rId118" Type="http://schemas.openxmlformats.org/officeDocument/2006/relationships/hyperlink" Target="http://www.legislation.sa.gov.au/index.aspx?action=legref&amp;type=subordleg&amp;legtitle=Mining%20Regulations%202020" TargetMode="External"/><Relationship Id="rId134" Type="http://schemas.openxmlformats.org/officeDocument/2006/relationships/hyperlink" Target="mailto:dpc-aar.heritagesites1@sa.gov.au" TargetMode="External"/><Relationship Id="rId139" Type="http://schemas.openxmlformats.org/officeDocument/2006/relationships/hyperlink" Target="http://www.australiaminerals.gov.au/legislation-regulations-and-guidelines" TargetMode="External"/><Relationship Id="rId80" Type="http://schemas.openxmlformats.org/officeDocument/2006/relationships/image" Target="media/image19.png"/><Relationship Id="rId85" Type="http://schemas.openxmlformats.org/officeDocument/2006/relationships/image" Target="media/image24.png"/><Relationship Id="rId150" Type="http://schemas.openxmlformats.org/officeDocument/2006/relationships/hyperlink" Target="https://www.energymining.sa.gov.au/" TargetMode="External"/><Relationship Id="rId155" Type="http://schemas.openxmlformats.org/officeDocument/2006/relationships/hyperlink" Target="http://www.sa.gov.au/roadsactproposals" TargetMode="External"/><Relationship Id="rId171" Type="http://schemas.openxmlformats.org/officeDocument/2006/relationships/theme" Target="theme/theme1.xml"/><Relationship Id="rId12" Type="http://schemas.openxmlformats.org/officeDocument/2006/relationships/header" Target="header3.xml"/><Relationship Id="rId17" Type="http://schemas.openxmlformats.org/officeDocument/2006/relationships/footer" Target="footer4.xml"/><Relationship Id="rId33" Type="http://schemas.openxmlformats.org/officeDocument/2006/relationships/hyperlink" Target="http://www.legislation.sa.gov.au/index.aspx?action=legref&amp;type=act&amp;legtitle=Carers%20Recognition%20Act%202005" TargetMode="External"/><Relationship Id="rId38" Type="http://schemas.openxmlformats.org/officeDocument/2006/relationships/hyperlink" Target="http://www.legislation.sa.gov.au/index.aspx?action=legref&amp;type=act&amp;legtitle=Criminal%20Law%20Consolidation%20Act%201935" TargetMode="External"/><Relationship Id="rId59" Type="http://schemas.openxmlformats.org/officeDocument/2006/relationships/hyperlink" Target="http://www.legislation.sa.gov.au/index.aspx?action=legref&amp;type=act&amp;legtitle=Subordinate%20Legislation%20Act%201978" TargetMode="External"/><Relationship Id="rId103" Type="http://schemas.openxmlformats.org/officeDocument/2006/relationships/hyperlink" Target="http://www.legislation.sa.gov.au/index.aspx?action=legref&amp;type=subordleg&amp;legtitle=Liquor%20Licensing%20(Dry%20Areas)%20Notice%202015" TargetMode="External"/><Relationship Id="rId108" Type="http://schemas.openxmlformats.org/officeDocument/2006/relationships/hyperlink" Target="http://www.legislation.sa.gov.au/index.aspx?action=legref&amp;type=subordleg&amp;legtitle=Mining%20(Fees)%20Notice%202020" TargetMode="External"/><Relationship Id="rId124" Type="http://schemas.openxmlformats.org/officeDocument/2006/relationships/hyperlink" Target="http://www.legislation.sa.gov.au/index.aspx?action=legref&amp;type=act&amp;legtitle=National%20Parks%20and%20Wildlife%20Act%201972" TargetMode="External"/><Relationship Id="rId129" Type="http://schemas.openxmlformats.org/officeDocument/2006/relationships/hyperlink" Target="https://forms.sa.gov.au/" TargetMode="External"/><Relationship Id="rId54" Type="http://schemas.openxmlformats.org/officeDocument/2006/relationships/hyperlink" Target="http://www.legislation.sa.gov.au/index.aspx?action=legref&amp;type=act&amp;legtitle=Statutes%20Amendment%20(Attorney-Generals%20Portfolio)%20Act%202020" TargetMode="External"/><Relationship Id="rId70" Type="http://schemas.openxmlformats.org/officeDocument/2006/relationships/image" Target="media/image9.png"/><Relationship Id="rId75" Type="http://schemas.openxmlformats.org/officeDocument/2006/relationships/image" Target="media/image14.png"/><Relationship Id="rId91" Type="http://schemas.openxmlformats.org/officeDocument/2006/relationships/hyperlink" Target="http://www.legislation.sa.gov.au/index.aspx?action=legref&amp;type=subordleg&amp;legtitle=Liquor%20Licensing%20(Dry%20Areas)%20Notice%202015" TargetMode="External"/><Relationship Id="rId96" Type="http://schemas.openxmlformats.org/officeDocument/2006/relationships/hyperlink" Target="http://www.legislation.sa.gov.au/index.aspx?action=legref&amp;type=subordleg&amp;legtitle=Liquor%20Licensing%20(Dry%20Areas)%20Notice%202015" TargetMode="External"/><Relationship Id="rId140" Type="http://schemas.openxmlformats.org/officeDocument/2006/relationships/hyperlink" Target="http://www.australiaminerals.gov.au/legislation-regulations-and-guidelines" TargetMode="External"/><Relationship Id="rId145" Type="http://schemas.openxmlformats.org/officeDocument/2006/relationships/hyperlink" Target="http://www.australiaminerals.gov.au/legislation-regulations-and-guidelines" TargetMode="External"/><Relationship Id="rId161" Type="http://schemas.openxmlformats.org/officeDocument/2006/relationships/hyperlink" Target="mailto:submissions@aemc.gov.au" TargetMode="External"/><Relationship Id="rId166" Type="http://schemas.openxmlformats.org/officeDocument/2006/relationships/hyperlink" Target="http://www.governmentgazette.sa.gov.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yperlink" Target="http://www.legislation.sa.gov.au/index.aspx?action=legref&amp;type=act&amp;legtitle=Primary%20Produce%20(Food%20Safety%20Schemes)%20(Meat)%20Regulations%202017" TargetMode="External"/><Relationship Id="rId28" Type="http://schemas.openxmlformats.org/officeDocument/2006/relationships/hyperlink" Target="http://www.legislation.sa.gov.au/index.aspx?action=legref&amp;type=act&amp;legtitle=Subordinate%20Legislation%20Act%201978" TargetMode="External"/><Relationship Id="rId36" Type="http://schemas.openxmlformats.org/officeDocument/2006/relationships/hyperlink" Target="http://www.legislation.sa.gov.au/index.aspx?action=legref&amp;type=act&amp;legtitle=Ageing%20and%20Adult%20Safeguarding%20Act%201995" TargetMode="External"/><Relationship Id="rId49" Type="http://schemas.openxmlformats.org/officeDocument/2006/relationships/hyperlink" Target="http://www.legislation.sa.gov.au/index.aspx?action=legref&amp;type=act&amp;legtitle=Guardianship%20and%20Administration%20Act%201993" TargetMode="External"/><Relationship Id="rId57" Type="http://schemas.openxmlformats.org/officeDocument/2006/relationships/hyperlink" Target="http://www.legislation.sa.gov.au/index.aspx?action=legref&amp;type=act&amp;legtitle=Subordinate%20Legislation%20Act%201978" TargetMode="External"/><Relationship Id="rId106" Type="http://schemas.openxmlformats.org/officeDocument/2006/relationships/hyperlink" Target="http://www.legislation.sa.gov.au/index.aspx?action=legref&amp;type=subordleg&amp;legtitle=Liquor%20Licensing%20(Dry%20Areas)%20Notice%202015" TargetMode="External"/><Relationship Id="rId114" Type="http://schemas.openxmlformats.org/officeDocument/2006/relationships/hyperlink" Target="http://www.legislation.sa.gov.au/index.aspx?action=legref&amp;type=act&amp;legtitle=Crown%20Land%20Management%20Act%202009" TargetMode="External"/><Relationship Id="rId119" Type="http://schemas.openxmlformats.org/officeDocument/2006/relationships/hyperlink" Target="http://www.legislation.sa.gov.au/index.aspx?action=legref&amp;type=subordleg&amp;legtitle=Mining%20Regulations%202020" TargetMode="External"/><Relationship Id="rId127" Type="http://schemas.openxmlformats.org/officeDocument/2006/relationships/hyperlink" Target="http://www.lme.com" TargetMode="External"/><Relationship Id="rId10" Type="http://schemas.openxmlformats.org/officeDocument/2006/relationships/header" Target="header2.xml"/><Relationship Id="rId31" Type="http://schemas.openxmlformats.org/officeDocument/2006/relationships/hyperlink" Target="http://www.legislation.sa.gov.au/index.aspx?action=legref&amp;type=act&amp;legtitle=Statutes%20Amendment%20(Screening)%20Act%202019" TargetMode="External"/><Relationship Id="rId44" Type="http://schemas.openxmlformats.org/officeDocument/2006/relationships/hyperlink" Target="http://www.legislation.sa.gov.au/index.aspx?action=legref&amp;type=act&amp;legtitle=Criminal%20Law%20Consolidation%20Act%201935" TargetMode="External"/><Relationship Id="rId52" Type="http://schemas.openxmlformats.org/officeDocument/2006/relationships/hyperlink" Target="http://www.legislation.sa.gov.au/index.aspx?action=legref&amp;type=act&amp;legtitle=Statutes%20Amendment%20(Bail%20Authorities)%20Act%202020" TargetMode="External"/><Relationship Id="rId60" Type="http://schemas.openxmlformats.org/officeDocument/2006/relationships/hyperlink" Target="http://www.legislation.sa.gov.au/index.aspx?action=legref&amp;type=act&amp;legtitle=Subordinate%20Legislation%20Act%201978" TargetMode="External"/><Relationship Id="rId65" Type="http://schemas.openxmlformats.org/officeDocument/2006/relationships/image" Target="media/image4.png"/><Relationship Id="rId73" Type="http://schemas.openxmlformats.org/officeDocument/2006/relationships/image" Target="media/image12.png"/><Relationship Id="rId78" Type="http://schemas.openxmlformats.org/officeDocument/2006/relationships/image" Target="media/image17.png"/><Relationship Id="rId81" Type="http://schemas.openxmlformats.org/officeDocument/2006/relationships/image" Target="media/image20.png"/><Relationship Id="rId86" Type="http://schemas.openxmlformats.org/officeDocument/2006/relationships/image" Target="media/image25.png"/><Relationship Id="rId94" Type="http://schemas.openxmlformats.org/officeDocument/2006/relationships/hyperlink" Target="http://www.legislation.sa.gov.au/index.aspx?action=legref&amp;type=subordleg&amp;legtitle=Liquor%20Licensing%20(Dry%20Areas)%20Notice%202015" TargetMode="External"/><Relationship Id="rId99" Type="http://schemas.openxmlformats.org/officeDocument/2006/relationships/hyperlink" Target="http://www.legislation.sa.gov.au/index.aspx?action=legref&amp;type=subordleg&amp;legtitle=Liquor%20Licensing%20(Dry%20Areas)%20Notice%202015" TargetMode="External"/><Relationship Id="rId101" Type="http://schemas.openxmlformats.org/officeDocument/2006/relationships/image" Target="media/image32.png"/><Relationship Id="rId122" Type="http://schemas.openxmlformats.org/officeDocument/2006/relationships/hyperlink" Target="http://www.legislation.sa.gov.au/index.aspx?action=legref&amp;type=act&amp;legtitle=National%20Parks%20and%20Wildlife%20Act%201972" TargetMode="External"/><Relationship Id="rId130" Type="http://schemas.openxmlformats.org/officeDocument/2006/relationships/hyperlink" Target="https://www.iesc.environment.gov.au/information-guidelines" TargetMode="External"/><Relationship Id="rId135" Type="http://schemas.openxmlformats.org/officeDocument/2006/relationships/hyperlink" Target="http://www.australiaminerals.gov.au/legislation-regulations-and-guidelines" TargetMode="External"/><Relationship Id="rId143" Type="http://schemas.openxmlformats.org/officeDocument/2006/relationships/hyperlink" Target="http://www.australiaminerals.gov.au/legislation-regulations-and-guidelines" TargetMode="External"/><Relationship Id="rId148" Type="http://schemas.openxmlformats.org/officeDocument/2006/relationships/hyperlink" Target="http://www.jorc.org/links.asp" TargetMode="External"/><Relationship Id="rId151" Type="http://schemas.openxmlformats.org/officeDocument/2006/relationships/hyperlink" Target="https://forms.sa.gov.au/" TargetMode="External"/><Relationship Id="rId156" Type="http://schemas.openxmlformats.org/officeDocument/2006/relationships/hyperlink" Target="http://www.yorke.sa.gov.au" TargetMode="External"/><Relationship Id="rId164" Type="http://schemas.openxmlformats.org/officeDocument/2006/relationships/hyperlink" Target="mailto:governmentgazettesa@sa.gov.au" TargetMode="External"/><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hyperlink" Target="http://www.legislation.sa.gov.au/index.aspx?action=legref&amp;type=act&amp;legtitle=Disability%20Inclusion%20Act%202018" TargetMode="External"/><Relationship Id="rId39" Type="http://schemas.openxmlformats.org/officeDocument/2006/relationships/hyperlink" Target="http://www.legislation.sa.gov.au/index.aspx?action=legref&amp;type=act&amp;legtitle=Criminal%20Law%20Consolidation%20Act%201935" TargetMode="External"/><Relationship Id="rId109" Type="http://schemas.openxmlformats.org/officeDocument/2006/relationships/hyperlink" Target="http://www.legislation.sa.gov.au/index.aspx?action=legref&amp;type=act&amp;legtitle=Legislation%20(Fees)%20Act%202019" TargetMode="External"/><Relationship Id="rId34" Type="http://schemas.openxmlformats.org/officeDocument/2006/relationships/hyperlink" Target="http://www.legislation.sa.gov.au/index.aspx?action=legref&amp;type=act&amp;legtitle=Children%20and%20Young%20People%20(Safety)%20Act%202017" TargetMode="External"/><Relationship Id="rId50" Type="http://schemas.openxmlformats.org/officeDocument/2006/relationships/hyperlink" Target="http://www.legislation.sa.gov.au/index.aspx?action=legref&amp;type=act&amp;legtitle=Mental%20Health%20Act%202009" TargetMode="External"/><Relationship Id="rId55" Type="http://schemas.openxmlformats.org/officeDocument/2006/relationships/hyperlink" Target="http://www.legislation.sa.gov.au/index.aspx?action=legref&amp;type=act&amp;legtitle=Subordinate%20Legislation%20Act%201978" TargetMode="External"/><Relationship Id="rId76" Type="http://schemas.openxmlformats.org/officeDocument/2006/relationships/image" Target="media/image15.png"/><Relationship Id="rId97" Type="http://schemas.openxmlformats.org/officeDocument/2006/relationships/hyperlink" Target="http://www.legislation.sa.gov.au/index.aspx?action=legref&amp;type=subordleg&amp;legtitle=Liquor%20Licensing%20(Dry%20Areas)%20Notice%202015" TargetMode="External"/><Relationship Id="rId104" Type="http://schemas.openxmlformats.org/officeDocument/2006/relationships/image" Target="media/image33.png"/><Relationship Id="rId120" Type="http://schemas.openxmlformats.org/officeDocument/2006/relationships/hyperlink" Target="http://www.legislation.sa.gov.au/index.aspx?action=legref&amp;type=subordleg&amp;legtitle=Mining%20Regulations%202020" TargetMode="External"/><Relationship Id="rId125" Type="http://schemas.openxmlformats.org/officeDocument/2006/relationships/hyperlink" Target="http://www.legislation.sa.gov.au/index.aspx?action=legref&amp;type=subordleg&amp;legtitle=Mining%20Regulations%202020" TargetMode="External"/><Relationship Id="rId141" Type="http://schemas.openxmlformats.org/officeDocument/2006/relationships/hyperlink" Target="http://www.australiaminerals.gov.au/legislation-regulations-and-guidelines" TargetMode="External"/><Relationship Id="rId146" Type="http://schemas.openxmlformats.org/officeDocument/2006/relationships/hyperlink" Target="http://www.australiaminerals.gov.au/legislation-regulations-and-guidelines" TargetMode="External"/><Relationship Id="rId167"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image" Target="media/image10.png"/><Relationship Id="rId92" Type="http://schemas.openxmlformats.org/officeDocument/2006/relationships/image" Target="media/image29.png"/><Relationship Id="rId162" Type="http://schemas.openxmlformats.org/officeDocument/2006/relationships/hyperlink" Target="http://www.aemc.gov.au" TargetMode="External"/><Relationship Id="rId2" Type="http://schemas.openxmlformats.org/officeDocument/2006/relationships/numbering" Target="numbering.xml"/><Relationship Id="rId29" Type="http://schemas.openxmlformats.org/officeDocument/2006/relationships/hyperlink" Target="http://www.legislation.sa.gov.au/index.aspx?action=legref&amp;type=act&amp;legtitle=Subordinate%20Legislation%20Act%201978" TargetMode="External"/><Relationship Id="rId24" Type="http://schemas.openxmlformats.org/officeDocument/2006/relationships/hyperlink" Target="http://www.legislation.sa.gov.au/index.aspx?action=legref&amp;type=act&amp;legtitle=Environment%20Protection%20Act%201993" TargetMode="External"/><Relationship Id="rId40" Type="http://schemas.openxmlformats.org/officeDocument/2006/relationships/hyperlink" Target="http://www.legislation.sa.gov.au/index.aspx?action=legref&amp;type=act&amp;legtitle=Criminal%20Law%20Consolidation%20(Rape%20and%20Sexual%20Offences)%20Amendment%20Act%202008" TargetMode="External"/><Relationship Id="rId45" Type="http://schemas.openxmlformats.org/officeDocument/2006/relationships/hyperlink" Target="http://www.legislation.sa.gov.au/index.aspx?action=legref&amp;type=act&amp;legtitle=Criminal%20Law%20Consolidation%20Act%201935" TargetMode="External"/><Relationship Id="rId66" Type="http://schemas.openxmlformats.org/officeDocument/2006/relationships/image" Target="media/image5.png"/><Relationship Id="rId87" Type="http://schemas.openxmlformats.org/officeDocument/2006/relationships/image" Target="media/image26.png"/><Relationship Id="rId110" Type="http://schemas.openxmlformats.org/officeDocument/2006/relationships/hyperlink" Target="http://www.legislation.sa.gov.au/index.aspx?action=legref&amp;type=act&amp;legtitle=Mining%20Act%201971" TargetMode="External"/><Relationship Id="rId115" Type="http://schemas.openxmlformats.org/officeDocument/2006/relationships/hyperlink" Target="http://www.legislation.sa.gov.au/index.aspx?action=legref&amp;type=subordleg&amp;legtitle=Mining%20Regulations%202020" TargetMode="External"/><Relationship Id="rId131" Type="http://schemas.openxmlformats.org/officeDocument/2006/relationships/hyperlink" Target="http://www.energymining.sa.gov.au" TargetMode="External"/><Relationship Id="rId136" Type="http://schemas.openxmlformats.org/officeDocument/2006/relationships/hyperlink" Target="http://gempet.dmp.wa.gov.au/GemPet/" TargetMode="External"/><Relationship Id="rId157" Type="http://schemas.openxmlformats.org/officeDocument/2006/relationships/hyperlink" Target="mailto:admin@yorke.sa.gov.au" TargetMode="External"/><Relationship Id="rId61" Type="http://schemas.openxmlformats.org/officeDocument/2006/relationships/hyperlink" Target="http://www.legislation.sa.gov.au/index.aspx?action=legref&amp;type=act&amp;legtitle=Subordinate%20Legislation%20Act%201978" TargetMode="External"/><Relationship Id="rId82" Type="http://schemas.openxmlformats.org/officeDocument/2006/relationships/image" Target="media/image21.png"/><Relationship Id="rId152" Type="http://schemas.openxmlformats.org/officeDocument/2006/relationships/image" Target="media/image35.png"/><Relationship Id="rId19" Type="http://schemas.openxmlformats.org/officeDocument/2006/relationships/hyperlink" Target="http://www.legislation.sa.gov.au/index.aspx?action=legref&amp;type=act&amp;legtitle=Health%20Care%20(Safe%20Access)%20Amendment%20Act%202020" TargetMode="External"/><Relationship Id="rId14" Type="http://schemas.openxmlformats.org/officeDocument/2006/relationships/header" Target="header4.xml"/><Relationship Id="rId30" Type="http://schemas.openxmlformats.org/officeDocument/2006/relationships/hyperlink" Target="http://www.legislation.sa.gov.au/index.aspx?action=legref&amp;type=act&amp;legtitle=Disability%20Inclusion%20Act%202018" TargetMode="External"/><Relationship Id="rId35" Type="http://schemas.openxmlformats.org/officeDocument/2006/relationships/hyperlink" Target="http://www.legislation.sa.gov.au/index.aspx?action=legref&amp;type=act&amp;legtitle=Guardianship%20and%20Administration%20Act%201993" TargetMode="External"/><Relationship Id="rId56" Type="http://schemas.openxmlformats.org/officeDocument/2006/relationships/hyperlink" Target="http://www.legislation.sa.gov.au/index.aspx?action=legref&amp;type=subordleg&amp;legtitle=Water%20Resources%20(Lower%20Limestone%20Coast%20Prescribed%20Wells%20Area)%20Regulations%202004" TargetMode="External"/><Relationship Id="rId77" Type="http://schemas.openxmlformats.org/officeDocument/2006/relationships/image" Target="media/image16.png"/><Relationship Id="rId100" Type="http://schemas.openxmlformats.org/officeDocument/2006/relationships/hyperlink" Target="http://www.legislation.sa.gov.au/index.aspx?action=legref&amp;type=subordleg&amp;legtitle=Liquor%20Licensing%20(Dry%20Areas)%20Notice%202015" TargetMode="External"/><Relationship Id="rId105" Type="http://schemas.openxmlformats.org/officeDocument/2006/relationships/hyperlink" Target="http://www.legislation.sa.gov.au/index.aspx?action=legref&amp;type=subordleg&amp;legtitle=Liquor%20Licensing%20(Dry%20Areas)%20Notice%202015" TargetMode="External"/><Relationship Id="rId126" Type="http://schemas.openxmlformats.org/officeDocument/2006/relationships/hyperlink" Target="http://www.legislation.sa.gov.au/index.aspx?action=legref&amp;type=subordleg&amp;legtitle=Mining%20Regulations%202020" TargetMode="External"/><Relationship Id="rId147" Type="http://schemas.openxmlformats.org/officeDocument/2006/relationships/hyperlink" Target="http://www.jorc.org/index.asp" TargetMode="External"/><Relationship Id="rId168" Type="http://schemas.openxmlformats.org/officeDocument/2006/relationships/header" Target="header7.xml"/><Relationship Id="rId8" Type="http://schemas.openxmlformats.org/officeDocument/2006/relationships/image" Target="media/image1.jpeg"/><Relationship Id="rId51" Type="http://schemas.openxmlformats.org/officeDocument/2006/relationships/hyperlink" Target="http://www.legislation.sa.gov.au/index.aspx?action=legref&amp;type=act&amp;legtitle=Subordinate%20Legislation%20Act%201978" TargetMode="External"/><Relationship Id="rId72" Type="http://schemas.openxmlformats.org/officeDocument/2006/relationships/image" Target="media/image11.png"/><Relationship Id="rId93" Type="http://schemas.openxmlformats.org/officeDocument/2006/relationships/hyperlink" Target="http://www.legislation.sa.gov.au/index.aspx?action=legref&amp;type=subordleg&amp;legtitle=Liquor%20Licensing%20(Dry%20Areas)%20Notice%202015" TargetMode="External"/><Relationship Id="rId98" Type="http://schemas.openxmlformats.org/officeDocument/2006/relationships/image" Target="media/image31.png"/><Relationship Id="rId121" Type="http://schemas.openxmlformats.org/officeDocument/2006/relationships/hyperlink" Target="http://www.legislation.sa.gov.au/index.aspx?action=legref&amp;type=act&amp;legtitle=National%20Parks%20and%20Wildlife%20Act%201972" TargetMode="External"/><Relationship Id="rId142" Type="http://schemas.openxmlformats.org/officeDocument/2006/relationships/hyperlink" Target="http://www.australiaminerals.gov.au/legislation-regulations-and-guidelines" TargetMode="External"/><Relationship Id="rId163" Type="http://schemas.openxmlformats.org/officeDocument/2006/relationships/hyperlink" Target="http://www.aemc.gov.au" TargetMode="External"/><Relationship Id="rId3" Type="http://schemas.openxmlformats.org/officeDocument/2006/relationships/styles" Target="styles.xml"/><Relationship Id="rId25" Type="http://schemas.openxmlformats.org/officeDocument/2006/relationships/hyperlink" Target="http://www.legislation.sa.gov.au/index.aspx?action=legref&amp;type=act&amp;legtitle=Subordinate%20Legislation%20Act%201978" TargetMode="External"/><Relationship Id="rId46" Type="http://schemas.openxmlformats.org/officeDocument/2006/relationships/hyperlink" Target="http://www.legislation.sa.gov.au/index.aspx?action=legref&amp;type=act&amp;legtitle=Controlled%20Substances%20Act%201984" TargetMode="External"/><Relationship Id="rId67" Type="http://schemas.openxmlformats.org/officeDocument/2006/relationships/image" Target="media/image6.png"/><Relationship Id="rId116" Type="http://schemas.openxmlformats.org/officeDocument/2006/relationships/hyperlink" Target="http://www.legislation.sa.gov.au/index.aspx?action=legref&amp;type=act&amp;legtitle=Native%20Vegetation%20Act%201991" TargetMode="External"/><Relationship Id="rId137" Type="http://schemas.openxmlformats.org/officeDocument/2006/relationships/hyperlink" Target="http://www.australiaminerals.gov.au/legislation-regulations-and-guidelines" TargetMode="External"/><Relationship Id="rId158" Type="http://schemas.openxmlformats.org/officeDocument/2006/relationships/hyperlink" Target="http://www.yorke.sa.gov.au" TargetMode="External"/><Relationship Id="rId20" Type="http://schemas.openxmlformats.org/officeDocument/2006/relationships/hyperlink" Target="http://www.legislation.sa.gov.au/index.aspx?action=legref&amp;type=act&amp;legtitle=Statutes%20Amendment%20(Bail%20Authorities)%20Act%202020" TargetMode="External"/><Relationship Id="rId41" Type="http://schemas.openxmlformats.org/officeDocument/2006/relationships/hyperlink" Target="http://www.legislation.sa.gov.au/index.aspx?action=legref&amp;type=act&amp;legtitle=Aircraft%20Offences%20Act%201971" TargetMode="External"/><Relationship Id="rId62" Type="http://schemas.openxmlformats.org/officeDocument/2006/relationships/hyperlink" Target="http://www.legislation.sa.gov.au/index.aspx?action=legref&amp;type=act&amp;legtitle=Subordinate%20Legislation%20Act%201978" TargetMode="External"/><Relationship Id="rId83" Type="http://schemas.openxmlformats.org/officeDocument/2006/relationships/image" Target="media/image22.png"/><Relationship Id="rId88" Type="http://schemas.openxmlformats.org/officeDocument/2006/relationships/image" Target="media/image27.png"/><Relationship Id="rId111" Type="http://schemas.openxmlformats.org/officeDocument/2006/relationships/hyperlink" Target="http://www.legislation.sa.gov.au/index.aspx?action=legref&amp;type=act&amp;legtitle=National%20Parks%20and%20Wildlife%20Act%201972" TargetMode="External"/><Relationship Id="rId132" Type="http://schemas.openxmlformats.org/officeDocument/2006/relationships/hyperlink" Target="https://www.iesc.environment.gov.au/information-guidelines" TargetMode="External"/><Relationship Id="rId153" Type="http://schemas.openxmlformats.org/officeDocument/2006/relationships/image" Target="media/image36.png"/></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TEMPLATES%20DOTX%202020\TEMPLATE_GAZETTE_20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7A99C49CF124105A3D820D75D537AD8"/>
        <w:category>
          <w:name w:val="General"/>
          <w:gallery w:val="placeholder"/>
        </w:category>
        <w:types>
          <w:type w:val="bbPlcHdr"/>
        </w:types>
        <w:behaviors>
          <w:behavior w:val="content"/>
        </w:behaviors>
        <w:guid w:val="{044889C9-1C61-46C0-BB4C-AB5F39D3BDF2}"/>
      </w:docPartPr>
      <w:docPartBody>
        <w:p w:rsidR="00626DEE" w:rsidRDefault="00E67BDC" w:rsidP="00E67BDC">
          <w:pPr>
            <w:pStyle w:val="E7A99C49CF124105A3D820D75D537AD8"/>
          </w:pPr>
          <w:r w:rsidRPr="00E66ECF">
            <w:rPr>
              <w:rStyle w:val="PlaceholderText"/>
            </w:rPr>
            <w:t>Enter any content that you want to repeat, including other content controls. You can also insert this control around table rows in order to repeat parts of a table.</w:t>
          </w:r>
        </w:p>
      </w:docPartBody>
    </w:docPart>
    <w:docPart>
      <w:docPartPr>
        <w:name w:val="67835AB00EC84726B5AC8AAE8BA900EF"/>
        <w:category>
          <w:name w:val="General"/>
          <w:gallery w:val="placeholder"/>
        </w:category>
        <w:types>
          <w:type w:val="bbPlcHdr"/>
        </w:types>
        <w:behaviors>
          <w:behavior w:val="content"/>
        </w:behaviors>
        <w:guid w:val="{A65F4BFA-83EE-448C-8681-6AC10AAAA212}"/>
      </w:docPartPr>
      <w:docPartBody>
        <w:p w:rsidR="00626DEE" w:rsidRDefault="00E67BDC" w:rsidP="00E67BDC">
          <w:pPr>
            <w:pStyle w:val="67835AB00EC84726B5AC8AAE8BA900EF"/>
          </w:pPr>
          <w:r w:rsidRPr="00242933">
            <w:rPr>
              <w:rStyle w:val="PlaceholderText"/>
            </w:rPr>
            <w:t>Include the commonly used name of the exploration project or mine(s)</w:t>
          </w:r>
        </w:p>
      </w:docPartBody>
    </w:docPart>
    <w:docPart>
      <w:docPartPr>
        <w:name w:val="CFBFE560A69C41498FD0E411E45EA802"/>
        <w:category>
          <w:name w:val="General"/>
          <w:gallery w:val="placeholder"/>
        </w:category>
        <w:types>
          <w:type w:val="bbPlcHdr"/>
        </w:types>
        <w:behaviors>
          <w:behavior w:val="content"/>
        </w:behaviors>
        <w:guid w:val="{234003CC-1E0D-456F-B2EA-9A8B62997720}"/>
      </w:docPartPr>
      <w:docPartBody>
        <w:p w:rsidR="00626DEE" w:rsidRDefault="00E67BDC" w:rsidP="00E67BDC">
          <w:pPr>
            <w:pStyle w:val="CFBFE560A69C41498FD0E411E45EA802"/>
          </w:pPr>
          <w:r w:rsidRPr="00242933">
            <w:rPr>
              <w:rStyle w:val="PlaceholderText"/>
            </w:rPr>
            <w:t>Include the full name and business address of th</w:t>
          </w:r>
          <w:r>
            <w:rPr>
              <w:rStyle w:val="PlaceholderText"/>
            </w:rPr>
            <w:t>e holder of the mining tenement</w:t>
          </w:r>
        </w:p>
      </w:docPartBody>
    </w:docPart>
    <w:docPart>
      <w:docPartPr>
        <w:name w:val="A1552B344C0641AD8C2204B636F0238E"/>
        <w:category>
          <w:name w:val="General"/>
          <w:gallery w:val="placeholder"/>
        </w:category>
        <w:types>
          <w:type w:val="bbPlcHdr"/>
        </w:types>
        <w:behaviors>
          <w:behavior w:val="content"/>
        </w:behaviors>
        <w:guid w:val="{2C36CCF4-AB53-4E0F-B895-2C319A0DF011}"/>
      </w:docPartPr>
      <w:docPartBody>
        <w:p w:rsidR="00626DEE" w:rsidRDefault="00E67BDC" w:rsidP="00E67BDC">
          <w:pPr>
            <w:pStyle w:val="A1552B344C0641AD8C2204B636F0238E"/>
          </w:pPr>
          <w:r w:rsidRPr="00242933">
            <w:rPr>
              <w:rStyle w:val="PlaceholderText"/>
            </w:rPr>
            <w:t>Include company name and address of company(s) that have worked on the listed tenements during the reporting period (other than the tenement holder)</w:t>
          </w:r>
        </w:p>
      </w:docPartBody>
    </w:docPart>
    <w:docPart>
      <w:docPartPr>
        <w:name w:val="8B30D8E593374A728C1228568D126EEE"/>
        <w:category>
          <w:name w:val="General"/>
          <w:gallery w:val="placeholder"/>
        </w:category>
        <w:types>
          <w:type w:val="bbPlcHdr"/>
        </w:types>
        <w:behaviors>
          <w:behavior w:val="content"/>
        </w:behaviors>
        <w:guid w:val="{5EFD7545-63D3-4267-A0FC-AE42AFA71382}"/>
      </w:docPartPr>
      <w:docPartBody>
        <w:p w:rsidR="00626DEE" w:rsidRDefault="00E67BDC" w:rsidP="00E67BDC">
          <w:pPr>
            <w:pStyle w:val="8B30D8E593374A728C1228568D126EEE"/>
          </w:pPr>
          <w:r w:rsidRPr="007E5260">
            <w:rPr>
              <w:rStyle w:val="PlaceholderText"/>
            </w:rPr>
            <w:t>Click to enter text</w:t>
          </w:r>
        </w:p>
      </w:docPartBody>
    </w:docPart>
    <w:docPart>
      <w:docPartPr>
        <w:name w:val="84E70333D07B48718DF2C7D07CA84D01"/>
        <w:category>
          <w:name w:val="General"/>
          <w:gallery w:val="placeholder"/>
        </w:category>
        <w:types>
          <w:type w:val="bbPlcHdr"/>
        </w:types>
        <w:behaviors>
          <w:behavior w:val="content"/>
        </w:behaviors>
        <w:guid w:val="{CABB6D84-6BC5-402E-B617-03649892EA38}"/>
      </w:docPartPr>
      <w:docPartBody>
        <w:p w:rsidR="00626DEE" w:rsidRDefault="00E67BDC" w:rsidP="00E67BDC">
          <w:pPr>
            <w:pStyle w:val="84E70333D07B48718DF2C7D07CA84D01"/>
          </w:pPr>
          <w:r w:rsidRPr="007E5260">
            <w:rPr>
              <w:rStyle w:val="PlaceholderText"/>
            </w:rPr>
            <w:t>Click to enter text</w:t>
          </w:r>
        </w:p>
      </w:docPartBody>
    </w:docPart>
    <w:docPart>
      <w:docPartPr>
        <w:name w:val="EF80F1B2AF554A458FD004AFD5054A18"/>
        <w:category>
          <w:name w:val="General"/>
          <w:gallery w:val="placeholder"/>
        </w:category>
        <w:types>
          <w:type w:val="bbPlcHdr"/>
        </w:types>
        <w:behaviors>
          <w:behavior w:val="content"/>
        </w:behaviors>
        <w:guid w:val="{C8D1A775-9F8F-4979-94EE-D89960AD63BF}"/>
      </w:docPartPr>
      <w:docPartBody>
        <w:p w:rsidR="00626DEE" w:rsidRDefault="00E67BDC" w:rsidP="00E67BDC">
          <w:pPr>
            <w:pStyle w:val="EF80F1B2AF554A458FD004AFD5054A18"/>
          </w:pPr>
          <w:r w:rsidRPr="007E5260">
            <w:rPr>
              <w:rStyle w:val="PlaceholderText"/>
            </w:rPr>
            <w:t>Click to enter text</w:t>
          </w:r>
        </w:p>
      </w:docPartBody>
    </w:docPart>
    <w:docPart>
      <w:docPartPr>
        <w:name w:val="49111D6A300B47F29494987D6D14DDE7"/>
        <w:category>
          <w:name w:val="General"/>
          <w:gallery w:val="placeholder"/>
        </w:category>
        <w:types>
          <w:type w:val="bbPlcHdr"/>
        </w:types>
        <w:behaviors>
          <w:behavior w:val="content"/>
        </w:behaviors>
        <w:guid w:val="{64F0E8CB-072D-4F95-A844-F8516CB604E0}"/>
      </w:docPartPr>
      <w:docPartBody>
        <w:p w:rsidR="00626DEE" w:rsidRDefault="00E67BDC" w:rsidP="00E67BDC">
          <w:pPr>
            <w:pStyle w:val="49111D6A300B47F29494987D6D14DDE7"/>
          </w:pPr>
          <w:r w:rsidRPr="007E5260">
            <w:rPr>
              <w:rStyle w:val="PlaceholderText"/>
            </w:rPr>
            <w:t>Click to enter text</w:t>
          </w:r>
        </w:p>
      </w:docPartBody>
    </w:docPart>
    <w:docPart>
      <w:docPartPr>
        <w:name w:val="16CD179361954BCD9B94D961BFAAC80E"/>
        <w:category>
          <w:name w:val="General"/>
          <w:gallery w:val="placeholder"/>
        </w:category>
        <w:types>
          <w:type w:val="bbPlcHdr"/>
        </w:types>
        <w:behaviors>
          <w:behavior w:val="content"/>
        </w:behaviors>
        <w:guid w:val="{C54E31F0-D56B-408D-A0E0-222F475287F4}"/>
      </w:docPartPr>
      <w:docPartBody>
        <w:p w:rsidR="00626DEE" w:rsidRDefault="00E67BDC" w:rsidP="00E67BDC">
          <w:pPr>
            <w:pStyle w:val="16CD179361954BCD9B94D961BFAAC80E"/>
          </w:pPr>
          <w:r w:rsidRPr="00A7534B">
            <w:rPr>
              <w:rStyle w:val="PlaceholderText"/>
              <w:rFonts w:cs="Arial"/>
              <w:szCs w:val="16"/>
            </w:rPr>
            <w:t>Provide the name</w:t>
          </w:r>
          <w:r>
            <w:rPr>
              <w:rStyle w:val="PlaceholderText"/>
              <w:rFonts w:cs="Arial"/>
              <w:szCs w:val="16"/>
            </w:rPr>
            <w:t>, version and submission date</w:t>
          </w:r>
          <w:r w:rsidRPr="00A7534B">
            <w:rPr>
              <w:rStyle w:val="PlaceholderText"/>
              <w:rFonts w:cs="Arial"/>
              <w:szCs w:val="16"/>
            </w:rPr>
            <w:t xml:space="preserve"> of the</w:t>
          </w:r>
          <w:r>
            <w:rPr>
              <w:rStyle w:val="PlaceholderText"/>
              <w:rFonts w:cs="Arial"/>
              <w:szCs w:val="16"/>
            </w:rPr>
            <w:t xml:space="preserve"> approved PEPR document</w:t>
          </w:r>
        </w:p>
      </w:docPartBody>
    </w:docPart>
    <w:docPart>
      <w:docPartPr>
        <w:name w:val="AE10CB7913A04E7E97FFF48B3C703E87"/>
        <w:category>
          <w:name w:val="General"/>
          <w:gallery w:val="placeholder"/>
        </w:category>
        <w:types>
          <w:type w:val="bbPlcHdr"/>
        </w:types>
        <w:behaviors>
          <w:behavior w:val="content"/>
        </w:behaviors>
        <w:guid w:val="{6FD207F0-C4F7-4AFB-BEA2-3CFA2A6D46C7}"/>
      </w:docPartPr>
      <w:docPartBody>
        <w:p w:rsidR="00626DEE" w:rsidRDefault="00E67BDC" w:rsidP="00E67BDC">
          <w:pPr>
            <w:pStyle w:val="AE10CB7913A04E7E97FFF48B3C703E87"/>
          </w:pPr>
          <w:r w:rsidRPr="003A21C4">
            <w:rPr>
              <w:rStyle w:val="PlaceholderText"/>
              <w:rFonts w:cs="Arial"/>
              <w:szCs w:val="16"/>
            </w:rPr>
            <w:t>Click to enter text</w:t>
          </w:r>
        </w:p>
      </w:docPartBody>
    </w:docPart>
    <w:docPart>
      <w:docPartPr>
        <w:name w:val="E59A1E74699642BB9F5F9967F63C44A1"/>
        <w:category>
          <w:name w:val="General"/>
          <w:gallery w:val="placeholder"/>
        </w:category>
        <w:types>
          <w:type w:val="bbPlcHdr"/>
        </w:types>
        <w:behaviors>
          <w:behavior w:val="content"/>
        </w:behaviors>
        <w:guid w:val="{D924C7B7-642B-465A-B5B4-82D93E98578D}"/>
      </w:docPartPr>
      <w:docPartBody>
        <w:p w:rsidR="00626DEE" w:rsidRDefault="00E67BDC" w:rsidP="00E67BDC">
          <w:pPr>
            <w:pStyle w:val="E59A1E74699642BB9F5F9967F63C44A1"/>
          </w:pPr>
          <w:r>
            <w:rPr>
              <w:rStyle w:val="PlaceholderText"/>
            </w:rPr>
            <w:t xml:space="preserve">Click </w:t>
          </w:r>
          <w:r w:rsidRPr="007E5260">
            <w:rPr>
              <w:rStyle w:val="PlaceholderText"/>
            </w:rPr>
            <w:t xml:space="preserve">to enter </w:t>
          </w:r>
          <w:r>
            <w:rPr>
              <w:rStyle w:val="PlaceholderText"/>
            </w:rPr>
            <w:t xml:space="preserve">a </w:t>
          </w:r>
          <w:r w:rsidRPr="007E5260">
            <w:rPr>
              <w:rStyle w:val="PlaceholderText"/>
            </w:rPr>
            <w:t>date</w:t>
          </w:r>
        </w:p>
      </w:docPartBody>
    </w:docPart>
    <w:docPart>
      <w:docPartPr>
        <w:name w:val="8E9FBF293C5E4E1495E0B5C56755072A"/>
        <w:category>
          <w:name w:val="General"/>
          <w:gallery w:val="placeholder"/>
        </w:category>
        <w:types>
          <w:type w:val="bbPlcHdr"/>
        </w:types>
        <w:behaviors>
          <w:behavior w:val="content"/>
        </w:behaviors>
        <w:guid w:val="{F7C77C34-EB10-42BB-9E20-A190AD2D1755}"/>
      </w:docPartPr>
      <w:docPartBody>
        <w:p w:rsidR="00626DEE" w:rsidRDefault="00E67BDC" w:rsidP="00E67BDC">
          <w:pPr>
            <w:pStyle w:val="8E9FBF293C5E4E1495E0B5C56755072A"/>
          </w:pPr>
          <w:r w:rsidRPr="003A21C4">
            <w:rPr>
              <w:rStyle w:val="PlaceholderText"/>
              <w:rFonts w:cs="Arial"/>
              <w:szCs w:val="16"/>
            </w:rPr>
            <w:t>Click to enter text</w:t>
          </w:r>
        </w:p>
      </w:docPartBody>
    </w:docPart>
    <w:docPart>
      <w:docPartPr>
        <w:name w:val="ACDEDDD1258C4AAAAEAA41FC384FC1FE"/>
        <w:category>
          <w:name w:val="General"/>
          <w:gallery w:val="placeholder"/>
        </w:category>
        <w:types>
          <w:type w:val="bbPlcHdr"/>
        </w:types>
        <w:behaviors>
          <w:behavior w:val="content"/>
        </w:behaviors>
        <w:guid w:val="{23909C91-3B3E-4D3A-B782-E0396273515E}"/>
      </w:docPartPr>
      <w:docPartBody>
        <w:p w:rsidR="00626DEE" w:rsidRDefault="00E67BDC" w:rsidP="00E67BDC">
          <w:pPr>
            <w:pStyle w:val="ACDEDDD1258C4AAAAEAA41FC384FC1FE"/>
          </w:pPr>
          <w:r w:rsidRPr="00E66ECF">
            <w:rPr>
              <w:rStyle w:val="PlaceholderText"/>
            </w:rPr>
            <w:t>Enter any content that you want to repeat, including other content controls. You can also insert this control around table rows in order to repeat parts of a table.</w:t>
          </w:r>
        </w:p>
      </w:docPartBody>
    </w:docPart>
    <w:docPart>
      <w:docPartPr>
        <w:name w:val="DB9F9C5B945A4BD48B4C31726DB460A1"/>
        <w:category>
          <w:name w:val="General"/>
          <w:gallery w:val="placeholder"/>
        </w:category>
        <w:types>
          <w:type w:val="bbPlcHdr"/>
        </w:types>
        <w:behaviors>
          <w:behavior w:val="content"/>
        </w:behaviors>
        <w:guid w:val="{DF8719D3-A02E-454B-8653-19F112EFEFBE}"/>
      </w:docPartPr>
      <w:docPartBody>
        <w:p w:rsidR="00626DEE" w:rsidRDefault="00E67BDC" w:rsidP="00E67BDC">
          <w:pPr>
            <w:pStyle w:val="DB9F9C5B945A4BD48B4C31726DB460A1"/>
          </w:pPr>
          <w:r w:rsidRPr="00242933">
            <w:rPr>
              <w:rStyle w:val="PlaceholderText"/>
            </w:rPr>
            <w:t>Include the commonly used name of the exploration project or mine(s)</w:t>
          </w:r>
        </w:p>
      </w:docPartBody>
    </w:docPart>
    <w:docPart>
      <w:docPartPr>
        <w:name w:val="FEB38426D713483E8F0F59BE336E9CDC"/>
        <w:category>
          <w:name w:val="General"/>
          <w:gallery w:val="placeholder"/>
        </w:category>
        <w:types>
          <w:type w:val="bbPlcHdr"/>
        </w:types>
        <w:behaviors>
          <w:behavior w:val="content"/>
        </w:behaviors>
        <w:guid w:val="{74203043-330D-425F-BD1F-0B45BBC89DE3}"/>
      </w:docPartPr>
      <w:docPartBody>
        <w:p w:rsidR="00626DEE" w:rsidRDefault="00E67BDC" w:rsidP="00E67BDC">
          <w:pPr>
            <w:pStyle w:val="FEB38426D713483E8F0F59BE336E9CDC"/>
          </w:pPr>
          <w:r w:rsidRPr="00242933">
            <w:rPr>
              <w:rStyle w:val="PlaceholderText"/>
            </w:rPr>
            <w:t>Include the full name and business address of th</w:t>
          </w:r>
          <w:r>
            <w:rPr>
              <w:rStyle w:val="PlaceholderText"/>
            </w:rPr>
            <w:t>e holder of the mining tenement</w:t>
          </w:r>
        </w:p>
      </w:docPartBody>
    </w:docPart>
    <w:docPart>
      <w:docPartPr>
        <w:name w:val="CD3DBC6A942248E19EFFFE66B4A3B349"/>
        <w:category>
          <w:name w:val="General"/>
          <w:gallery w:val="placeholder"/>
        </w:category>
        <w:types>
          <w:type w:val="bbPlcHdr"/>
        </w:types>
        <w:behaviors>
          <w:behavior w:val="content"/>
        </w:behaviors>
        <w:guid w:val="{AFE8CCA8-E4B2-4153-9ED7-AFB0CFDB4765}"/>
      </w:docPartPr>
      <w:docPartBody>
        <w:p w:rsidR="00626DEE" w:rsidRDefault="00E67BDC" w:rsidP="00E67BDC">
          <w:pPr>
            <w:pStyle w:val="CD3DBC6A942248E19EFFFE66B4A3B349"/>
          </w:pPr>
          <w:r w:rsidRPr="00242933">
            <w:rPr>
              <w:rStyle w:val="PlaceholderText"/>
            </w:rPr>
            <w:t>Include company name and address of company(s) that have worked on the listed tenements during the reporting period (other than the tenement holder)</w:t>
          </w:r>
        </w:p>
      </w:docPartBody>
    </w:docPart>
    <w:docPart>
      <w:docPartPr>
        <w:name w:val="CC8C08698BF14418B278835F821B5422"/>
        <w:category>
          <w:name w:val="General"/>
          <w:gallery w:val="placeholder"/>
        </w:category>
        <w:types>
          <w:type w:val="bbPlcHdr"/>
        </w:types>
        <w:behaviors>
          <w:behavior w:val="content"/>
        </w:behaviors>
        <w:guid w:val="{CC0BB118-D0F7-4ECC-BA89-F56CC0F2A971}"/>
      </w:docPartPr>
      <w:docPartBody>
        <w:p w:rsidR="00626DEE" w:rsidRDefault="00E67BDC" w:rsidP="00E67BDC">
          <w:pPr>
            <w:pStyle w:val="CC8C08698BF14418B278835F821B5422"/>
          </w:pPr>
          <w:r w:rsidRPr="007E5260">
            <w:rPr>
              <w:rStyle w:val="PlaceholderText"/>
            </w:rPr>
            <w:t>Click to enter text</w:t>
          </w:r>
        </w:p>
      </w:docPartBody>
    </w:docPart>
    <w:docPart>
      <w:docPartPr>
        <w:name w:val="31AFC009A8154F4D8C27F6747F6C74E3"/>
        <w:category>
          <w:name w:val="General"/>
          <w:gallery w:val="placeholder"/>
        </w:category>
        <w:types>
          <w:type w:val="bbPlcHdr"/>
        </w:types>
        <w:behaviors>
          <w:behavior w:val="content"/>
        </w:behaviors>
        <w:guid w:val="{8E71706D-5D67-4EA0-8E21-F210DB8BE304}"/>
      </w:docPartPr>
      <w:docPartBody>
        <w:p w:rsidR="00626DEE" w:rsidRDefault="00E67BDC" w:rsidP="00E67BDC">
          <w:pPr>
            <w:pStyle w:val="31AFC009A8154F4D8C27F6747F6C74E3"/>
          </w:pPr>
          <w:r w:rsidRPr="007E5260">
            <w:rPr>
              <w:rStyle w:val="PlaceholderText"/>
            </w:rPr>
            <w:t>Click to enter text</w:t>
          </w:r>
        </w:p>
      </w:docPartBody>
    </w:docPart>
    <w:docPart>
      <w:docPartPr>
        <w:name w:val="72395634753D430CAE6C41806E999CC6"/>
        <w:category>
          <w:name w:val="General"/>
          <w:gallery w:val="placeholder"/>
        </w:category>
        <w:types>
          <w:type w:val="bbPlcHdr"/>
        </w:types>
        <w:behaviors>
          <w:behavior w:val="content"/>
        </w:behaviors>
        <w:guid w:val="{1ECA19F9-B8DC-4B29-A483-380905C03180}"/>
      </w:docPartPr>
      <w:docPartBody>
        <w:p w:rsidR="00626DEE" w:rsidRDefault="00E67BDC" w:rsidP="00E67BDC">
          <w:pPr>
            <w:pStyle w:val="72395634753D430CAE6C41806E999CC6"/>
          </w:pPr>
          <w:r w:rsidRPr="007E5260">
            <w:rPr>
              <w:rStyle w:val="PlaceholderText"/>
            </w:rPr>
            <w:t>Click to enter text</w:t>
          </w:r>
        </w:p>
      </w:docPartBody>
    </w:docPart>
    <w:docPart>
      <w:docPartPr>
        <w:name w:val="5108985D5B5446439507BB3D2BB785A6"/>
        <w:category>
          <w:name w:val="General"/>
          <w:gallery w:val="placeholder"/>
        </w:category>
        <w:types>
          <w:type w:val="bbPlcHdr"/>
        </w:types>
        <w:behaviors>
          <w:behavior w:val="content"/>
        </w:behaviors>
        <w:guid w:val="{18E11734-46F9-4111-8CEF-6FF8BF970B71}"/>
      </w:docPartPr>
      <w:docPartBody>
        <w:p w:rsidR="00626DEE" w:rsidRDefault="00E67BDC" w:rsidP="00E67BDC">
          <w:pPr>
            <w:pStyle w:val="5108985D5B5446439507BB3D2BB785A6"/>
          </w:pPr>
          <w:r w:rsidRPr="007E5260">
            <w:rPr>
              <w:rStyle w:val="PlaceholderText"/>
            </w:rPr>
            <w:t>Click to enter text</w:t>
          </w:r>
        </w:p>
      </w:docPartBody>
    </w:docPart>
    <w:docPart>
      <w:docPartPr>
        <w:name w:val="3EFBB60A787846CC9E6311C9B248F23D"/>
        <w:category>
          <w:name w:val="General"/>
          <w:gallery w:val="placeholder"/>
        </w:category>
        <w:types>
          <w:type w:val="bbPlcHdr"/>
        </w:types>
        <w:behaviors>
          <w:behavior w:val="content"/>
        </w:behaviors>
        <w:guid w:val="{AE38EE88-14C1-4661-B456-0F70A636F8FE}"/>
      </w:docPartPr>
      <w:docPartBody>
        <w:p w:rsidR="00626DEE" w:rsidRDefault="00E67BDC" w:rsidP="00E67BDC">
          <w:pPr>
            <w:pStyle w:val="3EFBB60A787846CC9E6311C9B248F23D"/>
          </w:pPr>
          <w:r w:rsidRPr="00A7534B">
            <w:rPr>
              <w:rStyle w:val="PlaceholderText"/>
              <w:rFonts w:cs="Arial"/>
              <w:szCs w:val="16"/>
            </w:rPr>
            <w:t>Provide the name</w:t>
          </w:r>
          <w:r>
            <w:rPr>
              <w:rStyle w:val="PlaceholderText"/>
              <w:rFonts w:cs="Arial"/>
              <w:szCs w:val="16"/>
            </w:rPr>
            <w:t>, version and submission date</w:t>
          </w:r>
          <w:r w:rsidRPr="00A7534B">
            <w:rPr>
              <w:rStyle w:val="PlaceholderText"/>
              <w:rFonts w:cs="Arial"/>
              <w:szCs w:val="16"/>
            </w:rPr>
            <w:t xml:space="preserve"> of the</w:t>
          </w:r>
          <w:r>
            <w:rPr>
              <w:rStyle w:val="PlaceholderText"/>
              <w:rFonts w:cs="Arial"/>
              <w:szCs w:val="16"/>
            </w:rPr>
            <w:t xml:space="preserve"> approved PEPR document</w:t>
          </w:r>
        </w:p>
      </w:docPartBody>
    </w:docPart>
    <w:docPart>
      <w:docPartPr>
        <w:name w:val="3B3FD295124C4D6D9CB465C5990E3B31"/>
        <w:category>
          <w:name w:val="General"/>
          <w:gallery w:val="placeholder"/>
        </w:category>
        <w:types>
          <w:type w:val="bbPlcHdr"/>
        </w:types>
        <w:behaviors>
          <w:behavior w:val="content"/>
        </w:behaviors>
        <w:guid w:val="{04A8315A-5FEB-4EB2-81A8-E259F319C02E}"/>
      </w:docPartPr>
      <w:docPartBody>
        <w:p w:rsidR="00626DEE" w:rsidRDefault="00E67BDC" w:rsidP="00E67BDC">
          <w:pPr>
            <w:pStyle w:val="3B3FD295124C4D6D9CB465C5990E3B31"/>
          </w:pPr>
          <w:r w:rsidRPr="003A21C4">
            <w:rPr>
              <w:rStyle w:val="PlaceholderText"/>
              <w:rFonts w:cs="Arial"/>
              <w:szCs w:val="16"/>
            </w:rPr>
            <w:t>Click to enter text</w:t>
          </w:r>
        </w:p>
      </w:docPartBody>
    </w:docPart>
    <w:docPart>
      <w:docPartPr>
        <w:name w:val="2A29CFCD618343D696BC533003478974"/>
        <w:category>
          <w:name w:val="General"/>
          <w:gallery w:val="placeholder"/>
        </w:category>
        <w:types>
          <w:type w:val="bbPlcHdr"/>
        </w:types>
        <w:behaviors>
          <w:behavior w:val="content"/>
        </w:behaviors>
        <w:guid w:val="{27C126CA-9BA3-4158-997A-D93B018A3A72}"/>
      </w:docPartPr>
      <w:docPartBody>
        <w:p w:rsidR="00626DEE" w:rsidRDefault="00E67BDC" w:rsidP="00E67BDC">
          <w:pPr>
            <w:pStyle w:val="2A29CFCD618343D696BC533003478974"/>
          </w:pPr>
          <w:r>
            <w:rPr>
              <w:rStyle w:val="PlaceholderText"/>
            </w:rPr>
            <w:t xml:space="preserve">Click </w:t>
          </w:r>
          <w:r w:rsidRPr="007E5260">
            <w:rPr>
              <w:rStyle w:val="PlaceholderText"/>
            </w:rPr>
            <w:t xml:space="preserve">to enter </w:t>
          </w:r>
          <w:r>
            <w:rPr>
              <w:rStyle w:val="PlaceholderText"/>
            </w:rPr>
            <w:t xml:space="preserve">a </w:t>
          </w:r>
          <w:r w:rsidRPr="007E5260">
            <w:rPr>
              <w:rStyle w:val="PlaceholderText"/>
            </w:rPr>
            <w:t>date</w:t>
          </w:r>
        </w:p>
      </w:docPartBody>
    </w:docPart>
    <w:docPart>
      <w:docPartPr>
        <w:name w:val="A2AE7030AD534F039949A7476BAF1D61"/>
        <w:category>
          <w:name w:val="General"/>
          <w:gallery w:val="placeholder"/>
        </w:category>
        <w:types>
          <w:type w:val="bbPlcHdr"/>
        </w:types>
        <w:behaviors>
          <w:behavior w:val="content"/>
        </w:behaviors>
        <w:guid w:val="{B0FE438E-488C-42A6-ACFE-56641FEC72BC}"/>
      </w:docPartPr>
      <w:docPartBody>
        <w:p w:rsidR="00626DEE" w:rsidRDefault="00E67BDC" w:rsidP="00E67BDC">
          <w:pPr>
            <w:pStyle w:val="A2AE7030AD534F039949A7476BAF1D61"/>
          </w:pPr>
          <w:r w:rsidRPr="003A21C4">
            <w:rPr>
              <w:rStyle w:val="PlaceholderText"/>
              <w:rFonts w:cs="Arial"/>
              <w:szCs w:val="16"/>
            </w:rPr>
            <w:t>Click to enter text</w:t>
          </w:r>
        </w:p>
      </w:docPartBody>
    </w:docPart>
    <w:docPart>
      <w:docPartPr>
        <w:name w:val="F09B935119DB4C9F9A1542A2EAB17C9B"/>
        <w:category>
          <w:name w:val="General"/>
          <w:gallery w:val="placeholder"/>
        </w:category>
        <w:types>
          <w:type w:val="bbPlcHdr"/>
        </w:types>
        <w:behaviors>
          <w:behavior w:val="content"/>
        </w:behaviors>
        <w:guid w:val="{891ED4D5-8186-4C1E-80C0-43C556A6311B}"/>
      </w:docPartPr>
      <w:docPartBody>
        <w:p w:rsidR="00626DEE" w:rsidRDefault="00E67BDC" w:rsidP="00E67BDC">
          <w:pPr>
            <w:pStyle w:val="F09B935119DB4C9F9A1542A2EAB17C9B"/>
          </w:pPr>
          <w:r>
            <w:rPr>
              <w:rStyle w:val="PlaceholderText"/>
            </w:rPr>
            <w:t xml:space="preserve">Click </w:t>
          </w:r>
          <w:r w:rsidRPr="007E5260">
            <w:rPr>
              <w:rStyle w:val="PlaceholderText"/>
            </w:rPr>
            <w:t xml:space="preserve">to enter </w:t>
          </w:r>
          <w:r>
            <w:rPr>
              <w:rStyle w:val="PlaceholderText"/>
            </w:rPr>
            <w:t xml:space="preserve">a </w:t>
          </w:r>
          <w:r w:rsidRPr="007E5260">
            <w:rPr>
              <w:rStyle w:val="PlaceholderText"/>
            </w:rPr>
            <w:t>date</w:t>
          </w:r>
        </w:p>
      </w:docPartBody>
    </w:docPart>
    <w:docPart>
      <w:docPartPr>
        <w:name w:val="F7758C67000D479CBB610C063EB0CAFE"/>
        <w:category>
          <w:name w:val="General"/>
          <w:gallery w:val="placeholder"/>
        </w:category>
        <w:types>
          <w:type w:val="bbPlcHdr"/>
        </w:types>
        <w:behaviors>
          <w:behavior w:val="content"/>
        </w:behaviors>
        <w:guid w:val="{08C0546C-FBFD-4029-B76D-377CD67065E3}"/>
      </w:docPartPr>
      <w:docPartBody>
        <w:p w:rsidR="00626DEE" w:rsidRDefault="00E67BDC" w:rsidP="00E67BDC">
          <w:pPr>
            <w:pStyle w:val="F7758C67000D479CBB610C063EB0CAFE"/>
          </w:pPr>
          <w:r>
            <w:rPr>
              <w:rStyle w:val="PlaceholderText"/>
            </w:rPr>
            <w:t xml:space="preserve">Click </w:t>
          </w:r>
          <w:r w:rsidRPr="007E5260">
            <w:rPr>
              <w:rStyle w:val="PlaceholderText"/>
            </w:rPr>
            <w:t xml:space="preserve">to enter </w:t>
          </w:r>
          <w:r>
            <w:rPr>
              <w:rStyle w:val="PlaceholderText"/>
            </w:rPr>
            <w:t xml:space="preserve">a </w:t>
          </w:r>
          <w:r w:rsidRPr="007E5260">
            <w:rPr>
              <w:rStyle w:val="PlaceholderText"/>
            </w:rPr>
            <w:t>date</w:t>
          </w:r>
        </w:p>
      </w:docPartBody>
    </w:docPart>
    <w:docPart>
      <w:docPartPr>
        <w:name w:val="6F35BD96BE624C4CA120B99758801C01"/>
        <w:category>
          <w:name w:val="General"/>
          <w:gallery w:val="placeholder"/>
        </w:category>
        <w:types>
          <w:type w:val="bbPlcHdr"/>
        </w:types>
        <w:behaviors>
          <w:behavior w:val="content"/>
        </w:behaviors>
        <w:guid w:val="{2B2E59EB-22C3-4D82-B660-B3C383C7F647}"/>
      </w:docPartPr>
      <w:docPartBody>
        <w:p w:rsidR="00626DEE" w:rsidRDefault="00E67BDC" w:rsidP="00E67BDC">
          <w:pPr>
            <w:pStyle w:val="6F35BD96BE624C4CA120B99758801C01"/>
          </w:pPr>
          <w:r>
            <w:rPr>
              <w:rStyle w:val="PlaceholderText"/>
            </w:rPr>
            <w:t xml:space="preserve">Click </w:t>
          </w:r>
          <w:r w:rsidRPr="007E5260">
            <w:rPr>
              <w:rStyle w:val="PlaceholderText"/>
            </w:rPr>
            <w:t xml:space="preserve">to enter </w:t>
          </w:r>
          <w:r>
            <w:rPr>
              <w:rStyle w:val="PlaceholderText"/>
            </w:rPr>
            <w:t xml:space="preserve">a </w:t>
          </w:r>
          <w:r w:rsidRPr="007E5260">
            <w:rPr>
              <w:rStyle w:val="PlaceholderText"/>
            </w:rPr>
            <w:t>date</w:t>
          </w:r>
        </w:p>
      </w:docPartBody>
    </w:docPart>
    <w:docPart>
      <w:docPartPr>
        <w:name w:val="D9DFF605753F41E995391299367A7CCE"/>
        <w:category>
          <w:name w:val="General"/>
          <w:gallery w:val="placeholder"/>
        </w:category>
        <w:types>
          <w:type w:val="bbPlcHdr"/>
        </w:types>
        <w:behaviors>
          <w:behavior w:val="content"/>
        </w:behaviors>
        <w:guid w:val="{F352E730-4755-4BD6-8323-11A6DE9794AB}"/>
      </w:docPartPr>
      <w:docPartBody>
        <w:p w:rsidR="00626DEE" w:rsidRDefault="00E67BDC" w:rsidP="00E67BDC">
          <w:pPr>
            <w:pStyle w:val="D9DFF605753F41E995391299367A7CCE"/>
          </w:pPr>
          <w:r>
            <w:rPr>
              <w:rStyle w:val="PlaceholderText"/>
            </w:rPr>
            <w:t xml:space="preserve">Click </w:t>
          </w:r>
          <w:r w:rsidRPr="007E5260">
            <w:rPr>
              <w:rStyle w:val="PlaceholderText"/>
            </w:rPr>
            <w:t xml:space="preserve">to enter </w:t>
          </w:r>
          <w:r>
            <w:rPr>
              <w:rStyle w:val="PlaceholderText"/>
            </w:rPr>
            <w:t xml:space="preserve">a </w:t>
          </w:r>
          <w:r w:rsidRPr="007E5260">
            <w:rPr>
              <w:rStyle w:val="PlaceholderText"/>
            </w:rPr>
            <w:t>date</w:t>
          </w:r>
        </w:p>
      </w:docPartBody>
    </w:docPart>
    <w:docPart>
      <w:docPartPr>
        <w:name w:val="C44BEC766A8C44EDB1D50D3E900F2C58"/>
        <w:category>
          <w:name w:val="General"/>
          <w:gallery w:val="placeholder"/>
        </w:category>
        <w:types>
          <w:type w:val="bbPlcHdr"/>
        </w:types>
        <w:behaviors>
          <w:behavior w:val="content"/>
        </w:behaviors>
        <w:guid w:val="{62B90A64-0054-49D2-BA20-EF50354E32D8}"/>
      </w:docPartPr>
      <w:docPartBody>
        <w:p w:rsidR="00626DEE" w:rsidRDefault="00E67BDC" w:rsidP="00E67BDC">
          <w:pPr>
            <w:pStyle w:val="C44BEC766A8C44EDB1D50D3E900F2C58"/>
          </w:pPr>
          <w:r>
            <w:rPr>
              <w:rStyle w:val="PlaceholderText"/>
            </w:rPr>
            <w:t xml:space="preserve">Click </w:t>
          </w:r>
          <w:r w:rsidRPr="007E5260">
            <w:rPr>
              <w:rStyle w:val="PlaceholderText"/>
            </w:rPr>
            <w:t xml:space="preserve">to enter </w:t>
          </w:r>
          <w:r>
            <w:rPr>
              <w:rStyle w:val="PlaceholderText"/>
            </w:rPr>
            <w:t xml:space="preserve">a </w:t>
          </w:r>
          <w:r w:rsidRPr="007E5260">
            <w:rPr>
              <w:rStyle w:val="PlaceholderText"/>
            </w:rPr>
            <w:t>date</w:t>
          </w:r>
        </w:p>
      </w:docPartBody>
    </w:docPart>
    <w:docPart>
      <w:docPartPr>
        <w:name w:val="795BE3631F4D463AB357F9510B8A697C"/>
        <w:category>
          <w:name w:val="General"/>
          <w:gallery w:val="placeholder"/>
        </w:category>
        <w:types>
          <w:type w:val="bbPlcHdr"/>
        </w:types>
        <w:behaviors>
          <w:behavior w:val="content"/>
        </w:behaviors>
        <w:guid w:val="{8B7AC001-4E34-4A72-A658-739931DECD91}"/>
      </w:docPartPr>
      <w:docPartBody>
        <w:p w:rsidR="00626DEE" w:rsidRDefault="00E67BDC" w:rsidP="00E67BDC">
          <w:pPr>
            <w:pStyle w:val="795BE3631F4D463AB357F9510B8A697C"/>
          </w:pPr>
          <w:r w:rsidRPr="00EC1BE8">
            <w:rPr>
              <w:rStyle w:val="PlaceholderText"/>
            </w:rPr>
            <w:t>Provide details of the location of the incident and approximate area impacted (e.g. m</w:t>
          </w:r>
          <w:r w:rsidRPr="00EC1BE8">
            <w:rPr>
              <w:rStyle w:val="PlaceholderText"/>
              <w:vertAlign w:val="superscript"/>
            </w:rPr>
            <w:t>2</w:t>
          </w:r>
          <w:r w:rsidRPr="00EC1BE8">
            <w:rPr>
              <w:rStyle w:val="PlaceholderText"/>
            </w:rPr>
            <w:t>, Ha, etc</w:t>
          </w:r>
          <w:r>
            <w:rPr>
              <w:rStyle w:val="PlaceholderText"/>
            </w:rPr>
            <w:t>.</w:t>
          </w:r>
          <w:r w:rsidRPr="00EC1BE8">
            <w:rPr>
              <w:rStyle w:val="PlaceholderText"/>
            </w:rPr>
            <w:t>). Include a map, plan and photos as required in the supporting information section overleaf.</w:t>
          </w:r>
        </w:p>
      </w:docPartBody>
    </w:docPart>
    <w:docPart>
      <w:docPartPr>
        <w:name w:val="55BC9CA902B44B8F8CC355890622A9A7"/>
        <w:category>
          <w:name w:val="General"/>
          <w:gallery w:val="placeholder"/>
        </w:category>
        <w:types>
          <w:type w:val="bbPlcHdr"/>
        </w:types>
        <w:behaviors>
          <w:behavior w:val="content"/>
        </w:behaviors>
        <w:guid w:val="{DFBCB036-15DA-4136-9DBE-879E238F2A20}"/>
      </w:docPartPr>
      <w:docPartBody>
        <w:p w:rsidR="00626DEE" w:rsidRDefault="00E67BDC" w:rsidP="00E67BDC">
          <w:pPr>
            <w:pStyle w:val="55BC9CA902B44B8F8CC355890622A9A7"/>
          </w:pPr>
          <w:r w:rsidRPr="00013FE1">
            <w:rPr>
              <w:rStyle w:val="PlaceholderText"/>
              <w:rFonts w:cs="Arial"/>
              <w:sz w:val="16"/>
              <w:szCs w:val="16"/>
            </w:rPr>
            <w:t>Describe circumstances constitu</w:t>
          </w:r>
          <w:r>
            <w:rPr>
              <w:rStyle w:val="PlaceholderText"/>
              <w:rFonts w:cs="Arial"/>
              <w:sz w:val="16"/>
              <w:szCs w:val="16"/>
            </w:rPr>
            <w:t>t</w:t>
          </w:r>
          <w:r w:rsidRPr="00013FE1">
            <w:rPr>
              <w:rStyle w:val="PlaceholderText"/>
              <w:rFonts w:cs="Arial"/>
              <w:sz w:val="16"/>
              <w:szCs w:val="16"/>
            </w:rPr>
            <w:t>ing the incident. Attach sep</w:t>
          </w:r>
          <w:r>
            <w:rPr>
              <w:rStyle w:val="PlaceholderText"/>
              <w:rFonts w:cs="Arial"/>
              <w:sz w:val="16"/>
              <w:szCs w:val="16"/>
            </w:rPr>
            <w:t>a</w:t>
          </w:r>
          <w:r w:rsidRPr="00013FE1">
            <w:rPr>
              <w:rStyle w:val="PlaceholderText"/>
              <w:rFonts w:cs="Arial"/>
              <w:sz w:val="16"/>
              <w:szCs w:val="16"/>
            </w:rPr>
            <w:t>rate sheet, if necessary.</w:t>
          </w:r>
        </w:p>
      </w:docPartBody>
    </w:docPart>
    <w:docPart>
      <w:docPartPr>
        <w:name w:val="76758A5B55674DF8936F93965DA74AFB"/>
        <w:category>
          <w:name w:val="General"/>
          <w:gallery w:val="placeholder"/>
        </w:category>
        <w:types>
          <w:type w:val="bbPlcHdr"/>
        </w:types>
        <w:behaviors>
          <w:behavior w:val="content"/>
        </w:behaviors>
        <w:guid w:val="{8BA895F7-16A5-4309-9090-1345AEEBE612}"/>
      </w:docPartPr>
      <w:docPartBody>
        <w:p w:rsidR="00626DEE" w:rsidRDefault="00E67BDC" w:rsidP="00E67BDC">
          <w:pPr>
            <w:pStyle w:val="76758A5B55674DF8936F93965DA74AFB"/>
          </w:pPr>
          <w:r w:rsidRPr="003A21C4">
            <w:rPr>
              <w:rStyle w:val="PlaceholderText"/>
              <w:sz w:val="16"/>
              <w:szCs w:val="16"/>
            </w:rPr>
            <w:t>Click to enter text</w:t>
          </w:r>
        </w:p>
      </w:docPartBody>
    </w:docPart>
    <w:docPart>
      <w:docPartPr>
        <w:name w:val="5AED1A9473464FEEB49BBD17DF41E9F2"/>
        <w:category>
          <w:name w:val="General"/>
          <w:gallery w:val="placeholder"/>
        </w:category>
        <w:types>
          <w:type w:val="bbPlcHdr"/>
        </w:types>
        <w:behaviors>
          <w:behavior w:val="content"/>
        </w:behaviors>
        <w:guid w:val="{AED5DB84-8017-47D0-B2A0-23582648C279}"/>
      </w:docPartPr>
      <w:docPartBody>
        <w:p w:rsidR="00626DEE" w:rsidRDefault="00E67BDC" w:rsidP="00E67BDC">
          <w:pPr>
            <w:pStyle w:val="5AED1A9473464FEEB49BBD17DF41E9F2"/>
          </w:pPr>
          <w:r w:rsidRPr="003A21C4">
            <w:rPr>
              <w:rStyle w:val="PlaceholderText"/>
              <w:sz w:val="16"/>
              <w:szCs w:val="16"/>
            </w:rPr>
            <w:t>Click to enter text</w:t>
          </w:r>
        </w:p>
      </w:docPartBody>
    </w:docPart>
    <w:docPart>
      <w:docPartPr>
        <w:name w:val="608E8E07FBEC43A786587A070CEE64DF"/>
        <w:category>
          <w:name w:val="General"/>
          <w:gallery w:val="placeholder"/>
        </w:category>
        <w:types>
          <w:type w:val="bbPlcHdr"/>
        </w:types>
        <w:behaviors>
          <w:behavior w:val="content"/>
        </w:behaviors>
        <w:guid w:val="{559168A2-FE52-4696-93B0-067CEE072F9D}"/>
      </w:docPartPr>
      <w:docPartBody>
        <w:p w:rsidR="00626DEE" w:rsidRDefault="00E67BDC" w:rsidP="00E67BDC">
          <w:pPr>
            <w:pStyle w:val="608E8E07FBEC43A786587A070CEE64DF"/>
          </w:pPr>
          <w:r w:rsidRPr="003A21C4">
            <w:rPr>
              <w:rStyle w:val="PlaceholderText"/>
              <w:sz w:val="16"/>
              <w:szCs w:val="16"/>
            </w:rPr>
            <w:t>Click to enter text</w:t>
          </w:r>
        </w:p>
      </w:docPartBody>
    </w:docPart>
    <w:docPart>
      <w:docPartPr>
        <w:name w:val="62B5F3EE178045EBB4ECB17CC51D7D61"/>
        <w:category>
          <w:name w:val="General"/>
          <w:gallery w:val="placeholder"/>
        </w:category>
        <w:types>
          <w:type w:val="bbPlcHdr"/>
        </w:types>
        <w:behaviors>
          <w:behavior w:val="content"/>
        </w:behaviors>
        <w:guid w:val="{D834CD81-190E-47F1-94D6-4F1C2864D702}"/>
      </w:docPartPr>
      <w:docPartBody>
        <w:p w:rsidR="00626DEE" w:rsidRDefault="00E67BDC" w:rsidP="00E67BDC">
          <w:pPr>
            <w:pStyle w:val="62B5F3EE178045EBB4ECB17CC51D7D61"/>
          </w:pPr>
          <w:r w:rsidRPr="003A21C4">
            <w:rPr>
              <w:rStyle w:val="PlaceholderText"/>
              <w:rFonts w:cs="Arial"/>
              <w:szCs w:val="16"/>
            </w:rPr>
            <w:t>Click to enter text</w:t>
          </w:r>
        </w:p>
      </w:docPartBody>
    </w:docPart>
    <w:docPart>
      <w:docPartPr>
        <w:name w:val="1F01CF7C7C8B458491F14E37F66FCA80"/>
        <w:category>
          <w:name w:val="General"/>
          <w:gallery w:val="placeholder"/>
        </w:category>
        <w:types>
          <w:type w:val="bbPlcHdr"/>
        </w:types>
        <w:behaviors>
          <w:behavior w:val="content"/>
        </w:behaviors>
        <w:guid w:val="{A43F1323-0E55-47B5-8F11-7FE7A38218ED}"/>
      </w:docPartPr>
      <w:docPartBody>
        <w:p w:rsidR="00626DEE" w:rsidRDefault="00E67BDC" w:rsidP="00E67BDC">
          <w:pPr>
            <w:pStyle w:val="1F01CF7C7C8B458491F14E37F66FCA80"/>
          </w:pPr>
          <w:r w:rsidRPr="003A21C4">
            <w:rPr>
              <w:rStyle w:val="PlaceholderText"/>
              <w:rFonts w:cs="Arial"/>
              <w:szCs w:val="16"/>
            </w:rPr>
            <w:t>Click to enter text</w:t>
          </w:r>
        </w:p>
      </w:docPartBody>
    </w:docPart>
    <w:docPart>
      <w:docPartPr>
        <w:name w:val="A403954004B0474589BCEDF3F43DCC57"/>
        <w:category>
          <w:name w:val="General"/>
          <w:gallery w:val="placeholder"/>
        </w:category>
        <w:types>
          <w:type w:val="bbPlcHdr"/>
        </w:types>
        <w:behaviors>
          <w:behavior w:val="content"/>
        </w:behaviors>
        <w:guid w:val="{4C120CD7-66BB-4172-9AE5-F660484204AD}"/>
      </w:docPartPr>
      <w:docPartBody>
        <w:p w:rsidR="00626DEE" w:rsidRDefault="00E67BDC" w:rsidP="00E67BDC">
          <w:pPr>
            <w:pStyle w:val="A403954004B0474589BCEDF3F43DCC57"/>
          </w:pPr>
          <w:r w:rsidRPr="003A21C4">
            <w:rPr>
              <w:rStyle w:val="PlaceholderText"/>
              <w:rFonts w:cs="Arial"/>
              <w:szCs w:val="16"/>
            </w:rPr>
            <w:t>Click to enter text</w:t>
          </w:r>
        </w:p>
      </w:docPartBody>
    </w:docPart>
    <w:docPart>
      <w:docPartPr>
        <w:name w:val="442A7B15647C41FDB11B1D372D50EBFE"/>
        <w:category>
          <w:name w:val="General"/>
          <w:gallery w:val="placeholder"/>
        </w:category>
        <w:types>
          <w:type w:val="bbPlcHdr"/>
        </w:types>
        <w:behaviors>
          <w:behavior w:val="content"/>
        </w:behaviors>
        <w:guid w:val="{DC27A2A4-81BE-4544-825F-A23642AFDDC3}"/>
      </w:docPartPr>
      <w:docPartBody>
        <w:p w:rsidR="00626DEE" w:rsidRDefault="00E67BDC" w:rsidP="00E67BDC">
          <w:pPr>
            <w:pStyle w:val="442A7B15647C41FDB11B1D372D50EBFE"/>
          </w:pPr>
          <w:r w:rsidRPr="003A21C4">
            <w:rPr>
              <w:rStyle w:val="PlaceholderText"/>
              <w:rFonts w:cs="Arial"/>
              <w:szCs w:val="16"/>
            </w:rPr>
            <w:t>Click to enter text</w:t>
          </w:r>
        </w:p>
      </w:docPartBody>
    </w:docPart>
    <w:docPart>
      <w:docPartPr>
        <w:name w:val="42809D2166704E959F44B05EA6595B03"/>
        <w:category>
          <w:name w:val="General"/>
          <w:gallery w:val="placeholder"/>
        </w:category>
        <w:types>
          <w:type w:val="bbPlcHdr"/>
        </w:types>
        <w:behaviors>
          <w:behavior w:val="content"/>
        </w:behaviors>
        <w:guid w:val="{5D9BCEC0-48D7-4D97-BF79-3C10B1B474B0}"/>
      </w:docPartPr>
      <w:docPartBody>
        <w:p w:rsidR="00626DEE" w:rsidRDefault="00E67BDC" w:rsidP="00E67BDC">
          <w:pPr>
            <w:pStyle w:val="42809D2166704E959F44B05EA6595B03"/>
          </w:pPr>
          <w:r w:rsidRPr="00E66ECF">
            <w:rPr>
              <w:rStyle w:val="PlaceholderText"/>
            </w:rPr>
            <w:t>Enter any content that you want to repeat, including other content controls. You can also insert this control around table rows in order to repeat parts of a table.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G Times">
    <w:charset w:val="00"/>
    <w:family w:val="roman"/>
    <w:pitch w:val="variable"/>
    <w:sig w:usb0="00000007" w:usb1="00000000" w:usb2="00000000" w:usb3="00000000" w:csb0="00000093" w:csb1="00000000"/>
  </w:font>
  <w:font w:name="Times-Roman">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AFHDL H+ Helvetica Neue">
    <w:altName w:val="Helvetica Neue"/>
    <w:panose1 w:val="00000000000000000000"/>
    <w:charset w:val="00"/>
    <w:family w:val="swiss"/>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Source Sans Pro">
    <w:altName w:val="Corbel"/>
    <w:charset w:val="00"/>
    <w:family w:val="swiss"/>
    <w:pitch w:val="variable"/>
    <w:sig w:usb0="20000007" w:usb1="00000001" w:usb2="00000000" w:usb3="00000000" w:csb0="00000193" w:csb1="00000000"/>
  </w:font>
  <w:font w:name="Calibri-Light">
    <w:altName w:val="Calibri Light"/>
    <w:panose1 w:val="00000000000000000000"/>
    <w:charset w:val="4D"/>
    <w:family w:val="auto"/>
    <w:notTrueType/>
    <w:pitch w:val="default"/>
    <w:sig w:usb0="00000003" w:usb1="00000000" w:usb2="00000000" w:usb3="00000000" w:csb0="00000001" w:csb1="00000000"/>
  </w:font>
  <w:font w:name="Vani">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BDC"/>
    <w:rsid w:val="00626DEE"/>
    <w:rsid w:val="00E67B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67BDC"/>
    <w:rPr>
      <w:color w:val="808080"/>
      <w:szCs w:val="22"/>
    </w:rPr>
  </w:style>
  <w:style w:type="paragraph" w:customStyle="1" w:styleId="E7A99C49CF124105A3D820D75D537AD8">
    <w:name w:val="E7A99C49CF124105A3D820D75D537AD8"/>
    <w:rsid w:val="00E67BDC"/>
  </w:style>
  <w:style w:type="paragraph" w:customStyle="1" w:styleId="67835AB00EC84726B5AC8AAE8BA900EF">
    <w:name w:val="67835AB00EC84726B5AC8AAE8BA900EF"/>
    <w:rsid w:val="00E67BDC"/>
  </w:style>
  <w:style w:type="paragraph" w:customStyle="1" w:styleId="CFBFE560A69C41498FD0E411E45EA802">
    <w:name w:val="CFBFE560A69C41498FD0E411E45EA802"/>
    <w:rsid w:val="00E67BDC"/>
  </w:style>
  <w:style w:type="paragraph" w:customStyle="1" w:styleId="A1552B344C0641AD8C2204B636F0238E">
    <w:name w:val="A1552B344C0641AD8C2204B636F0238E"/>
    <w:rsid w:val="00E67BDC"/>
  </w:style>
  <w:style w:type="paragraph" w:customStyle="1" w:styleId="8B30D8E593374A728C1228568D126EEE">
    <w:name w:val="8B30D8E593374A728C1228568D126EEE"/>
    <w:rsid w:val="00E67BDC"/>
  </w:style>
  <w:style w:type="paragraph" w:customStyle="1" w:styleId="84E70333D07B48718DF2C7D07CA84D01">
    <w:name w:val="84E70333D07B48718DF2C7D07CA84D01"/>
    <w:rsid w:val="00E67BDC"/>
  </w:style>
  <w:style w:type="paragraph" w:customStyle="1" w:styleId="EF80F1B2AF554A458FD004AFD5054A18">
    <w:name w:val="EF80F1B2AF554A458FD004AFD5054A18"/>
    <w:rsid w:val="00E67BDC"/>
  </w:style>
  <w:style w:type="paragraph" w:customStyle="1" w:styleId="49111D6A300B47F29494987D6D14DDE7">
    <w:name w:val="49111D6A300B47F29494987D6D14DDE7"/>
    <w:rsid w:val="00E67BDC"/>
  </w:style>
  <w:style w:type="paragraph" w:customStyle="1" w:styleId="16CD179361954BCD9B94D961BFAAC80E">
    <w:name w:val="16CD179361954BCD9B94D961BFAAC80E"/>
    <w:rsid w:val="00E67BDC"/>
  </w:style>
  <w:style w:type="paragraph" w:customStyle="1" w:styleId="AE10CB7913A04E7E97FFF48B3C703E87">
    <w:name w:val="AE10CB7913A04E7E97FFF48B3C703E87"/>
    <w:rsid w:val="00E67BDC"/>
  </w:style>
  <w:style w:type="paragraph" w:customStyle="1" w:styleId="E59A1E74699642BB9F5F9967F63C44A1">
    <w:name w:val="E59A1E74699642BB9F5F9967F63C44A1"/>
    <w:rsid w:val="00E67BDC"/>
  </w:style>
  <w:style w:type="paragraph" w:customStyle="1" w:styleId="8E9FBF293C5E4E1495E0B5C56755072A">
    <w:name w:val="8E9FBF293C5E4E1495E0B5C56755072A"/>
    <w:rsid w:val="00E67BDC"/>
  </w:style>
  <w:style w:type="paragraph" w:customStyle="1" w:styleId="476AEB9427E944608BE588452DF9AD53">
    <w:name w:val="476AEB9427E944608BE588452DF9AD53"/>
    <w:rsid w:val="00E67BDC"/>
  </w:style>
  <w:style w:type="paragraph" w:customStyle="1" w:styleId="B0EE7242256745CF8F60B8EC2CACEB19">
    <w:name w:val="B0EE7242256745CF8F60B8EC2CACEB19"/>
    <w:rsid w:val="00E67BDC"/>
  </w:style>
  <w:style w:type="paragraph" w:customStyle="1" w:styleId="384B541E90A74914833033EB9B12EE42">
    <w:name w:val="384B541E90A74914833033EB9B12EE42"/>
    <w:rsid w:val="00E67BDC"/>
  </w:style>
  <w:style w:type="paragraph" w:customStyle="1" w:styleId="FCEEB24C039043819DFFAB665C285C54">
    <w:name w:val="FCEEB24C039043819DFFAB665C285C54"/>
    <w:rsid w:val="00E67BDC"/>
  </w:style>
  <w:style w:type="paragraph" w:customStyle="1" w:styleId="58133A1543324E48BE1BCC34F35095D3">
    <w:name w:val="58133A1543324E48BE1BCC34F35095D3"/>
    <w:rsid w:val="00E67BDC"/>
  </w:style>
  <w:style w:type="paragraph" w:customStyle="1" w:styleId="62CAB3E8057C4CD8B4A606BAD18471A9">
    <w:name w:val="62CAB3E8057C4CD8B4A606BAD18471A9"/>
    <w:rsid w:val="00E67BDC"/>
  </w:style>
  <w:style w:type="paragraph" w:customStyle="1" w:styleId="0002117C1F9F43899FE43A6677741B09">
    <w:name w:val="0002117C1F9F43899FE43A6677741B09"/>
    <w:rsid w:val="00E67BDC"/>
  </w:style>
  <w:style w:type="paragraph" w:customStyle="1" w:styleId="F50A1F01D1C2481A80515E38320E4A39">
    <w:name w:val="F50A1F01D1C2481A80515E38320E4A39"/>
    <w:rsid w:val="00E67BDC"/>
  </w:style>
  <w:style w:type="paragraph" w:customStyle="1" w:styleId="B35CF6BAB09E4E98B32A319E6785FFB0">
    <w:name w:val="B35CF6BAB09E4E98B32A319E6785FFB0"/>
    <w:rsid w:val="00E67BDC"/>
  </w:style>
  <w:style w:type="paragraph" w:customStyle="1" w:styleId="543C5064A4CC4B65924A7D51DA04C401">
    <w:name w:val="543C5064A4CC4B65924A7D51DA04C401"/>
    <w:rsid w:val="00E67BDC"/>
  </w:style>
  <w:style w:type="paragraph" w:customStyle="1" w:styleId="FD3F92A540994401901FEA7026E053B6">
    <w:name w:val="FD3F92A540994401901FEA7026E053B6"/>
    <w:rsid w:val="00E67BDC"/>
  </w:style>
  <w:style w:type="paragraph" w:customStyle="1" w:styleId="84C43491286D419ABF42EF76C3A639B4">
    <w:name w:val="84C43491286D419ABF42EF76C3A639B4"/>
    <w:rsid w:val="00E67BDC"/>
  </w:style>
  <w:style w:type="paragraph" w:customStyle="1" w:styleId="2E3CA547964A475EA881FDB2E8A1ABA1">
    <w:name w:val="2E3CA547964A475EA881FDB2E8A1ABA1"/>
    <w:rsid w:val="00E67BDC"/>
  </w:style>
  <w:style w:type="paragraph" w:customStyle="1" w:styleId="94C63C832E4841E28F9F316F1837D1C4">
    <w:name w:val="94C63C832E4841E28F9F316F1837D1C4"/>
    <w:rsid w:val="00E67BDC"/>
  </w:style>
  <w:style w:type="paragraph" w:customStyle="1" w:styleId="65E99AC1A6ED43B8A220955D6663706B">
    <w:name w:val="65E99AC1A6ED43B8A220955D6663706B"/>
    <w:rsid w:val="00E67BDC"/>
  </w:style>
  <w:style w:type="paragraph" w:customStyle="1" w:styleId="604D34389EA94BBC9342EEB50A386407">
    <w:name w:val="604D34389EA94BBC9342EEB50A386407"/>
    <w:rsid w:val="00E67BDC"/>
  </w:style>
  <w:style w:type="paragraph" w:customStyle="1" w:styleId="37F444146E5F4949932A563062D70DF2">
    <w:name w:val="37F444146E5F4949932A563062D70DF2"/>
    <w:rsid w:val="00E67BDC"/>
  </w:style>
  <w:style w:type="paragraph" w:customStyle="1" w:styleId="0962F0F223A74887A14D9A21CD8B50A6">
    <w:name w:val="0962F0F223A74887A14D9A21CD8B50A6"/>
    <w:rsid w:val="00E67BDC"/>
  </w:style>
  <w:style w:type="paragraph" w:customStyle="1" w:styleId="DEFD9E12B48B4194BDF905C21305200C">
    <w:name w:val="DEFD9E12B48B4194BDF905C21305200C"/>
    <w:rsid w:val="00E67BDC"/>
  </w:style>
  <w:style w:type="paragraph" w:customStyle="1" w:styleId="75494A32EA1C4FFFB0EED1C04E2AA0CD">
    <w:name w:val="75494A32EA1C4FFFB0EED1C04E2AA0CD"/>
    <w:rsid w:val="00E67BDC"/>
  </w:style>
  <w:style w:type="paragraph" w:customStyle="1" w:styleId="57D7D28B854841B3AC568EC5274DE3CF">
    <w:name w:val="57D7D28B854841B3AC568EC5274DE3CF"/>
    <w:rsid w:val="00E67BDC"/>
  </w:style>
  <w:style w:type="paragraph" w:customStyle="1" w:styleId="BB4BA35DE8D840AA90845A1A55785E06">
    <w:name w:val="BB4BA35DE8D840AA90845A1A55785E06"/>
    <w:rsid w:val="00E67BDC"/>
  </w:style>
  <w:style w:type="paragraph" w:customStyle="1" w:styleId="B73B44FB91C544FD8BD65435F9736B8D">
    <w:name w:val="B73B44FB91C544FD8BD65435F9736B8D"/>
    <w:rsid w:val="00E67BDC"/>
  </w:style>
  <w:style w:type="paragraph" w:customStyle="1" w:styleId="A1687FC8DF13445599B00D59C21A3056">
    <w:name w:val="A1687FC8DF13445599B00D59C21A3056"/>
    <w:rsid w:val="00E67BDC"/>
  </w:style>
  <w:style w:type="paragraph" w:customStyle="1" w:styleId="F2D07514DBFB495CB23046A19A35AC2F">
    <w:name w:val="F2D07514DBFB495CB23046A19A35AC2F"/>
    <w:rsid w:val="00E67BDC"/>
  </w:style>
  <w:style w:type="paragraph" w:customStyle="1" w:styleId="01AB216FC22247C78F90D1F15A645273">
    <w:name w:val="01AB216FC22247C78F90D1F15A645273"/>
    <w:rsid w:val="00E67BDC"/>
  </w:style>
  <w:style w:type="paragraph" w:customStyle="1" w:styleId="F2925A89C34645669C55EE4D766D9F5E">
    <w:name w:val="F2925A89C34645669C55EE4D766D9F5E"/>
    <w:rsid w:val="00E67BDC"/>
  </w:style>
  <w:style w:type="paragraph" w:customStyle="1" w:styleId="ACDEDDD1258C4AAAAEAA41FC384FC1FE">
    <w:name w:val="ACDEDDD1258C4AAAAEAA41FC384FC1FE"/>
    <w:rsid w:val="00E67BDC"/>
  </w:style>
  <w:style w:type="paragraph" w:customStyle="1" w:styleId="DB9F9C5B945A4BD48B4C31726DB460A1">
    <w:name w:val="DB9F9C5B945A4BD48B4C31726DB460A1"/>
    <w:rsid w:val="00E67BDC"/>
  </w:style>
  <w:style w:type="paragraph" w:customStyle="1" w:styleId="FEB38426D713483E8F0F59BE336E9CDC">
    <w:name w:val="FEB38426D713483E8F0F59BE336E9CDC"/>
    <w:rsid w:val="00E67BDC"/>
  </w:style>
  <w:style w:type="paragraph" w:customStyle="1" w:styleId="CD3DBC6A942248E19EFFFE66B4A3B349">
    <w:name w:val="CD3DBC6A942248E19EFFFE66B4A3B349"/>
    <w:rsid w:val="00E67BDC"/>
  </w:style>
  <w:style w:type="paragraph" w:customStyle="1" w:styleId="CC8C08698BF14418B278835F821B5422">
    <w:name w:val="CC8C08698BF14418B278835F821B5422"/>
    <w:rsid w:val="00E67BDC"/>
  </w:style>
  <w:style w:type="paragraph" w:customStyle="1" w:styleId="31AFC009A8154F4D8C27F6747F6C74E3">
    <w:name w:val="31AFC009A8154F4D8C27F6747F6C74E3"/>
    <w:rsid w:val="00E67BDC"/>
  </w:style>
  <w:style w:type="paragraph" w:customStyle="1" w:styleId="72395634753D430CAE6C41806E999CC6">
    <w:name w:val="72395634753D430CAE6C41806E999CC6"/>
    <w:rsid w:val="00E67BDC"/>
  </w:style>
  <w:style w:type="paragraph" w:customStyle="1" w:styleId="5108985D5B5446439507BB3D2BB785A6">
    <w:name w:val="5108985D5B5446439507BB3D2BB785A6"/>
    <w:rsid w:val="00E67BDC"/>
  </w:style>
  <w:style w:type="paragraph" w:customStyle="1" w:styleId="3EFBB60A787846CC9E6311C9B248F23D">
    <w:name w:val="3EFBB60A787846CC9E6311C9B248F23D"/>
    <w:rsid w:val="00E67BDC"/>
  </w:style>
  <w:style w:type="paragraph" w:customStyle="1" w:styleId="3B3FD295124C4D6D9CB465C5990E3B31">
    <w:name w:val="3B3FD295124C4D6D9CB465C5990E3B31"/>
    <w:rsid w:val="00E67BDC"/>
  </w:style>
  <w:style w:type="paragraph" w:customStyle="1" w:styleId="2A29CFCD618343D696BC533003478974">
    <w:name w:val="2A29CFCD618343D696BC533003478974"/>
    <w:rsid w:val="00E67BDC"/>
  </w:style>
  <w:style w:type="paragraph" w:customStyle="1" w:styleId="A2AE7030AD534F039949A7476BAF1D61">
    <w:name w:val="A2AE7030AD534F039949A7476BAF1D61"/>
    <w:rsid w:val="00E67BDC"/>
  </w:style>
  <w:style w:type="paragraph" w:customStyle="1" w:styleId="F09B935119DB4C9F9A1542A2EAB17C9B">
    <w:name w:val="F09B935119DB4C9F9A1542A2EAB17C9B"/>
    <w:rsid w:val="00E67BDC"/>
  </w:style>
  <w:style w:type="paragraph" w:customStyle="1" w:styleId="F7758C67000D479CBB610C063EB0CAFE">
    <w:name w:val="F7758C67000D479CBB610C063EB0CAFE"/>
    <w:rsid w:val="00E67BDC"/>
  </w:style>
  <w:style w:type="paragraph" w:customStyle="1" w:styleId="6F35BD96BE624C4CA120B99758801C01">
    <w:name w:val="6F35BD96BE624C4CA120B99758801C01"/>
    <w:rsid w:val="00E67BDC"/>
  </w:style>
  <w:style w:type="paragraph" w:customStyle="1" w:styleId="D9DFF605753F41E995391299367A7CCE">
    <w:name w:val="D9DFF605753F41E995391299367A7CCE"/>
    <w:rsid w:val="00E67BDC"/>
  </w:style>
  <w:style w:type="paragraph" w:customStyle="1" w:styleId="C44BEC766A8C44EDB1D50D3E900F2C58">
    <w:name w:val="C44BEC766A8C44EDB1D50D3E900F2C58"/>
    <w:rsid w:val="00E67BDC"/>
  </w:style>
  <w:style w:type="paragraph" w:customStyle="1" w:styleId="795BE3631F4D463AB357F9510B8A697C">
    <w:name w:val="795BE3631F4D463AB357F9510B8A697C"/>
    <w:rsid w:val="00E67BDC"/>
  </w:style>
  <w:style w:type="paragraph" w:customStyle="1" w:styleId="55BC9CA902B44B8F8CC355890622A9A7">
    <w:name w:val="55BC9CA902B44B8F8CC355890622A9A7"/>
    <w:rsid w:val="00E67BDC"/>
  </w:style>
  <w:style w:type="paragraph" w:customStyle="1" w:styleId="76758A5B55674DF8936F93965DA74AFB">
    <w:name w:val="76758A5B55674DF8936F93965DA74AFB"/>
    <w:rsid w:val="00E67BDC"/>
  </w:style>
  <w:style w:type="paragraph" w:customStyle="1" w:styleId="5AED1A9473464FEEB49BBD17DF41E9F2">
    <w:name w:val="5AED1A9473464FEEB49BBD17DF41E9F2"/>
    <w:rsid w:val="00E67BDC"/>
  </w:style>
  <w:style w:type="paragraph" w:customStyle="1" w:styleId="608E8E07FBEC43A786587A070CEE64DF">
    <w:name w:val="608E8E07FBEC43A786587A070CEE64DF"/>
    <w:rsid w:val="00E67BDC"/>
  </w:style>
  <w:style w:type="paragraph" w:customStyle="1" w:styleId="62B5F3EE178045EBB4ECB17CC51D7D61">
    <w:name w:val="62B5F3EE178045EBB4ECB17CC51D7D61"/>
    <w:rsid w:val="00E67BDC"/>
  </w:style>
  <w:style w:type="paragraph" w:customStyle="1" w:styleId="1F01CF7C7C8B458491F14E37F66FCA80">
    <w:name w:val="1F01CF7C7C8B458491F14E37F66FCA80"/>
    <w:rsid w:val="00E67BDC"/>
  </w:style>
  <w:style w:type="paragraph" w:customStyle="1" w:styleId="A403954004B0474589BCEDF3F43DCC57">
    <w:name w:val="A403954004B0474589BCEDF3F43DCC57"/>
    <w:rsid w:val="00E67BDC"/>
  </w:style>
  <w:style w:type="paragraph" w:customStyle="1" w:styleId="442A7B15647C41FDB11B1D372D50EBFE">
    <w:name w:val="442A7B15647C41FDB11B1D372D50EBFE"/>
    <w:rsid w:val="00E67BDC"/>
  </w:style>
  <w:style w:type="paragraph" w:customStyle="1" w:styleId="796CC37B5A284DE28C46EDC9F8BBB55A">
    <w:name w:val="796CC37B5A284DE28C46EDC9F8BBB55A"/>
    <w:rsid w:val="00E67BDC"/>
  </w:style>
  <w:style w:type="paragraph" w:customStyle="1" w:styleId="038328744250482299F46D917CBE0598">
    <w:name w:val="038328744250482299F46D917CBE0598"/>
    <w:rsid w:val="00E67BDC"/>
  </w:style>
  <w:style w:type="paragraph" w:customStyle="1" w:styleId="42809D2166704E959F44B05EA6595B03">
    <w:name w:val="42809D2166704E959F44B05EA6595B03"/>
    <w:rsid w:val="00E67B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8D9CD7-78C5-4252-A5A8-5679CA5F2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TEMPLATE_GAZETTE_2020</Template>
  <TotalTime>207</TotalTime>
  <Pages>283</Pages>
  <Words>114809</Words>
  <Characters>654415</Characters>
  <Application>Microsoft Office Word</Application>
  <DocSecurity>0</DocSecurity>
  <Lines>5453</Lines>
  <Paragraphs>1535</Paragraphs>
  <ScaleCrop>false</ScaleCrop>
  <HeadingPairs>
    <vt:vector size="2" baseType="variant">
      <vt:variant>
        <vt:lpstr>Title</vt:lpstr>
      </vt:variant>
      <vt:variant>
        <vt:i4>1</vt:i4>
      </vt:variant>
    </vt:vector>
  </HeadingPairs>
  <TitlesOfParts>
    <vt:vector size="1" baseType="lpstr">
      <vt:lpstr>No. 97 - Thursday, 17 December 2020 (pp. 5739–6021)</vt:lpstr>
    </vt:vector>
  </TitlesOfParts>
  <Company>SA Government</Company>
  <LinksUpToDate>false</LinksUpToDate>
  <CharactersWithSpaces>767689</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97 - Thursday, 17 December 2020 (pp. 5739–6021)</dc:title>
  <dc:subject/>
  <dc:creator>Alicia Wheaton</dc:creator>
  <cp:keywords/>
  <cp:lastModifiedBy>Alicia Wheaton</cp:lastModifiedBy>
  <cp:revision>171</cp:revision>
  <cp:lastPrinted>2020-12-17T02:28:00Z</cp:lastPrinted>
  <dcterms:created xsi:type="dcterms:W3CDTF">2020-12-16T04:02:00Z</dcterms:created>
  <dcterms:modified xsi:type="dcterms:W3CDTF">2020-12-17T02:34:00Z</dcterms:modified>
</cp:coreProperties>
</file>